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BB93F">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val="en-US" w:eastAsia="zh-CN"/>
        </w:rPr>
        <w:t>辰溪商务局</w:t>
      </w:r>
      <w:r>
        <w:rPr>
          <w:rFonts w:hint="eastAsia" w:ascii="黑体" w:hAnsi="黑体" w:eastAsia="黑体" w:cs="黑体"/>
          <w:bCs/>
          <w:sz w:val="44"/>
        </w:rPr>
        <w:t>部门整体支出</w:t>
      </w:r>
    </w:p>
    <w:p w14:paraId="60520CF5">
      <w:pPr>
        <w:widowControl/>
        <w:spacing w:line="640" w:lineRule="exact"/>
        <w:jc w:val="center"/>
        <w:rPr>
          <w:rFonts w:hint="eastAsia" w:ascii="黑体" w:hAnsi="黑体" w:eastAsia="黑体" w:cs="黑体"/>
          <w:bCs/>
          <w:sz w:val="44"/>
        </w:rPr>
      </w:pPr>
      <w:r>
        <w:rPr>
          <w:rFonts w:hint="eastAsia" w:ascii="黑体" w:hAnsi="黑体" w:eastAsia="黑体" w:cs="黑体"/>
          <w:bCs/>
          <w:sz w:val="44"/>
        </w:rPr>
        <w:t>绩效自评报告</w:t>
      </w:r>
    </w:p>
    <w:p w14:paraId="1BF062BA">
      <w:pPr>
        <w:spacing w:line="600" w:lineRule="exact"/>
        <w:jc w:val="center"/>
        <w:rPr>
          <w:sz w:val="24"/>
        </w:rPr>
      </w:pPr>
    </w:p>
    <w:p w14:paraId="67882BB1">
      <w:pPr>
        <w:spacing w:line="600" w:lineRule="exact"/>
        <w:jc w:val="center"/>
        <w:rPr>
          <w:sz w:val="24"/>
        </w:rPr>
      </w:pPr>
    </w:p>
    <w:p w14:paraId="75DD5A6F">
      <w:pPr>
        <w:spacing w:line="600" w:lineRule="exact"/>
        <w:jc w:val="center"/>
        <w:rPr>
          <w:sz w:val="24"/>
        </w:rPr>
      </w:pPr>
    </w:p>
    <w:p w14:paraId="64ABC7D4">
      <w:pPr>
        <w:spacing w:line="600" w:lineRule="exact"/>
        <w:jc w:val="center"/>
        <w:rPr>
          <w:sz w:val="24"/>
        </w:rPr>
      </w:pPr>
    </w:p>
    <w:p w14:paraId="764A02A6">
      <w:pPr>
        <w:spacing w:line="600" w:lineRule="exact"/>
        <w:jc w:val="center"/>
        <w:rPr>
          <w:sz w:val="24"/>
        </w:rPr>
      </w:pPr>
    </w:p>
    <w:p w14:paraId="21089631">
      <w:pPr>
        <w:spacing w:line="600" w:lineRule="exact"/>
        <w:jc w:val="center"/>
        <w:rPr>
          <w:sz w:val="24"/>
        </w:rPr>
      </w:pPr>
    </w:p>
    <w:p w14:paraId="6F1C1940">
      <w:pPr>
        <w:spacing w:line="600" w:lineRule="exact"/>
        <w:jc w:val="center"/>
        <w:rPr>
          <w:sz w:val="24"/>
        </w:rPr>
      </w:pPr>
    </w:p>
    <w:p w14:paraId="3EFF2604">
      <w:pPr>
        <w:spacing w:line="600" w:lineRule="exact"/>
        <w:jc w:val="center"/>
        <w:rPr>
          <w:sz w:val="24"/>
        </w:rPr>
      </w:pPr>
    </w:p>
    <w:p w14:paraId="69AF0E5A">
      <w:pPr>
        <w:spacing w:line="600" w:lineRule="exact"/>
        <w:jc w:val="center"/>
        <w:rPr>
          <w:sz w:val="24"/>
        </w:rPr>
      </w:pPr>
    </w:p>
    <w:p w14:paraId="2CA18A26">
      <w:pPr>
        <w:spacing w:line="600" w:lineRule="exact"/>
        <w:rPr>
          <w:sz w:val="24"/>
        </w:rPr>
      </w:pPr>
    </w:p>
    <w:p w14:paraId="47334F63">
      <w:pPr>
        <w:spacing w:line="600" w:lineRule="exact"/>
        <w:jc w:val="center"/>
        <w:rPr>
          <w:sz w:val="32"/>
          <w:szCs w:val="32"/>
          <w:u w:val="single"/>
        </w:rPr>
      </w:pPr>
      <w:r>
        <w:rPr>
          <w:rFonts w:hint="eastAsia"/>
          <w:sz w:val="32"/>
          <w:szCs w:val="32"/>
        </w:rPr>
        <w:t>部门（单位）名称：</w:t>
      </w:r>
      <w:r>
        <w:rPr>
          <w:rFonts w:hint="eastAsia"/>
          <w:sz w:val="32"/>
          <w:szCs w:val="32"/>
          <w:u w:val="single"/>
        </w:rPr>
        <w:t>辰溪商务局</w:t>
      </w:r>
    </w:p>
    <w:p w14:paraId="3054108E">
      <w:pPr>
        <w:spacing w:line="600" w:lineRule="exact"/>
        <w:jc w:val="center"/>
        <w:rPr>
          <w:sz w:val="32"/>
          <w:szCs w:val="32"/>
        </w:rPr>
      </w:pPr>
      <w:r>
        <w:rPr>
          <w:rFonts w:hint="eastAsia"/>
          <w:sz w:val="32"/>
          <w:szCs w:val="32"/>
        </w:rPr>
        <w:t>　　　</w:t>
      </w:r>
      <w:r>
        <w:rPr>
          <w:rFonts w:hint="eastAsia"/>
          <w:sz w:val="32"/>
          <w:szCs w:val="32"/>
          <w:lang w:val="en-US" w:eastAsia="zh-CN"/>
        </w:rPr>
        <w:t>2024</w:t>
      </w:r>
      <w:r>
        <w:rPr>
          <w:rFonts w:hint="eastAsia"/>
          <w:sz w:val="32"/>
          <w:szCs w:val="32"/>
        </w:rPr>
        <w:t xml:space="preserve">年 </w:t>
      </w:r>
      <w:r>
        <w:rPr>
          <w:rFonts w:hint="eastAsia"/>
          <w:sz w:val="32"/>
          <w:szCs w:val="32"/>
          <w:lang w:val="en-US" w:eastAsia="zh-CN"/>
        </w:rPr>
        <w:t>4</w:t>
      </w:r>
      <w:r>
        <w:rPr>
          <w:rFonts w:hint="eastAsia"/>
          <w:sz w:val="32"/>
          <w:szCs w:val="32"/>
        </w:rPr>
        <w:t xml:space="preserve"> 月</w:t>
      </w:r>
      <w:r>
        <w:rPr>
          <w:rFonts w:hint="eastAsia"/>
          <w:sz w:val="32"/>
          <w:szCs w:val="32"/>
          <w:lang w:val="en-US" w:eastAsia="zh-CN"/>
        </w:rPr>
        <w:t>12</w:t>
      </w:r>
      <w:r>
        <w:rPr>
          <w:rFonts w:hint="eastAsia"/>
          <w:sz w:val="32"/>
          <w:szCs w:val="32"/>
        </w:rPr>
        <w:t xml:space="preserve"> </w:t>
      </w:r>
      <w:bookmarkStart w:id="0" w:name="_GoBack"/>
      <w:bookmarkEnd w:id="0"/>
      <w:r>
        <w:rPr>
          <w:rFonts w:hint="eastAsia"/>
          <w:sz w:val="32"/>
          <w:szCs w:val="32"/>
        </w:rPr>
        <w:t>日</w:t>
      </w:r>
    </w:p>
    <w:p w14:paraId="674FB95D">
      <w:pPr>
        <w:spacing w:line="600" w:lineRule="exact"/>
        <w:jc w:val="center"/>
        <w:rPr>
          <w:sz w:val="24"/>
        </w:rPr>
      </w:pPr>
      <w:r>
        <w:rPr>
          <w:rFonts w:hint="eastAsia"/>
          <w:sz w:val="24"/>
        </w:rPr>
        <w:t>（此面为封面）</w:t>
      </w:r>
    </w:p>
    <w:p w14:paraId="22E57102">
      <w:pPr>
        <w:spacing w:line="600" w:lineRule="exact"/>
        <w:jc w:val="center"/>
        <w:rPr>
          <w:rFonts w:hint="eastAsia" w:eastAsia="方正小标宋_GBK"/>
          <w:sz w:val="36"/>
          <w:szCs w:val="36"/>
        </w:rPr>
      </w:pPr>
    </w:p>
    <w:p w14:paraId="55A78CAD">
      <w:pPr>
        <w:spacing w:line="600" w:lineRule="exact"/>
        <w:jc w:val="center"/>
        <w:rPr>
          <w:rFonts w:hint="eastAsia" w:eastAsia="方正小标宋_GBK"/>
          <w:sz w:val="36"/>
          <w:szCs w:val="36"/>
        </w:rPr>
      </w:pPr>
    </w:p>
    <w:p w14:paraId="3F5575F4">
      <w:pPr>
        <w:spacing w:line="600" w:lineRule="exact"/>
        <w:jc w:val="center"/>
        <w:rPr>
          <w:rFonts w:hint="eastAsia" w:eastAsia="方正小标宋_GBK"/>
          <w:sz w:val="36"/>
          <w:szCs w:val="36"/>
        </w:rPr>
      </w:pPr>
    </w:p>
    <w:p w14:paraId="23E49564">
      <w:pPr>
        <w:spacing w:line="600" w:lineRule="exact"/>
        <w:jc w:val="center"/>
        <w:rPr>
          <w:rFonts w:hint="eastAsia" w:eastAsia="方正小标宋_GBK"/>
          <w:sz w:val="36"/>
          <w:szCs w:val="36"/>
        </w:rPr>
      </w:pPr>
    </w:p>
    <w:p w14:paraId="71D7184F">
      <w:pPr>
        <w:widowControl/>
        <w:spacing w:line="640" w:lineRule="exact"/>
        <w:jc w:val="center"/>
        <w:rPr>
          <w:rFonts w:hint="eastAsia" w:ascii="黑体" w:hAnsi="黑体" w:eastAsia="黑体" w:cs="黑体"/>
          <w:bCs/>
          <w:sz w:val="44"/>
        </w:rPr>
      </w:pPr>
    </w:p>
    <w:p w14:paraId="2098A238">
      <w:pPr>
        <w:widowControl/>
        <w:spacing w:line="640" w:lineRule="exact"/>
        <w:jc w:val="center"/>
        <w:rPr>
          <w:rFonts w:hint="eastAsia" w:ascii="黑体" w:hAnsi="黑体" w:eastAsia="黑体" w:cs="黑体"/>
          <w:bCs/>
          <w:sz w:val="44"/>
        </w:rPr>
      </w:pPr>
    </w:p>
    <w:p w14:paraId="34963A1F">
      <w:pPr>
        <w:widowControl/>
        <w:spacing w:line="640" w:lineRule="exact"/>
        <w:jc w:val="center"/>
        <w:rPr>
          <w:rFonts w:hint="eastAsia" w:ascii="黑体" w:hAnsi="黑体" w:eastAsia="黑体" w:cs="黑体"/>
          <w:bCs/>
          <w:sz w:val="44"/>
        </w:rPr>
      </w:pPr>
    </w:p>
    <w:p w14:paraId="02EDF6D1">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val="en-US" w:eastAsia="zh-CN"/>
        </w:rPr>
        <w:t>辰溪县商务局</w:t>
      </w:r>
      <w:r>
        <w:rPr>
          <w:rFonts w:hint="eastAsia" w:ascii="黑体" w:hAnsi="黑体" w:eastAsia="黑体" w:cs="黑体"/>
          <w:bCs/>
          <w:sz w:val="44"/>
        </w:rPr>
        <w:t>部门整体支出绩效</w:t>
      </w:r>
    </w:p>
    <w:p w14:paraId="57184C45">
      <w:pPr>
        <w:widowControl/>
        <w:spacing w:line="640" w:lineRule="exact"/>
        <w:jc w:val="center"/>
        <w:rPr>
          <w:rFonts w:hint="eastAsia" w:ascii="黑体" w:hAnsi="黑体" w:eastAsia="黑体" w:cs="黑体"/>
          <w:bCs/>
          <w:sz w:val="44"/>
        </w:rPr>
      </w:pPr>
      <w:r>
        <w:rPr>
          <w:rFonts w:hint="eastAsia" w:ascii="黑体" w:hAnsi="黑体" w:eastAsia="黑体" w:cs="黑体"/>
          <w:bCs/>
          <w:sz w:val="44"/>
        </w:rPr>
        <w:t>自评报告</w:t>
      </w:r>
    </w:p>
    <w:p w14:paraId="050F31EC">
      <w:pPr>
        <w:spacing w:line="600" w:lineRule="exact"/>
        <w:jc w:val="center"/>
        <w:rPr>
          <w:rFonts w:eastAsia="楷体_GB2312"/>
          <w:sz w:val="32"/>
          <w:szCs w:val="32"/>
        </w:rPr>
      </w:pPr>
    </w:p>
    <w:p w14:paraId="7467422B">
      <w:pPr>
        <w:spacing w:line="600" w:lineRule="exact"/>
        <w:jc w:val="center"/>
        <w:rPr>
          <w:rFonts w:eastAsia="方正小标宋_GBK"/>
          <w:sz w:val="32"/>
          <w:szCs w:val="32"/>
        </w:rPr>
      </w:pPr>
    </w:p>
    <w:p w14:paraId="0B11FC34">
      <w:pPr>
        <w:pStyle w:val="5"/>
        <w:widowControl/>
        <w:numPr>
          <w:ilvl w:val="0"/>
          <w:numId w:val="1"/>
        </w:numPr>
        <w:spacing w:line="600" w:lineRule="exact"/>
        <w:ind w:left="640" w:firstLine="0" w:firstLineChars="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部门基本情况</w:t>
      </w:r>
    </w:p>
    <w:p w14:paraId="1C1B70E6">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商务局作为一级部门预算单位，内设科室为：办公室、政策法规和市场秩序股、商贸服务和流通业发展股、投资管理和外经外贸股、电子商务股、党建办、工会。截止202</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年12月31日共有在职人员</w:t>
      </w:r>
      <w:r>
        <w:rPr>
          <w:rFonts w:hint="eastAsia" w:asciiTheme="majorEastAsia" w:hAnsiTheme="majorEastAsia" w:eastAsiaTheme="majorEastAsia" w:cstheme="majorEastAsia"/>
          <w:sz w:val="32"/>
          <w:szCs w:val="32"/>
          <w:lang w:val="en-US" w:eastAsia="zh-CN"/>
        </w:rPr>
        <w:t>30</w:t>
      </w:r>
      <w:r>
        <w:rPr>
          <w:rFonts w:hint="eastAsia" w:asciiTheme="majorEastAsia" w:hAnsiTheme="majorEastAsia" w:eastAsiaTheme="majorEastAsia" w:cstheme="majorEastAsia"/>
          <w:sz w:val="32"/>
          <w:szCs w:val="32"/>
        </w:rPr>
        <w:t>人，退休人员</w:t>
      </w:r>
      <w:r>
        <w:rPr>
          <w:rFonts w:hint="eastAsia" w:asciiTheme="majorEastAsia" w:hAnsiTheme="majorEastAsia" w:eastAsiaTheme="majorEastAsia" w:cstheme="majorEastAsia"/>
          <w:sz w:val="32"/>
          <w:szCs w:val="32"/>
          <w:lang w:val="en-US" w:eastAsia="zh-CN"/>
        </w:rPr>
        <w:t>82</w:t>
      </w:r>
      <w:r>
        <w:rPr>
          <w:rFonts w:hint="eastAsia" w:asciiTheme="majorEastAsia" w:hAnsiTheme="majorEastAsia" w:eastAsiaTheme="majorEastAsia" w:cstheme="majorEastAsia"/>
          <w:sz w:val="32"/>
          <w:szCs w:val="32"/>
        </w:rPr>
        <w:t>人。202</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年我单位资产总额</w:t>
      </w:r>
      <w:r>
        <w:rPr>
          <w:rFonts w:hint="eastAsia" w:asciiTheme="majorEastAsia" w:hAnsiTheme="majorEastAsia" w:eastAsiaTheme="majorEastAsia" w:cstheme="majorEastAsia"/>
          <w:sz w:val="32"/>
          <w:szCs w:val="32"/>
          <w:lang w:val="en-US" w:eastAsia="zh-CN"/>
        </w:rPr>
        <w:t>1488745</w:t>
      </w:r>
      <w:r>
        <w:rPr>
          <w:rFonts w:hint="eastAsia" w:asciiTheme="majorEastAsia" w:hAnsiTheme="majorEastAsia" w:eastAsiaTheme="majorEastAsia" w:cstheme="majorEastAsia"/>
          <w:sz w:val="32"/>
          <w:szCs w:val="32"/>
        </w:rPr>
        <w:t>元，其中，流动资产</w:t>
      </w:r>
      <w:r>
        <w:rPr>
          <w:rFonts w:hint="eastAsia" w:asciiTheme="majorEastAsia" w:hAnsiTheme="majorEastAsia" w:eastAsiaTheme="majorEastAsia" w:cstheme="majorEastAsia"/>
          <w:sz w:val="32"/>
          <w:szCs w:val="32"/>
          <w:lang w:val="en-US" w:eastAsia="zh-CN"/>
        </w:rPr>
        <w:t>997299</w:t>
      </w:r>
      <w:r>
        <w:rPr>
          <w:rFonts w:hint="eastAsia" w:asciiTheme="majorEastAsia" w:hAnsiTheme="majorEastAsia" w:eastAsiaTheme="majorEastAsia" w:cstheme="majorEastAsia"/>
          <w:sz w:val="32"/>
          <w:szCs w:val="32"/>
        </w:rPr>
        <w:t>元；固定资产</w:t>
      </w:r>
      <w:r>
        <w:rPr>
          <w:rFonts w:hint="eastAsia" w:asciiTheme="majorEastAsia" w:hAnsiTheme="majorEastAsia" w:eastAsiaTheme="majorEastAsia" w:cstheme="majorEastAsia"/>
          <w:sz w:val="32"/>
          <w:szCs w:val="32"/>
          <w:lang w:val="en-US" w:eastAsia="zh-CN"/>
        </w:rPr>
        <w:t>2448799</w:t>
      </w:r>
      <w:r>
        <w:rPr>
          <w:rFonts w:hint="eastAsia" w:asciiTheme="majorEastAsia" w:hAnsiTheme="majorEastAsia" w:eastAsiaTheme="majorEastAsia" w:cstheme="majorEastAsia"/>
          <w:sz w:val="32"/>
          <w:szCs w:val="32"/>
        </w:rPr>
        <w:t>元。</w:t>
      </w:r>
    </w:p>
    <w:p w14:paraId="0C25C828">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单位主要职能是：1、贯彻执行国家国内外贸易、国际经济合作和区域经济合作的发展战略、政策，起草我县国内外贸易、招商引资、承接产业转移、对外援助、对外投资和对外经济合作的规范性文件，研究经济全球化、区域经济合作、现代流通方式的发展趋势和流通体制改革并提出建议。</w:t>
      </w:r>
    </w:p>
    <w:p w14:paraId="627AB218">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2、负责推进流通产业结构调整，指导流通企业改革，促进商贸服务业和社区商业发展，提出促进中小商贸企业发展的政策建议，推动流通标准化和连锁经营、商业特许经营、物流配送、电子商务等现代流通方式的发展。</w:t>
      </w:r>
    </w:p>
    <w:p w14:paraId="517C0004">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3、拟订全县国内贸易发展规划，促进城乡市场发展，研究提出引导国内外资金投向市场体系建设的政策建议，指导大宗产品批发市场规划和城市商业网点规划、商业体系建设工作，推进农村市场体系建设，组织实施农村现代流通网络工程，</w:t>
      </w:r>
    </w:p>
    <w:p w14:paraId="30E7F169">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4、承担牵头协调整顿和规范市场经济秩序工作的责任，拟订规范市场秩序的政策：推动商务领域信用建设，指导商业信用销售，建立市场诚信公共服务平台；按有关规定对特殊流通行业进行监督管理.</w:t>
      </w:r>
    </w:p>
    <w:p w14:paraId="13659CF5">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5、承担组织实施重要消费品市场调控和重要生产资料</w:t>
      </w:r>
    </w:p>
    <w:p w14:paraId="0D4E8237">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(成品油)流通管理的责任，监测分析重要消费品的市场运行、商品供求状况，调查分析重要消费品价格信息，进行预测预警和信息引导：按有关规定对成品油流通进行监督管理，</w:t>
      </w:r>
    </w:p>
    <w:p w14:paraId="7166B16D">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6、贯彻执行国家进出口商品、加工贸易管理办法和进出口管理商品、技术目录，拟订促进外贸增长方式转变的政策措施，组织实施重要工业品、原材料和重要农产品进出口总量计划，会同有关部门协调大宗商品的进出口，指导贸易促进活动和外贸促进体系建设，</w:t>
      </w:r>
    </w:p>
    <w:p w14:paraId="4B1FA08A">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7、贯彻执行国家对外技术贸易、出口管制以及鼓励技术和成套设备进出口的贸易政策，推进进出口贸易标准化工作；依法监督技术引进，设备进口、国家限制出口技术的工作。</w:t>
      </w:r>
    </w:p>
    <w:p w14:paraId="549C3975">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8、牵头拟订服务贸易发晨规划并开展相关工作：会同有关部门制定促进服务出口，服务外包的规划，政策并组织实施，推动服务外包平台建设。</w:t>
      </w:r>
    </w:p>
    <w:p w14:paraId="41B40A41">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9、贯彻执行我国多双边（含区城、自由贸易区）经贸合作战略和政策，推进我县与其他国家（地区）的经贸往来与投资贸易合作；牵头承担全县商务领域涉及世界贸易组织事务的相关工作，负责对外经济贸易协调工作。</w:t>
      </w:r>
    </w:p>
    <w:p w14:paraId="3AB50564">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10、负责组织协调反倾销、反补贴、保障措施及其他与进出口公平贸易相关的工作，协助开展对外贸易调查和产业损害调查，指导协调产业安全应对工作。</w:t>
      </w:r>
    </w:p>
    <w:p w14:paraId="1D8C5C96">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11、指导和管理全县招商引资、投资促进和承接产业转移工作，拟订并组织实施招商引资和承接产业转移政策；指导投资促进及全县外商投资企业审批备案工作。</w:t>
      </w:r>
    </w:p>
    <w:p w14:paraId="1B01BE17">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12、拟订并组织实施对外经济合作政策：依法管理和监督对外承包工程、对外劳务合作等：拟订县内人员出境就业管理政策并组织实施，负责牵头外派劳务和境外就业人员的权益保护工作：拟订境外投资的具体政策，指导县内企业对外投资开办企业（金融企业除外）按程序报批。</w:t>
      </w:r>
    </w:p>
    <w:p w14:paraId="671EA548">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13、贯彻执行国家对外援助政策和方案，协调管理全县承担的对外援助项目；协调管理多双边对我县的无偿援助和赠款（不含财政合作项下外国政府及国际金融组织的赠款）等发展合作业务。</w:t>
      </w:r>
    </w:p>
    <w:p w14:paraId="4A2F820F">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14、贯彻执行国家对香港、澳门特别行政区和台湾地区的经贸规划、政策，指导我县对港、澳、台地区贸易和经贸合作活动，协调港、澳、台商投资管理工作。</w:t>
      </w:r>
    </w:p>
    <w:p w14:paraId="32FEEBE8">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15、承担会展业促进与管理有关工作。</w:t>
      </w:r>
    </w:p>
    <w:p w14:paraId="3C777225">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16、负责全县商贸行业安全生产监督管理工作。</w:t>
      </w:r>
    </w:p>
    <w:p w14:paraId="05AA35B6">
      <w:pPr>
        <w:widowControl/>
        <w:spacing w:line="560" w:lineRule="exact"/>
        <w:ind w:firstLine="627" w:firstLineChars="19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17、完成县委、县政府交办的其他任务。</w:t>
      </w:r>
    </w:p>
    <w:p w14:paraId="691E7E5D">
      <w:pPr>
        <w:pStyle w:val="5"/>
        <w:widowControl/>
        <w:spacing w:line="600" w:lineRule="exact"/>
        <w:ind w:left="640" w:firstLine="0" w:firstLineChars="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二、一般公共预算支出情况</w:t>
      </w:r>
    </w:p>
    <w:p w14:paraId="11FBC051">
      <w:pPr>
        <w:pStyle w:val="5"/>
        <w:widowControl/>
        <w:spacing w:line="600" w:lineRule="exact"/>
        <w:ind w:left="640" w:firstLine="0" w:firstLineChars="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（一）基本支出情况</w:t>
      </w:r>
    </w:p>
    <w:p w14:paraId="2A3B210D">
      <w:pPr>
        <w:spacing w:line="600" w:lineRule="exact"/>
        <w:ind w:firstLine="643" w:firstLineChars="200"/>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1、整体支出情况</w:t>
      </w:r>
    </w:p>
    <w:p w14:paraId="1B05E64B">
      <w:pPr>
        <w:spacing w:line="600" w:lineRule="exact"/>
        <w:ind w:firstLine="640" w:firstLineChars="20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202</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年度财政拨款基本支出</w:t>
      </w:r>
      <w:r>
        <w:rPr>
          <w:rFonts w:hint="eastAsia" w:asciiTheme="majorEastAsia" w:hAnsiTheme="majorEastAsia" w:eastAsiaTheme="majorEastAsia" w:cstheme="majorEastAsia"/>
          <w:sz w:val="32"/>
          <w:szCs w:val="32"/>
          <w:lang w:val="en-US" w:eastAsia="zh-CN"/>
        </w:rPr>
        <w:t>560.47</w:t>
      </w:r>
      <w:r>
        <w:rPr>
          <w:rFonts w:hint="eastAsia" w:asciiTheme="majorEastAsia" w:hAnsiTheme="majorEastAsia" w:eastAsiaTheme="majorEastAsia" w:cstheme="majorEastAsia"/>
          <w:sz w:val="32"/>
          <w:szCs w:val="32"/>
        </w:rPr>
        <w:t>万元，其中：人员经费</w:t>
      </w:r>
      <w:r>
        <w:rPr>
          <w:rFonts w:hint="eastAsia" w:asciiTheme="majorEastAsia" w:hAnsiTheme="majorEastAsia" w:eastAsiaTheme="majorEastAsia" w:cstheme="majorEastAsia"/>
          <w:sz w:val="32"/>
          <w:szCs w:val="32"/>
          <w:lang w:val="en-US" w:eastAsia="zh-CN"/>
        </w:rPr>
        <w:t>461.98</w:t>
      </w:r>
      <w:r>
        <w:rPr>
          <w:rFonts w:hint="eastAsia" w:asciiTheme="majorEastAsia" w:hAnsiTheme="majorEastAsia" w:eastAsiaTheme="majorEastAsia" w:cstheme="majorEastAsia"/>
          <w:sz w:val="32"/>
          <w:szCs w:val="32"/>
        </w:rPr>
        <w:t>万元，占基本支出的</w:t>
      </w:r>
      <w:r>
        <w:rPr>
          <w:rFonts w:hint="eastAsia" w:asciiTheme="majorEastAsia" w:hAnsiTheme="majorEastAsia" w:eastAsiaTheme="majorEastAsia" w:cstheme="majorEastAsia"/>
          <w:sz w:val="32"/>
          <w:szCs w:val="32"/>
          <w:lang w:val="en-US" w:eastAsia="zh-CN"/>
        </w:rPr>
        <w:t>82.43</w:t>
      </w:r>
      <w:r>
        <w:rPr>
          <w:rFonts w:hint="eastAsia" w:asciiTheme="majorEastAsia" w:hAnsiTheme="majorEastAsia" w:eastAsiaTheme="majorEastAsia" w:cstheme="majorEastAsia"/>
          <w:sz w:val="32"/>
          <w:szCs w:val="32"/>
        </w:rPr>
        <w:t>%,主要包括基本工资、津贴补贴、奖金、伙食补助费、绩效工资、职工基本医疗保险缴费、其他社会保障缴费、其他工资福利支出、奖励金。公用经费</w:t>
      </w:r>
      <w:r>
        <w:rPr>
          <w:rFonts w:hint="eastAsia" w:asciiTheme="majorEastAsia" w:hAnsiTheme="majorEastAsia" w:eastAsiaTheme="majorEastAsia" w:cstheme="majorEastAsia"/>
          <w:sz w:val="32"/>
          <w:szCs w:val="32"/>
          <w:lang w:val="en-US" w:eastAsia="zh-CN"/>
        </w:rPr>
        <w:t>98.49</w:t>
      </w:r>
      <w:r>
        <w:rPr>
          <w:rFonts w:hint="eastAsia" w:asciiTheme="majorEastAsia" w:hAnsiTheme="majorEastAsia" w:eastAsiaTheme="majorEastAsia" w:cstheme="majorEastAsia"/>
          <w:sz w:val="32"/>
          <w:szCs w:val="32"/>
        </w:rPr>
        <w:t>万元，占基本支出的</w:t>
      </w:r>
      <w:r>
        <w:rPr>
          <w:rFonts w:hint="eastAsia" w:asciiTheme="majorEastAsia" w:hAnsiTheme="majorEastAsia" w:eastAsiaTheme="majorEastAsia" w:cstheme="majorEastAsia"/>
          <w:sz w:val="32"/>
          <w:szCs w:val="32"/>
          <w:lang w:val="en-US" w:eastAsia="zh-CN"/>
        </w:rPr>
        <w:t>17.57</w:t>
      </w:r>
      <w:r>
        <w:rPr>
          <w:rFonts w:hint="eastAsia" w:asciiTheme="majorEastAsia" w:hAnsiTheme="majorEastAsia" w:eastAsiaTheme="majorEastAsia" w:cstheme="majorEastAsia"/>
          <w:sz w:val="32"/>
          <w:szCs w:val="32"/>
        </w:rPr>
        <w:t>%，主要包括办公费、印刷费、手续费、水费、电费、邮电费、物业管理费、差旅费、维修（护）费、租赁费、培训费、公务接待费、劳务费、工会经费、福利费、其他交通费用、其他商品服务支出。。</w:t>
      </w:r>
    </w:p>
    <w:p w14:paraId="775DD188">
      <w:pPr>
        <w:spacing w:line="600" w:lineRule="exact"/>
        <w:ind w:firstLine="643" w:firstLineChars="200"/>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2、资金实际使用情况</w:t>
      </w:r>
    </w:p>
    <w:p w14:paraId="5B1EA4BC">
      <w:pPr>
        <w:spacing w:line="600" w:lineRule="exact"/>
        <w:ind w:firstLine="640" w:firstLineChars="20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（1）人员经费支出</w:t>
      </w:r>
      <w:r>
        <w:rPr>
          <w:rFonts w:hint="eastAsia" w:asciiTheme="majorEastAsia" w:hAnsiTheme="majorEastAsia" w:eastAsiaTheme="majorEastAsia" w:cstheme="majorEastAsia"/>
          <w:sz w:val="32"/>
          <w:szCs w:val="32"/>
          <w:lang w:val="en-US" w:eastAsia="zh-CN"/>
        </w:rPr>
        <w:t>461.98</w:t>
      </w:r>
      <w:r>
        <w:rPr>
          <w:rFonts w:hint="eastAsia" w:asciiTheme="majorEastAsia" w:hAnsiTheme="majorEastAsia" w:eastAsiaTheme="majorEastAsia" w:cstheme="majorEastAsia"/>
          <w:sz w:val="32"/>
          <w:szCs w:val="32"/>
        </w:rPr>
        <w:t>万元，其中：基本工资</w:t>
      </w:r>
      <w:r>
        <w:rPr>
          <w:rFonts w:hint="eastAsia" w:asciiTheme="majorEastAsia" w:hAnsiTheme="majorEastAsia" w:eastAsiaTheme="majorEastAsia" w:cstheme="majorEastAsia"/>
          <w:sz w:val="32"/>
          <w:szCs w:val="32"/>
          <w:lang w:val="en-US" w:eastAsia="zh-CN"/>
        </w:rPr>
        <w:t>270.02</w:t>
      </w:r>
      <w:r>
        <w:rPr>
          <w:rFonts w:hint="eastAsia" w:asciiTheme="majorEastAsia" w:hAnsiTheme="majorEastAsia" w:eastAsiaTheme="majorEastAsia" w:cstheme="majorEastAsia"/>
          <w:sz w:val="32"/>
          <w:szCs w:val="32"/>
        </w:rPr>
        <w:t>万元、奖金</w:t>
      </w:r>
      <w:r>
        <w:rPr>
          <w:rFonts w:hint="eastAsia" w:asciiTheme="majorEastAsia" w:hAnsiTheme="majorEastAsia" w:eastAsiaTheme="majorEastAsia" w:cstheme="majorEastAsia"/>
          <w:sz w:val="32"/>
          <w:szCs w:val="32"/>
          <w:lang w:val="en-US" w:eastAsia="zh-CN"/>
        </w:rPr>
        <w:t>43.19</w:t>
      </w:r>
      <w:r>
        <w:rPr>
          <w:rFonts w:hint="eastAsia" w:asciiTheme="majorEastAsia" w:hAnsiTheme="majorEastAsia" w:eastAsiaTheme="majorEastAsia" w:cstheme="majorEastAsia"/>
          <w:sz w:val="32"/>
          <w:szCs w:val="32"/>
        </w:rPr>
        <w:t>万元、绩效工资</w:t>
      </w:r>
      <w:r>
        <w:rPr>
          <w:rFonts w:hint="eastAsia" w:asciiTheme="majorEastAsia" w:hAnsiTheme="majorEastAsia" w:eastAsiaTheme="majorEastAsia" w:cstheme="majorEastAsia"/>
          <w:sz w:val="32"/>
          <w:szCs w:val="32"/>
          <w:lang w:val="en-US" w:eastAsia="zh-CN"/>
        </w:rPr>
        <w:t>5.55</w:t>
      </w:r>
      <w:r>
        <w:rPr>
          <w:rFonts w:hint="eastAsia" w:asciiTheme="majorEastAsia" w:hAnsiTheme="majorEastAsia" w:eastAsiaTheme="majorEastAsia" w:cstheme="majorEastAsia"/>
          <w:sz w:val="32"/>
          <w:szCs w:val="32"/>
        </w:rPr>
        <w:t>万元、</w:t>
      </w:r>
      <w:r>
        <w:rPr>
          <w:rFonts w:hint="eastAsia" w:asciiTheme="majorEastAsia" w:hAnsiTheme="majorEastAsia" w:eastAsiaTheme="majorEastAsia" w:cstheme="majorEastAsia"/>
          <w:sz w:val="32"/>
          <w:szCs w:val="32"/>
          <w:lang w:val="en-US" w:eastAsia="zh-CN"/>
        </w:rPr>
        <w:t>机关事业单位基本养老保险缴费55.06万元、</w:t>
      </w:r>
      <w:r>
        <w:rPr>
          <w:rFonts w:hint="eastAsia" w:asciiTheme="majorEastAsia" w:hAnsiTheme="majorEastAsia" w:eastAsiaTheme="majorEastAsia" w:cstheme="majorEastAsia"/>
          <w:sz w:val="32"/>
          <w:szCs w:val="32"/>
        </w:rPr>
        <w:t>职工基本医疗保险缴费</w:t>
      </w:r>
      <w:r>
        <w:rPr>
          <w:rFonts w:hint="eastAsia" w:asciiTheme="majorEastAsia" w:hAnsiTheme="majorEastAsia" w:eastAsiaTheme="majorEastAsia" w:cstheme="majorEastAsia"/>
          <w:sz w:val="32"/>
          <w:szCs w:val="32"/>
          <w:lang w:val="en-US" w:eastAsia="zh-CN"/>
        </w:rPr>
        <w:t>26.07</w:t>
      </w:r>
      <w:r>
        <w:rPr>
          <w:rFonts w:hint="eastAsia" w:asciiTheme="majorEastAsia" w:hAnsiTheme="majorEastAsia" w:eastAsiaTheme="majorEastAsia" w:cstheme="majorEastAsia"/>
          <w:sz w:val="32"/>
          <w:szCs w:val="32"/>
        </w:rPr>
        <w:t>万元、其他社会保障经费</w:t>
      </w:r>
      <w:r>
        <w:rPr>
          <w:rFonts w:hint="eastAsia" w:asciiTheme="majorEastAsia" w:hAnsiTheme="majorEastAsia" w:eastAsiaTheme="majorEastAsia" w:cstheme="majorEastAsia"/>
          <w:sz w:val="32"/>
          <w:szCs w:val="32"/>
          <w:lang w:val="en-US" w:eastAsia="zh-CN"/>
        </w:rPr>
        <w:t>39.34</w:t>
      </w:r>
      <w:r>
        <w:rPr>
          <w:rFonts w:hint="eastAsia" w:asciiTheme="majorEastAsia" w:hAnsiTheme="majorEastAsia" w:eastAsiaTheme="majorEastAsia" w:cstheme="majorEastAsia"/>
          <w:sz w:val="32"/>
          <w:szCs w:val="32"/>
        </w:rPr>
        <w:t>万元，</w:t>
      </w:r>
      <w:r>
        <w:rPr>
          <w:rFonts w:hint="eastAsia" w:asciiTheme="majorEastAsia" w:hAnsiTheme="majorEastAsia" w:eastAsiaTheme="majorEastAsia" w:cstheme="majorEastAsia"/>
          <w:sz w:val="32"/>
          <w:szCs w:val="32"/>
          <w:lang w:val="en-US" w:eastAsia="zh-CN"/>
        </w:rPr>
        <w:t>其他工资福利支出9.35万元、抚恤金1.24万元、生活补助8.34万元、救济费0.09</w:t>
      </w:r>
      <w:r>
        <w:rPr>
          <w:rFonts w:hint="eastAsia" w:asciiTheme="majorEastAsia" w:hAnsiTheme="majorEastAsia" w:eastAsiaTheme="majorEastAsia" w:cstheme="majorEastAsia"/>
          <w:sz w:val="32"/>
          <w:szCs w:val="32"/>
        </w:rPr>
        <w:t>。</w:t>
      </w:r>
    </w:p>
    <w:p w14:paraId="41DB60DB">
      <w:pPr>
        <w:spacing w:line="600" w:lineRule="exact"/>
        <w:ind w:firstLine="640" w:firstLineChars="20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（2）日常公用经费支出</w:t>
      </w:r>
      <w:r>
        <w:rPr>
          <w:rFonts w:hint="eastAsia" w:asciiTheme="majorEastAsia" w:hAnsiTheme="majorEastAsia" w:eastAsiaTheme="majorEastAsia" w:cstheme="majorEastAsia"/>
          <w:sz w:val="32"/>
          <w:szCs w:val="32"/>
          <w:lang w:val="en-US" w:eastAsia="zh-CN"/>
        </w:rPr>
        <w:t>98.49</w:t>
      </w:r>
      <w:r>
        <w:rPr>
          <w:rFonts w:hint="eastAsia" w:asciiTheme="majorEastAsia" w:hAnsiTheme="majorEastAsia" w:eastAsiaTheme="majorEastAsia" w:cstheme="majorEastAsia"/>
          <w:sz w:val="32"/>
          <w:szCs w:val="32"/>
        </w:rPr>
        <w:t>万元，其中：办公费</w:t>
      </w:r>
      <w:r>
        <w:rPr>
          <w:rFonts w:hint="eastAsia" w:asciiTheme="majorEastAsia" w:hAnsiTheme="majorEastAsia" w:eastAsiaTheme="majorEastAsia" w:cstheme="majorEastAsia"/>
          <w:sz w:val="32"/>
          <w:szCs w:val="32"/>
          <w:lang w:val="en-US" w:eastAsia="zh-CN"/>
        </w:rPr>
        <w:t>41.64</w:t>
      </w:r>
      <w:r>
        <w:rPr>
          <w:rFonts w:hint="eastAsia" w:asciiTheme="majorEastAsia" w:hAnsiTheme="majorEastAsia" w:eastAsiaTheme="majorEastAsia" w:cstheme="majorEastAsia"/>
          <w:sz w:val="32"/>
          <w:szCs w:val="32"/>
        </w:rPr>
        <w:t>万元、印刷费</w:t>
      </w:r>
      <w:r>
        <w:rPr>
          <w:rFonts w:hint="eastAsia" w:asciiTheme="majorEastAsia" w:hAnsiTheme="majorEastAsia" w:eastAsiaTheme="majorEastAsia" w:cstheme="majorEastAsia"/>
          <w:sz w:val="32"/>
          <w:szCs w:val="32"/>
          <w:lang w:val="en-US" w:eastAsia="zh-CN"/>
        </w:rPr>
        <w:t>6.5</w:t>
      </w:r>
      <w:r>
        <w:rPr>
          <w:rFonts w:hint="eastAsia" w:asciiTheme="majorEastAsia" w:hAnsiTheme="majorEastAsia" w:eastAsiaTheme="majorEastAsia" w:cstheme="majorEastAsia"/>
          <w:sz w:val="32"/>
          <w:szCs w:val="32"/>
        </w:rPr>
        <w:t>万元、水费0.</w:t>
      </w:r>
      <w:r>
        <w:rPr>
          <w:rFonts w:hint="eastAsia" w:asciiTheme="majorEastAsia" w:hAnsiTheme="majorEastAsia" w:eastAsiaTheme="majorEastAsia" w:cstheme="majorEastAsia"/>
          <w:sz w:val="32"/>
          <w:szCs w:val="32"/>
          <w:lang w:val="en-US" w:eastAsia="zh-CN"/>
        </w:rPr>
        <w:t>72</w:t>
      </w:r>
      <w:r>
        <w:rPr>
          <w:rFonts w:hint="eastAsia" w:asciiTheme="majorEastAsia" w:hAnsiTheme="majorEastAsia" w:eastAsiaTheme="majorEastAsia" w:cstheme="majorEastAsia"/>
          <w:sz w:val="32"/>
          <w:szCs w:val="32"/>
        </w:rPr>
        <w:t>万元、电费</w:t>
      </w:r>
      <w:r>
        <w:rPr>
          <w:rFonts w:hint="eastAsia" w:asciiTheme="majorEastAsia" w:hAnsiTheme="majorEastAsia" w:eastAsiaTheme="majorEastAsia" w:cstheme="majorEastAsia"/>
          <w:sz w:val="32"/>
          <w:szCs w:val="32"/>
          <w:lang w:val="en-US" w:eastAsia="zh-CN"/>
        </w:rPr>
        <w:t>2.94</w:t>
      </w:r>
      <w:r>
        <w:rPr>
          <w:rFonts w:hint="eastAsia" w:asciiTheme="majorEastAsia" w:hAnsiTheme="majorEastAsia" w:eastAsiaTheme="majorEastAsia" w:cstheme="majorEastAsia"/>
          <w:sz w:val="32"/>
          <w:szCs w:val="32"/>
        </w:rPr>
        <w:t>万元、邮电费</w:t>
      </w:r>
      <w:r>
        <w:rPr>
          <w:rFonts w:hint="eastAsia" w:asciiTheme="majorEastAsia" w:hAnsiTheme="majorEastAsia" w:eastAsiaTheme="majorEastAsia" w:cstheme="majorEastAsia"/>
          <w:sz w:val="32"/>
          <w:szCs w:val="32"/>
          <w:lang w:val="en-US" w:eastAsia="zh-CN"/>
        </w:rPr>
        <w:t>0.25</w:t>
      </w:r>
      <w:r>
        <w:rPr>
          <w:rFonts w:hint="eastAsia" w:asciiTheme="majorEastAsia" w:hAnsiTheme="majorEastAsia" w:eastAsiaTheme="majorEastAsia" w:cstheme="majorEastAsia"/>
          <w:sz w:val="32"/>
          <w:szCs w:val="32"/>
        </w:rPr>
        <w:t>万元、物业管理费</w:t>
      </w:r>
      <w:r>
        <w:rPr>
          <w:rFonts w:hint="eastAsia" w:asciiTheme="majorEastAsia" w:hAnsiTheme="majorEastAsia" w:eastAsiaTheme="majorEastAsia" w:cstheme="majorEastAsia"/>
          <w:sz w:val="32"/>
          <w:szCs w:val="32"/>
          <w:lang w:val="en-US" w:eastAsia="zh-CN"/>
        </w:rPr>
        <w:t>0.5</w:t>
      </w:r>
      <w:r>
        <w:rPr>
          <w:rFonts w:hint="eastAsia" w:asciiTheme="majorEastAsia" w:hAnsiTheme="majorEastAsia" w:eastAsiaTheme="majorEastAsia" w:cstheme="majorEastAsia"/>
          <w:sz w:val="32"/>
          <w:szCs w:val="32"/>
        </w:rPr>
        <w:t>万元、差旅费</w:t>
      </w:r>
      <w:r>
        <w:rPr>
          <w:rFonts w:hint="eastAsia" w:asciiTheme="majorEastAsia" w:hAnsiTheme="majorEastAsia" w:eastAsiaTheme="majorEastAsia" w:cstheme="majorEastAsia"/>
          <w:sz w:val="32"/>
          <w:szCs w:val="32"/>
          <w:lang w:val="en-US" w:eastAsia="zh-CN"/>
        </w:rPr>
        <w:t>6.68</w:t>
      </w:r>
      <w:r>
        <w:rPr>
          <w:rFonts w:hint="eastAsia" w:asciiTheme="majorEastAsia" w:hAnsiTheme="majorEastAsia" w:eastAsiaTheme="majorEastAsia" w:cstheme="majorEastAsia"/>
          <w:sz w:val="32"/>
          <w:szCs w:val="32"/>
        </w:rPr>
        <w:t>万元、维护费</w:t>
      </w:r>
      <w:r>
        <w:rPr>
          <w:rFonts w:hint="eastAsia" w:asciiTheme="majorEastAsia" w:hAnsiTheme="majorEastAsia" w:eastAsiaTheme="majorEastAsia" w:cstheme="majorEastAsia"/>
          <w:sz w:val="32"/>
          <w:szCs w:val="32"/>
          <w:lang w:val="en-US" w:eastAsia="zh-CN"/>
        </w:rPr>
        <w:t>0.89</w:t>
      </w:r>
      <w:r>
        <w:rPr>
          <w:rFonts w:hint="eastAsia" w:asciiTheme="majorEastAsia" w:hAnsiTheme="majorEastAsia" w:eastAsiaTheme="majorEastAsia" w:cstheme="majorEastAsia"/>
          <w:sz w:val="32"/>
          <w:szCs w:val="32"/>
        </w:rPr>
        <w:t>万元、</w:t>
      </w:r>
      <w:r>
        <w:rPr>
          <w:rFonts w:hint="eastAsia" w:asciiTheme="majorEastAsia" w:hAnsiTheme="majorEastAsia" w:eastAsiaTheme="majorEastAsia" w:cstheme="majorEastAsia"/>
          <w:sz w:val="32"/>
          <w:szCs w:val="32"/>
          <w:lang w:val="en-US" w:eastAsia="zh-CN"/>
        </w:rPr>
        <w:t>租赁费0.55</w:t>
      </w:r>
      <w:r>
        <w:rPr>
          <w:rFonts w:hint="eastAsia" w:asciiTheme="majorEastAsia" w:hAnsiTheme="majorEastAsia" w:eastAsiaTheme="majorEastAsia" w:cstheme="majorEastAsia"/>
          <w:sz w:val="32"/>
          <w:szCs w:val="32"/>
        </w:rPr>
        <w:t>万元、公务接待费</w:t>
      </w:r>
      <w:r>
        <w:rPr>
          <w:rFonts w:hint="eastAsia" w:asciiTheme="majorEastAsia" w:hAnsiTheme="majorEastAsia" w:eastAsiaTheme="majorEastAsia" w:cstheme="majorEastAsia"/>
          <w:sz w:val="32"/>
          <w:szCs w:val="32"/>
          <w:lang w:val="en-US" w:eastAsia="zh-CN"/>
        </w:rPr>
        <w:t>0.27</w:t>
      </w:r>
      <w:r>
        <w:rPr>
          <w:rFonts w:hint="eastAsia" w:asciiTheme="majorEastAsia" w:hAnsiTheme="majorEastAsia" w:eastAsiaTheme="majorEastAsia" w:cstheme="majorEastAsia"/>
          <w:sz w:val="32"/>
          <w:szCs w:val="32"/>
        </w:rPr>
        <w:t>万元、劳务费</w:t>
      </w:r>
      <w:r>
        <w:rPr>
          <w:rFonts w:hint="eastAsia" w:asciiTheme="majorEastAsia" w:hAnsiTheme="majorEastAsia" w:eastAsiaTheme="majorEastAsia" w:cstheme="majorEastAsia"/>
          <w:sz w:val="32"/>
          <w:szCs w:val="32"/>
          <w:lang w:val="en-US" w:eastAsia="zh-CN"/>
        </w:rPr>
        <w:t>0.75</w:t>
      </w:r>
      <w:r>
        <w:rPr>
          <w:rFonts w:hint="eastAsia" w:asciiTheme="majorEastAsia" w:hAnsiTheme="majorEastAsia" w:eastAsiaTheme="majorEastAsia" w:cstheme="majorEastAsia"/>
          <w:sz w:val="32"/>
          <w:szCs w:val="32"/>
        </w:rPr>
        <w:t>万元、</w:t>
      </w:r>
      <w:r>
        <w:rPr>
          <w:rFonts w:hint="eastAsia" w:asciiTheme="majorEastAsia" w:hAnsiTheme="majorEastAsia" w:eastAsiaTheme="majorEastAsia" w:cstheme="majorEastAsia"/>
          <w:sz w:val="32"/>
          <w:szCs w:val="32"/>
          <w:lang w:val="en-US" w:eastAsia="zh-CN"/>
        </w:rPr>
        <w:t>委托业务费7.25万元、</w:t>
      </w:r>
      <w:r>
        <w:rPr>
          <w:rFonts w:hint="eastAsia" w:asciiTheme="majorEastAsia" w:hAnsiTheme="majorEastAsia" w:eastAsiaTheme="majorEastAsia" w:cstheme="majorEastAsia"/>
          <w:sz w:val="32"/>
          <w:szCs w:val="32"/>
        </w:rPr>
        <w:t>工会经费</w:t>
      </w:r>
      <w:r>
        <w:rPr>
          <w:rFonts w:hint="eastAsia" w:asciiTheme="majorEastAsia" w:hAnsiTheme="majorEastAsia" w:eastAsiaTheme="majorEastAsia" w:cstheme="majorEastAsia"/>
          <w:sz w:val="32"/>
          <w:szCs w:val="32"/>
          <w:lang w:val="en-US" w:eastAsia="zh-CN"/>
        </w:rPr>
        <w:t>12.75</w:t>
      </w:r>
      <w:r>
        <w:rPr>
          <w:rFonts w:hint="eastAsia" w:asciiTheme="majorEastAsia" w:hAnsiTheme="majorEastAsia" w:eastAsiaTheme="majorEastAsia" w:cstheme="majorEastAsia"/>
          <w:sz w:val="32"/>
          <w:szCs w:val="32"/>
        </w:rPr>
        <w:t>万元、福利费</w:t>
      </w:r>
      <w:r>
        <w:rPr>
          <w:rFonts w:hint="eastAsia" w:asciiTheme="majorEastAsia" w:hAnsiTheme="majorEastAsia" w:eastAsiaTheme="majorEastAsia" w:cstheme="majorEastAsia"/>
          <w:sz w:val="32"/>
          <w:szCs w:val="32"/>
          <w:lang w:val="en-US" w:eastAsia="zh-CN"/>
        </w:rPr>
        <w:t>5.06</w:t>
      </w:r>
      <w:r>
        <w:rPr>
          <w:rFonts w:hint="eastAsia" w:asciiTheme="majorEastAsia" w:hAnsiTheme="majorEastAsia" w:eastAsiaTheme="majorEastAsia" w:cstheme="majorEastAsia"/>
          <w:sz w:val="32"/>
          <w:szCs w:val="32"/>
        </w:rPr>
        <w:t>万元、其他交通费用</w:t>
      </w:r>
      <w:r>
        <w:rPr>
          <w:rFonts w:hint="eastAsia" w:asciiTheme="majorEastAsia" w:hAnsiTheme="majorEastAsia" w:eastAsiaTheme="majorEastAsia" w:cstheme="majorEastAsia"/>
          <w:sz w:val="32"/>
          <w:szCs w:val="32"/>
          <w:lang w:val="en-US" w:eastAsia="zh-CN"/>
        </w:rPr>
        <w:t>0.27</w:t>
      </w:r>
      <w:r>
        <w:rPr>
          <w:rFonts w:hint="eastAsia" w:asciiTheme="majorEastAsia" w:hAnsiTheme="majorEastAsia" w:eastAsiaTheme="majorEastAsia" w:cstheme="majorEastAsia"/>
          <w:sz w:val="32"/>
          <w:szCs w:val="32"/>
        </w:rPr>
        <w:t>万元、其他商品和服务支出</w:t>
      </w:r>
      <w:r>
        <w:rPr>
          <w:rFonts w:hint="eastAsia" w:asciiTheme="majorEastAsia" w:hAnsiTheme="majorEastAsia" w:eastAsiaTheme="majorEastAsia" w:cstheme="majorEastAsia"/>
          <w:sz w:val="32"/>
          <w:szCs w:val="32"/>
          <w:lang w:val="en-US" w:eastAsia="zh-CN"/>
        </w:rPr>
        <w:t>9.76</w:t>
      </w:r>
      <w:r>
        <w:rPr>
          <w:rFonts w:hint="eastAsia" w:asciiTheme="majorEastAsia" w:hAnsiTheme="majorEastAsia" w:eastAsiaTheme="majorEastAsia" w:cstheme="majorEastAsia"/>
          <w:sz w:val="32"/>
          <w:szCs w:val="32"/>
        </w:rPr>
        <w:t>万元。</w:t>
      </w:r>
    </w:p>
    <w:p w14:paraId="28278264">
      <w:pPr>
        <w:pStyle w:val="5"/>
        <w:widowControl/>
        <w:numPr>
          <w:ilvl w:val="0"/>
          <w:numId w:val="2"/>
        </w:numPr>
        <w:spacing w:line="600" w:lineRule="exact"/>
        <w:ind w:left="640" w:firstLine="0" w:firstLineChars="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rPr>
        <w:t>项目支出情况</w:t>
      </w:r>
    </w:p>
    <w:p w14:paraId="65277924">
      <w:pPr>
        <w:pStyle w:val="5"/>
        <w:widowControl/>
        <w:numPr>
          <w:ilvl w:val="0"/>
          <w:numId w:val="0"/>
        </w:numPr>
        <w:spacing w:line="600" w:lineRule="exact"/>
        <w:ind w:firstLine="640" w:firstLineChars="200"/>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rPr>
        <w:t>202</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年度财政拨款</w:t>
      </w:r>
      <w:r>
        <w:rPr>
          <w:rFonts w:hint="eastAsia" w:asciiTheme="majorEastAsia" w:hAnsiTheme="majorEastAsia" w:eastAsiaTheme="majorEastAsia" w:cstheme="majorEastAsia"/>
          <w:sz w:val="32"/>
          <w:szCs w:val="32"/>
          <w:lang w:val="en-US" w:eastAsia="zh-CN"/>
        </w:rPr>
        <w:t>项目</w:t>
      </w:r>
      <w:r>
        <w:rPr>
          <w:rFonts w:hint="eastAsia" w:asciiTheme="majorEastAsia" w:hAnsiTheme="majorEastAsia" w:eastAsiaTheme="majorEastAsia" w:cstheme="majorEastAsia"/>
          <w:sz w:val="32"/>
          <w:szCs w:val="32"/>
        </w:rPr>
        <w:t>支出</w:t>
      </w:r>
      <w:r>
        <w:rPr>
          <w:rFonts w:hint="eastAsia" w:asciiTheme="majorEastAsia" w:hAnsiTheme="majorEastAsia" w:eastAsiaTheme="majorEastAsia" w:cstheme="majorEastAsia"/>
          <w:sz w:val="32"/>
          <w:szCs w:val="32"/>
          <w:lang w:val="en-US" w:eastAsia="zh-CN"/>
        </w:rPr>
        <w:t>429.30</w:t>
      </w:r>
      <w:r>
        <w:rPr>
          <w:rFonts w:hint="eastAsia" w:asciiTheme="majorEastAsia" w:hAnsiTheme="majorEastAsia" w:eastAsiaTheme="majorEastAsia" w:cstheme="majorEastAsia"/>
          <w:sz w:val="32"/>
          <w:szCs w:val="32"/>
        </w:rPr>
        <w:t>万元，其中：</w:t>
      </w:r>
      <w:r>
        <w:rPr>
          <w:rFonts w:hint="eastAsia" w:asciiTheme="majorEastAsia" w:hAnsiTheme="majorEastAsia" w:eastAsiaTheme="majorEastAsia" w:cstheme="majorEastAsia"/>
          <w:sz w:val="32"/>
          <w:szCs w:val="32"/>
          <w:lang w:val="en-US" w:eastAsia="zh-CN"/>
        </w:rPr>
        <w:t>商贸物流产业发展引导资金支出109.17万元、招商引资资金支出176.99万元、大桥农产品中心集散（冷链)支出68.00万元、数商兴农支出47.00万元、2023年首届湖南（怀化）ＲＤＥＰ博览会经费支出1.57万元、怀化市2023年中央外经贸发展资金支出20万元、2022年跨境电商资金支出1.92万元、2022年度真抓实干奖励资金支出4.65万元。</w:t>
      </w:r>
    </w:p>
    <w:p w14:paraId="48C8A13D">
      <w:pPr>
        <w:pStyle w:val="5"/>
        <w:widowControl/>
        <w:spacing w:line="600" w:lineRule="exact"/>
        <w:ind w:left="640" w:firstLine="0" w:firstLineChars="0"/>
        <w:jc w:val="lef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三、政府性基金预算支出情况</w:t>
      </w:r>
    </w:p>
    <w:p w14:paraId="383E7C71">
      <w:pPr>
        <w:pStyle w:val="5"/>
        <w:widowControl/>
        <w:spacing w:line="600" w:lineRule="exact"/>
        <w:ind w:left="640" w:firstLine="0" w:firstLineChars="0"/>
        <w:jc w:val="left"/>
        <w:rPr>
          <w:rFonts w:hint="eastAsia" w:asciiTheme="majorEastAsia" w:hAnsiTheme="majorEastAsia" w:eastAsiaTheme="majorEastAsia" w:cstheme="majorEastAsia"/>
          <w:b w:val="0"/>
          <w:bCs w:val="0"/>
          <w:sz w:val="32"/>
          <w:szCs w:val="32"/>
          <w:lang w:val="en-US" w:eastAsia="zh-CN"/>
        </w:rPr>
      </w:pPr>
      <w:r>
        <w:rPr>
          <w:rFonts w:hint="eastAsia" w:asciiTheme="majorEastAsia" w:hAnsiTheme="majorEastAsia" w:eastAsiaTheme="majorEastAsia" w:cstheme="majorEastAsia"/>
          <w:b w:val="0"/>
          <w:bCs w:val="0"/>
          <w:sz w:val="32"/>
          <w:szCs w:val="32"/>
          <w:lang w:val="en-US" w:eastAsia="zh-CN"/>
        </w:rPr>
        <w:t>单位无</w:t>
      </w:r>
      <w:r>
        <w:rPr>
          <w:rFonts w:hint="eastAsia" w:asciiTheme="majorEastAsia" w:hAnsiTheme="majorEastAsia" w:eastAsiaTheme="majorEastAsia" w:cstheme="majorEastAsia"/>
          <w:b w:val="0"/>
          <w:bCs w:val="0"/>
          <w:sz w:val="32"/>
          <w:szCs w:val="32"/>
        </w:rPr>
        <w:t>政府性基金预算</w:t>
      </w:r>
      <w:r>
        <w:rPr>
          <w:rFonts w:hint="eastAsia" w:asciiTheme="majorEastAsia" w:hAnsiTheme="majorEastAsia" w:eastAsiaTheme="majorEastAsia" w:cstheme="majorEastAsia"/>
          <w:b w:val="0"/>
          <w:bCs w:val="0"/>
          <w:sz w:val="32"/>
          <w:szCs w:val="32"/>
          <w:lang w:val="en-US" w:eastAsia="zh-CN"/>
        </w:rPr>
        <w:t>支出</w:t>
      </w:r>
    </w:p>
    <w:p w14:paraId="78185AA5">
      <w:pPr>
        <w:pStyle w:val="5"/>
        <w:widowControl/>
        <w:numPr>
          <w:ilvl w:val="0"/>
          <w:numId w:val="3"/>
        </w:numPr>
        <w:spacing w:line="600" w:lineRule="exact"/>
        <w:ind w:left="640" w:firstLine="0" w:firstLineChars="0"/>
        <w:jc w:val="lef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国有资本经营预算支出情况</w:t>
      </w:r>
    </w:p>
    <w:p w14:paraId="15CA0B92">
      <w:pPr>
        <w:pStyle w:val="5"/>
        <w:widowControl/>
        <w:numPr>
          <w:ilvl w:val="0"/>
          <w:numId w:val="0"/>
        </w:numPr>
        <w:spacing w:line="600" w:lineRule="exact"/>
        <w:ind w:left="640" w:leftChars="0"/>
        <w:jc w:val="left"/>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lang w:val="en-US" w:eastAsia="zh-CN"/>
        </w:rPr>
        <w:t>单位无</w:t>
      </w:r>
      <w:r>
        <w:rPr>
          <w:rFonts w:hint="eastAsia" w:asciiTheme="majorEastAsia" w:hAnsiTheme="majorEastAsia" w:eastAsiaTheme="majorEastAsia" w:cstheme="majorEastAsia"/>
          <w:sz w:val="32"/>
          <w:szCs w:val="32"/>
        </w:rPr>
        <w:t>国有资本经营预算支出</w:t>
      </w:r>
    </w:p>
    <w:p w14:paraId="201791D5">
      <w:pPr>
        <w:pStyle w:val="5"/>
        <w:widowControl/>
        <w:numPr>
          <w:ilvl w:val="0"/>
          <w:numId w:val="3"/>
        </w:numPr>
        <w:spacing w:line="600" w:lineRule="exact"/>
        <w:ind w:left="640" w:leftChars="0" w:firstLine="0" w:firstLineChars="0"/>
        <w:jc w:val="lef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社会保险基金预算支出情况</w:t>
      </w:r>
    </w:p>
    <w:p w14:paraId="713440A8">
      <w:pPr>
        <w:pStyle w:val="5"/>
        <w:widowControl/>
        <w:numPr>
          <w:ilvl w:val="0"/>
          <w:numId w:val="0"/>
        </w:numPr>
        <w:spacing w:line="600" w:lineRule="exact"/>
        <w:ind w:left="640" w:leftChars="0"/>
        <w:jc w:val="left"/>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rPr>
        <w:t>202</w:t>
      </w:r>
      <w:r>
        <w:rPr>
          <w:rFonts w:hint="eastAsia" w:asciiTheme="majorEastAsia" w:hAnsiTheme="majorEastAsia" w:eastAsiaTheme="majorEastAsia" w:cstheme="majorEastAsia"/>
          <w:sz w:val="32"/>
          <w:szCs w:val="32"/>
          <w:lang w:val="en-US" w:eastAsia="zh-CN"/>
        </w:rPr>
        <w:t>3</w:t>
      </w:r>
      <w:r>
        <w:rPr>
          <w:rFonts w:hint="eastAsia" w:asciiTheme="majorEastAsia" w:hAnsiTheme="majorEastAsia" w:eastAsiaTheme="majorEastAsia" w:cstheme="majorEastAsia"/>
          <w:sz w:val="32"/>
          <w:szCs w:val="32"/>
        </w:rPr>
        <w:t>年度社会保险基金预算支出</w:t>
      </w:r>
      <w:r>
        <w:rPr>
          <w:rFonts w:hint="eastAsia" w:asciiTheme="majorEastAsia" w:hAnsiTheme="majorEastAsia" w:eastAsiaTheme="majorEastAsia" w:cstheme="majorEastAsia"/>
          <w:sz w:val="32"/>
          <w:szCs w:val="32"/>
          <w:lang w:val="en-US" w:eastAsia="zh-CN"/>
        </w:rPr>
        <w:t>55.06</w:t>
      </w:r>
      <w:r>
        <w:rPr>
          <w:rFonts w:hint="eastAsia" w:asciiTheme="majorEastAsia" w:hAnsiTheme="majorEastAsia" w:eastAsiaTheme="majorEastAsia" w:cstheme="majorEastAsia"/>
          <w:sz w:val="32"/>
          <w:szCs w:val="32"/>
        </w:rPr>
        <w:t>万元，其中：</w:t>
      </w:r>
      <w:r>
        <w:rPr>
          <w:rFonts w:hint="eastAsia" w:asciiTheme="majorEastAsia" w:hAnsiTheme="majorEastAsia" w:eastAsiaTheme="majorEastAsia" w:cstheme="majorEastAsia"/>
          <w:sz w:val="32"/>
          <w:szCs w:val="32"/>
          <w:lang w:val="en-US" w:eastAsia="zh-CN"/>
        </w:rPr>
        <w:t>机机关事业单位基本养老保险缴费55.06万元</w:t>
      </w:r>
    </w:p>
    <w:p w14:paraId="617E8ED1">
      <w:pPr>
        <w:widowControl/>
        <w:numPr>
          <w:ilvl w:val="0"/>
          <w:numId w:val="3"/>
        </w:numPr>
        <w:spacing w:line="600" w:lineRule="exact"/>
        <w:ind w:left="640" w:leftChars="0" w:firstLine="0" w:firstLineChars="0"/>
        <w:jc w:val="lef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部门整体支出绩效情况</w:t>
      </w:r>
    </w:p>
    <w:p w14:paraId="3A18BAC6">
      <w:pPr>
        <w:ind w:firstLine="640" w:firstLineChars="200"/>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lang w:eastAsia="zh-CN"/>
        </w:rPr>
        <w:tab/>
      </w:r>
      <w:r>
        <w:rPr>
          <w:rFonts w:hint="eastAsia" w:asciiTheme="majorEastAsia" w:hAnsiTheme="majorEastAsia" w:eastAsiaTheme="majorEastAsia" w:cstheme="majorEastAsia"/>
          <w:b/>
          <w:bCs/>
          <w:sz w:val="32"/>
          <w:szCs w:val="32"/>
          <w:lang w:val="en-US" w:eastAsia="zh-CN"/>
        </w:rPr>
        <w:t>1.全面加强党的领导。</w:t>
      </w:r>
      <w:r>
        <w:rPr>
          <w:rFonts w:hint="eastAsia" w:asciiTheme="majorEastAsia" w:hAnsiTheme="majorEastAsia" w:eastAsiaTheme="majorEastAsia" w:cstheme="majorEastAsia"/>
          <w:sz w:val="32"/>
          <w:szCs w:val="32"/>
          <w:lang w:val="en-US" w:eastAsia="zh-CN"/>
        </w:rPr>
        <w:t>严守党的政治纪律和政治规矩，坚决贯彻落实党中央决策部署，保证党中央政令畅通，自觉服从党中央领导、坚决维护党中央权威。在思想上、行动上坚决同以习近平同志为核心的党中央保持高度一致，在思想上深刻认同、组织上绝对服从、行动上始终紧跟。坚持用习近平新时代中国特色社会主义思想统一思想、凝聚力量、指导实践，引领中心工作稳中向好。</w:t>
      </w:r>
    </w:p>
    <w:p w14:paraId="748352F3">
      <w:pPr>
        <w:keepNext w:val="0"/>
        <w:keepLines w:val="0"/>
        <w:widowControl w:val="0"/>
        <w:numPr>
          <w:ilvl w:val="0"/>
          <w:numId w:val="0"/>
        </w:numPr>
        <w:suppressLineNumbers w:val="0"/>
        <w:spacing w:before="0" w:beforeLines="0" w:beforeAutospacing="0" w:after="0" w:afterLines="0" w:afterAutospacing="0" w:line="560" w:lineRule="exact"/>
        <w:ind w:leftChars="200" w:right="0" w:rightChars="0"/>
        <w:jc w:val="both"/>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2.加强党的建设。</w:t>
      </w:r>
      <w:r>
        <w:rPr>
          <w:rFonts w:hint="eastAsia" w:asciiTheme="majorEastAsia" w:hAnsiTheme="majorEastAsia" w:eastAsiaTheme="majorEastAsia" w:cstheme="majorEastAsia"/>
          <w:b w:val="0"/>
          <w:bCs w:val="0"/>
          <w:sz w:val="32"/>
          <w:szCs w:val="32"/>
          <w:lang w:val="en-US" w:eastAsia="zh-CN"/>
        </w:rPr>
        <w:t>一是</w:t>
      </w:r>
      <w:r>
        <w:rPr>
          <w:rFonts w:hint="eastAsia" w:asciiTheme="majorEastAsia" w:hAnsiTheme="majorEastAsia" w:eastAsiaTheme="majorEastAsia" w:cstheme="majorEastAsia"/>
          <w:sz w:val="32"/>
          <w:szCs w:val="32"/>
          <w:lang w:val="en-US" w:eastAsia="zh-CN"/>
        </w:rPr>
        <w:t>认真贯彻落实党中央、省委、市委、</w:t>
      </w:r>
    </w:p>
    <w:p w14:paraId="27FAC987">
      <w:pPr>
        <w:keepNext w:val="0"/>
        <w:keepLines w:val="0"/>
        <w:widowControl w:val="0"/>
        <w:numPr>
          <w:ilvl w:val="0"/>
          <w:numId w:val="0"/>
        </w:numPr>
        <w:suppressLineNumbers w:val="0"/>
        <w:snapToGrid w:val="0"/>
        <w:spacing w:before="0" w:beforeLines="0" w:beforeAutospacing="0" w:after="0" w:afterLines="0" w:afterAutospacing="0" w:line="560" w:lineRule="exact"/>
        <w:ind w:right="0" w:rightChars="0"/>
        <w:jc w:val="both"/>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sz w:val="32"/>
          <w:szCs w:val="32"/>
          <w:lang w:val="en-US" w:eastAsia="zh-CN"/>
        </w:rPr>
        <w:t>县委的部署安排，深入开展习近平新时代中国特色社会主义思想主题教育，紧紧围绕“学思想、强党性、重实践、建新功”的总要求，牢牢把握深入学习贯彻习近平新时代中国特色社会主义思想这一主题主线和根本任务，全面落实“以学铸魂、以学增智、以学正风、以学促干”的重要要求。把理论学习、调查研究、推动发展、检视整改贯通起来，有机结合、一体推进，达到凝心聚魂筑牢根本、锤炼品格强化忠诚、实干担当促进发展、践行宗旨为民造福、廉洁奉公树立新风的目标。二是认真贯彻习近平总书记关于意识形态工作的重要指示批示精神，全面落实工作责任，全年召开意识形态工作会议4次，中心组集体学习15次，坚持谈心谈话制度，规范党员干部工作时间内外、网上网下言行。三</w:t>
      </w:r>
      <w:r>
        <w:rPr>
          <w:rFonts w:hint="eastAsia" w:asciiTheme="majorEastAsia" w:hAnsiTheme="majorEastAsia" w:eastAsiaTheme="majorEastAsia" w:cstheme="majorEastAsia"/>
          <w:b w:val="0"/>
          <w:bCs w:val="0"/>
          <w:sz w:val="32"/>
          <w:szCs w:val="32"/>
          <w:lang w:val="en-US" w:eastAsia="zh-CN"/>
        </w:rPr>
        <w:t>是正风肃纪，推进“清廉机关”建设。</w:t>
      </w:r>
      <w:r>
        <w:rPr>
          <w:rFonts w:hint="eastAsia" w:asciiTheme="majorEastAsia" w:hAnsiTheme="majorEastAsia" w:eastAsiaTheme="majorEastAsia" w:cstheme="majorEastAsia"/>
          <w:sz w:val="32"/>
          <w:szCs w:val="32"/>
          <w:lang w:val="en-US" w:eastAsia="zh-CN"/>
        </w:rPr>
        <w:t>坚持不懈抓崇廉倡廉学习教育，组织党员干部开展党纪条规、廉政法律法规学习，全年开展党风廉政和警示教育11次，深入推进“三整顿两提升”工作。完善了机关“廉政文化墙”建设。四是</w:t>
      </w:r>
      <w:r>
        <w:rPr>
          <w:rFonts w:hint="eastAsia" w:asciiTheme="majorEastAsia" w:hAnsiTheme="majorEastAsia" w:eastAsiaTheme="majorEastAsia" w:cstheme="majorEastAsia"/>
          <w:b w:val="0"/>
          <w:bCs/>
          <w:color w:val="000000"/>
          <w:kern w:val="2"/>
          <w:sz w:val="32"/>
          <w:szCs w:val="32"/>
          <w:lang w:val="en-US" w:eastAsia="zh-CN" w:bidi="ar"/>
        </w:rPr>
        <w:t>推进“四强”支部建设。</w:t>
      </w:r>
      <w:r>
        <w:rPr>
          <w:rFonts w:hint="eastAsia" w:asciiTheme="majorEastAsia" w:hAnsiTheme="majorEastAsia" w:eastAsiaTheme="majorEastAsia" w:cstheme="majorEastAsia"/>
          <w:sz w:val="32"/>
          <w:szCs w:val="32"/>
          <w:lang w:val="en-US" w:eastAsia="zh-CN"/>
        </w:rPr>
        <w:t>按照党支部工作条例要求，巩固深化党支部“五化”建设，努力打造“四强”党支部，发挥党支部在服务中心、落实任务、推动发展的政治引领、督促落实、监督保障作用，夯实先锋党支部创建条件。认真贯彻落实党内法规制度，规范党内政治生活。</w:t>
      </w:r>
    </w:p>
    <w:p w14:paraId="44F7028B">
      <w:pPr>
        <w:pStyle w:val="6"/>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3.招商引资工作。</w:t>
      </w:r>
      <w:r>
        <w:rPr>
          <w:rFonts w:hint="eastAsia" w:asciiTheme="majorEastAsia" w:hAnsiTheme="majorEastAsia" w:eastAsiaTheme="majorEastAsia" w:cstheme="majorEastAsia"/>
          <w:sz w:val="32"/>
          <w:szCs w:val="32"/>
          <w:lang w:val="en-US" w:eastAsia="zh-CN"/>
        </w:rPr>
        <w:t>2023年1—12月，共签约引进招商项目35个，签约资金243.22亿元，实际到位资金60.48亿元。完成年度任务的100.8%。</w:t>
      </w:r>
    </w:p>
    <w:p w14:paraId="0BE67BD9">
      <w:pPr>
        <w:pStyle w:val="6"/>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4.外贸进出口工作。</w:t>
      </w:r>
      <w:r>
        <w:rPr>
          <w:rFonts w:hint="eastAsia" w:asciiTheme="majorEastAsia" w:hAnsiTheme="majorEastAsia" w:eastAsiaTheme="majorEastAsia" w:cstheme="majorEastAsia"/>
          <w:sz w:val="32"/>
          <w:szCs w:val="32"/>
          <w:lang w:val="en-US" w:eastAsia="zh-CN"/>
        </w:rPr>
        <w:t>2023年1—11月，外贸进出口总额达3.1亿元。完成年度任务的56.36%.预计12月底完成3.5亿元.完成年度任务的63.63%。</w:t>
      </w:r>
    </w:p>
    <w:p w14:paraId="57526AB1">
      <w:pPr>
        <w:pStyle w:val="6"/>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5.外资工作。</w:t>
      </w:r>
      <w:r>
        <w:rPr>
          <w:rFonts w:hint="eastAsia" w:asciiTheme="majorEastAsia" w:hAnsiTheme="majorEastAsia" w:eastAsiaTheme="majorEastAsia" w:cstheme="majorEastAsia"/>
          <w:sz w:val="32"/>
          <w:szCs w:val="32"/>
          <w:lang w:val="en-US" w:eastAsia="zh-CN"/>
        </w:rPr>
        <w:t>2023年1-12月，引进外资999万美元。完成年度任务的249.8%。</w:t>
      </w:r>
    </w:p>
    <w:p w14:paraId="33EB63E6">
      <w:pPr>
        <w:pStyle w:val="6"/>
        <w:rPr>
          <w:rFonts w:hint="eastAsia" w:asciiTheme="majorEastAsia" w:hAnsiTheme="majorEastAsia" w:eastAsiaTheme="majorEastAsia" w:cstheme="majorEastAsia"/>
          <w:b w:val="0"/>
          <w:bCs w:val="0"/>
          <w:sz w:val="32"/>
          <w:szCs w:val="32"/>
          <w:lang w:val="en-US" w:eastAsia="zh-CN"/>
        </w:rPr>
      </w:pPr>
      <w:r>
        <w:rPr>
          <w:rFonts w:hint="eastAsia" w:asciiTheme="majorEastAsia" w:hAnsiTheme="majorEastAsia" w:eastAsiaTheme="majorEastAsia" w:cstheme="majorEastAsia"/>
          <w:b/>
          <w:bCs/>
          <w:sz w:val="32"/>
          <w:szCs w:val="32"/>
          <w:lang w:val="en-US" w:eastAsia="zh-CN"/>
        </w:rPr>
        <w:t>6.外经工作</w:t>
      </w:r>
      <w:r>
        <w:rPr>
          <w:rFonts w:hint="eastAsia" w:asciiTheme="majorEastAsia" w:hAnsiTheme="majorEastAsia" w:eastAsiaTheme="majorEastAsia" w:cstheme="majorEastAsia"/>
          <w:sz w:val="32"/>
          <w:szCs w:val="32"/>
          <w:lang w:val="en-US" w:eastAsia="zh-CN"/>
        </w:rPr>
        <w:t>。2023年1-12月，完成1274万美元。</w:t>
      </w:r>
      <w:r>
        <w:rPr>
          <w:rFonts w:hint="eastAsia" w:asciiTheme="majorEastAsia" w:hAnsiTheme="majorEastAsia" w:eastAsiaTheme="majorEastAsia" w:cstheme="majorEastAsia"/>
          <w:b w:val="0"/>
          <w:bCs w:val="0"/>
          <w:sz w:val="32"/>
          <w:szCs w:val="32"/>
          <w:lang w:val="en-US" w:eastAsia="zh-CN"/>
        </w:rPr>
        <w:t>完成年度任务的167.4%。</w:t>
      </w:r>
    </w:p>
    <w:p w14:paraId="70AEAAC1">
      <w:pPr>
        <w:pStyle w:val="6"/>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7.湘商回归工作。</w:t>
      </w:r>
      <w:r>
        <w:rPr>
          <w:rFonts w:hint="eastAsia" w:asciiTheme="majorEastAsia" w:hAnsiTheme="majorEastAsia" w:eastAsiaTheme="majorEastAsia" w:cstheme="majorEastAsia"/>
          <w:sz w:val="32"/>
          <w:szCs w:val="32"/>
          <w:lang w:val="en-US" w:eastAsia="zh-CN"/>
        </w:rPr>
        <w:t>1-12月，完成湘商回归新注册企业11家，完成年度任务的157.14%；湘商回归到位资金35.6亿元，完成年度任务的197.8%。</w:t>
      </w:r>
    </w:p>
    <w:p w14:paraId="06BD7C16">
      <w:pPr>
        <w:pStyle w:val="6"/>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8.陆港建设运营工作。</w:t>
      </w:r>
      <w:r>
        <w:rPr>
          <w:rFonts w:hint="eastAsia" w:asciiTheme="majorEastAsia" w:hAnsiTheme="majorEastAsia" w:eastAsiaTheme="majorEastAsia" w:cstheme="majorEastAsia"/>
          <w:sz w:val="32"/>
          <w:szCs w:val="32"/>
          <w:lang w:val="en-US" w:eastAsia="zh-CN"/>
        </w:rPr>
        <w:t>2023年1-12月，发运班列12.92列，646标箱铬矿石，完成市下达辰溪港全年班列发运任务的215.3%。</w:t>
      </w:r>
    </w:p>
    <w:p w14:paraId="04E5591D">
      <w:pPr>
        <w:pStyle w:val="6"/>
        <w:rPr>
          <w:rFonts w:hint="eastAsia" w:asciiTheme="majorEastAsia" w:hAnsiTheme="majorEastAsia" w:eastAsiaTheme="majorEastAsia" w:cstheme="majorEastAsia"/>
          <w:b w:val="0"/>
          <w:bCs w:val="0"/>
          <w:sz w:val="32"/>
          <w:szCs w:val="32"/>
          <w:lang w:val="en-US" w:eastAsia="zh-CN"/>
        </w:rPr>
      </w:pPr>
      <w:r>
        <w:rPr>
          <w:rFonts w:hint="eastAsia" w:asciiTheme="majorEastAsia" w:hAnsiTheme="majorEastAsia" w:eastAsiaTheme="majorEastAsia" w:cstheme="majorEastAsia"/>
          <w:b/>
          <w:bCs/>
          <w:sz w:val="32"/>
          <w:szCs w:val="32"/>
          <w:lang w:val="en-US" w:eastAsia="zh-CN"/>
        </w:rPr>
        <w:t>9.5+N现代化产业新体系建设个性指标：</w:t>
      </w:r>
      <w:r>
        <w:rPr>
          <w:rFonts w:hint="eastAsia" w:asciiTheme="majorEastAsia" w:hAnsiTheme="majorEastAsia" w:eastAsiaTheme="majorEastAsia" w:cstheme="majorEastAsia"/>
          <w:b w:val="0"/>
          <w:bCs w:val="0"/>
          <w:sz w:val="32"/>
          <w:szCs w:val="32"/>
          <w:lang w:val="en-US" w:eastAsia="zh-CN"/>
        </w:rPr>
        <w:t>商贸物流企业培育目标已经完成，目前是1家3A级，2家A级，9月份已经授牌</w:t>
      </w:r>
    </w:p>
    <w:p w14:paraId="0382CB48">
      <w:pPr>
        <w:pStyle w:val="6"/>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b/>
          <w:bCs/>
          <w:sz w:val="32"/>
          <w:szCs w:val="32"/>
          <w:lang w:val="en-US" w:eastAsia="zh-CN"/>
        </w:rPr>
        <w:t>10.社会消费品零售总额：</w:t>
      </w:r>
      <w:r>
        <w:rPr>
          <w:rFonts w:hint="eastAsia" w:asciiTheme="majorEastAsia" w:hAnsiTheme="majorEastAsia" w:eastAsiaTheme="majorEastAsia" w:cstheme="majorEastAsia"/>
          <w:sz w:val="32"/>
          <w:szCs w:val="32"/>
          <w:lang w:val="en-US" w:eastAsia="zh-CN"/>
        </w:rPr>
        <w:t>1-11月，完成社会消费品零售总额33.77亿元，增速7.4%；居民人均生活消费支出13028元，增速7.0%。</w:t>
      </w:r>
    </w:p>
    <w:p w14:paraId="1F7DCFAB">
      <w:pPr>
        <w:keepNext w:val="0"/>
        <w:keepLines w:val="0"/>
        <w:pageBreakBefore w:val="0"/>
        <w:numPr>
          <w:ilvl w:val="0"/>
          <w:numId w:val="0"/>
        </w:numPr>
        <w:kinsoku/>
        <w:overflowPunct/>
        <w:topLinePunct w:val="0"/>
        <w:autoSpaceDE/>
        <w:autoSpaceDN/>
        <w:bidi w:val="0"/>
        <w:adjustRightInd/>
        <w:snapToGrid/>
        <w:spacing w:line="240" w:lineRule="auto"/>
        <w:ind w:leftChars="0" w:firstLine="643" w:firstLineChars="200"/>
        <w:textAlignment w:val="auto"/>
        <w:rPr>
          <w:rFonts w:hint="eastAsia" w:asciiTheme="majorEastAsia" w:hAnsiTheme="majorEastAsia" w:eastAsiaTheme="majorEastAsia" w:cstheme="majorEastAsia"/>
          <w:b w:val="0"/>
          <w:bCs w:val="0"/>
          <w:sz w:val="32"/>
          <w:szCs w:val="32"/>
          <w:lang w:val="en-US" w:eastAsia="zh-CN"/>
        </w:rPr>
      </w:pPr>
      <w:r>
        <w:rPr>
          <w:rFonts w:hint="eastAsia" w:asciiTheme="majorEastAsia" w:hAnsiTheme="majorEastAsia" w:eastAsiaTheme="majorEastAsia" w:cstheme="majorEastAsia"/>
          <w:b/>
          <w:bCs/>
          <w:sz w:val="32"/>
          <w:szCs w:val="32"/>
          <w:lang w:val="en-US" w:eastAsia="zh-CN"/>
        </w:rPr>
        <w:t>11.</w:t>
      </w:r>
      <w:r>
        <w:rPr>
          <w:rFonts w:hint="eastAsia" w:asciiTheme="majorEastAsia" w:hAnsiTheme="majorEastAsia" w:eastAsiaTheme="majorEastAsia" w:cstheme="majorEastAsia"/>
          <w:b/>
          <w:bCs/>
          <w:color w:val="000000"/>
          <w:kern w:val="2"/>
          <w:sz w:val="32"/>
          <w:szCs w:val="32"/>
          <w:lang w:val="en-US" w:eastAsia="zh-CN" w:bidi="ar-SA"/>
        </w:rPr>
        <w:t>安全生产工作。</w:t>
      </w:r>
      <w:r>
        <w:rPr>
          <w:rFonts w:hint="eastAsia" w:asciiTheme="majorEastAsia" w:hAnsiTheme="majorEastAsia" w:eastAsiaTheme="majorEastAsia" w:cstheme="majorEastAsia"/>
          <w:b w:val="0"/>
          <w:bCs w:val="0"/>
          <w:sz w:val="32"/>
          <w:szCs w:val="32"/>
          <w:lang w:val="en-US" w:eastAsia="zh-CN"/>
        </w:rPr>
        <w:t>今年全县商务系统领域没有发生任何安全事故，安全生产形势基本稳定。全年共出动102人次，检查生产经营企业72家，检查出问题企业23家，要求现场立即整改19家，下达整改通知书4家。并积极参与全县“安全生产月”活动，将“强化安全基础，推动安全发展”理念深入人心。</w:t>
      </w:r>
    </w:p>
    <w:p w14:paraId="6D369666">
      <w:pPr>
        <w:pStyle w:val="8"/>
        <w:ind w:firstLine="643" w:firstLineChars="200"/>
        <w:rPr>
          <w:rFonts w:hint="eastAsia" w:asciiTheme="majorEastAsia" w:hAnsiTheme="majorEastAsia" w:eastAsiaTheme="majorEastAsia" w:cstheme="majorEastAsia"/>
          <w:sz w:val="32"/>
          <w:szCs w:val="32"/>
          <w:lang w:eastAsia="zh-CN"/>
        </w:rPr>
      </w:pPr>
      <w:r>
        <w:rPr>
          <w:rFonts w:hint="eastAsia" w:asciiTheme="majorEastAsia" w:hAnsiTheme="majorEastAsia" w:eastAsiaTheme="majorEastAsia" w:cstheme="majorEastAsia"/>
          <w:b/>
          <w:bCs/>
          <w:sz w:val="32"/>
          <w:szCs w:val="32"/>
          <w:lang w:val="en-US" w:eastAsia="zh-CN"/>
        </w:rPr>
        <w:t>12.乡村振兴工作。</w:t>
      </w:r>
      <w:r>
        <w:rPr>
          <w:rStyle w:val="9"/>
          <w:rFonts w:hint="eastAsia" w:asciiTheme="majorEastAsia" w:hAnsiTheme="majorEastAsia" w:eastAsiaTheme="majorEastAsia" w:cstheme="majorEastAsia"/>
          <w:sz w:val="32"/>
          <w:szCs w:val="32"/>
        </w:rPr>
        <w:t>全面推行以村党组织为领导核心，村民委员会、村民议事会、村务监督委员会各司其职、各负其责的村级治理模式。</w:t>
      </w:r>
      <w:r>
        <w:rPr>
          <w:rStyle w:val="9"/>
          <w:rFonts w:hint="eastAsia" w:asciiTheme="majorEastAsia" w:hAnsiTheme="majorEastAsia" w:eastAsiaTheme="majorEastAsia" w:cstheme="majorEastAsia"/>
          <w:b w:val="0"/>
          <w:bCs/>
          <w:sz w:val="32"/>
          <w:szCs w:val="32"/>
        </w:rPr>
        <w:t>主抓大棚蔬菜基地特色产业，让产业更加兴旺。</w:t>
      </w:r>
      <w:r>
        <w:rPr>
          <w:rStyle w:val="9"/>
          <w:rFonts w:hint="eastAsia" w:asciiTheme="majorEastAsia" w:hAnsiTheme="majorEastAsia" w:eastAsiaTheme="majorEastAsia" w:cstheme="majorEastAsia"/>
          <w:sz w:val="32"/>
          <w:szCs w:val="32"/>
        </w:rPr>
        <w:t>将县里支持发展村集体经济的整合涉农资金30万元委托给31户蔬菜种植大户发展商品蔬菜种植乡村振兴产业项目，用于基础设施蔬菜大棚的建设。新建大棚</w:t>
      </w:r>
      <w:r>
        <w:rPr>
          <w:rStyle w:val="9"/>
          <w:rFonts w:hint="eastAsia" w:asciiTheme="majorEastAsia" w:hAnsiTheme="majorEastAsia" w:eastAsiaTheme="majorEastAsia" w:cstheme="majorEastAsia"/>
          <w:sz w:val="32"/>
          <w:szCs w:val="32"/>
          <w:lang w:val="en-US" w:eastAsia="zh-CN"/>
        </w:rPr>
        <w:t>15</w:t>
      </w:r>
      <w:r>
        <w:rPr>
          <w:rStyle w:val="9"/>
          <w:rFonts w:hint="eastAsia" w:asciiTheme="majorEastAsia" w:hAnsiTheme="majorEastAsia" w:eastAsiaTheme="majorEastAsia" w:cstheme="majorEastAsia"/>
          <w:sz w:val="32"/>
          <w:szCs w:val="32"/>
        </w:rPr>
        <w:t>个，新增面积</w:t>
      </w:r>
      <w:r>
        <w:rPr>
          <w:rStyle w:val="9"/>
          <w:rFonts w:hint="eastAsia" w:asciiTheme="majorEastAsia" w:hAnsiTheme="majorEastAsia" w:eastAsiaTheme="majorEastAsia" w:cstheme="majorEastAsia"/>
          <w:sz w:val="32"/>
          <w:szCs w:val="32"/>
          <w:lang w:val="en-US" w:eastAsia="zh-CN"/>
        </w:rPr>
        <w:t>7</w:t>
      </w:r>
      <w:r>
        <w:rPr>
          <w:rStyle w:val="9"/>
          <w:rFonts w:hint="eastAsia" w:asciiTheme="majorEastAsia" w:hAnsiTheme="majorEastAsia" w:eastAsiaTheme="majorEastAsia" w:cstheme="majorEastAsia"/>
          <w:sz w:val="32"/>
          <w:szCs w:val="32"/>
        </w:rPr>
        <w:t>亩。以“一拆二改三清四化”为总抓手，对照“六无一全”总要求，大力实施“保洁、改厕、除污、拆旧、扩绿”五大工程，着力建设“净、绿、美”生态宜居美丽乡村。</w:t>
      </w:r>
    </w:p>
    <w:p w14:paraId="29181625">
      <w:pPr>
        <w:pStyle w:val="5"/>
        <w:widowControl/>
        <w:numPr>
          <w:ilvl w:val="0"/>
          <w:numId w:val="3"/>
        </w:numPr>
        <w:spacing w:line="600" w:lineRule="exact"/>
        <w:ind w:left="640" w:leftChars="0" w:firstLine="0" w:firstLineChars="0"/>
        <w:jc w:val="left"/>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存在的问题及原因分析</w:t>
      </w:r>
    </w:p>
    <w:p w14:paraId="4EB7B494">
      <w:pPr>
        <w:keepNext w:val="0"/>
        <w:keepLines w:val="0"/>
        <w:widowControl w:val="0"/>
        <w:suppressLineNumbers w:val="0"/>
        <w:spacing w:before="0" w:beforeLines="0" w:beforeAutospacing="0" w:after="0" w:afterLines="0" w:afterAutospacing="0" w:line="560" w:lineRule="exact"/>
        <w:ind w:left="0" w:right="0" w:firstLine="643" w:firstLineChars="200"/>
        <w:jc w:val="both"/>
        <w:rPr>
          <w:rFonts w:hint="eastAsia" w:asciiTheme="majorEastAsia" w:hAnsiTheme="majorEastAsia" w:eastAsiaTheme="majorEastAsia" w:cstheme="majorEastAsia"/>
          <w:kern w:val="2"/>
          <w:sz w:val="32"/>
          <w:szCs w:val="32"/>
        </w:rPr>
      </w:pPr>
      <w:r>
        <w:rPr>
          <w:rFonts w:hint="eastAsia" w:asciiTheme="majorEastAsia" w:hAnsiTheme="majorEastAsia" w:eastAsiaTheme="majorEastAsia" w:cstheme="majorEastAsia"/>
          <w:b/>
          <w:bCs/>
          <w:kern w:val="2"/>
          <w:sz w:val="32"/>
          <w:szCs w:val="32"/>
          <w:lang w:val="en-US" w:eastAsia="zh-CN" w:bidi="ar-SA"/>
        </w:rPr>
        <w:t>1.理论</w:t>
      </w:r>
      <w:r>
        <w:rPr>
          <w:rFonts w:hint="eastAsia" w:asciiTheme="majorEastAsia" w:hAnsiTheme="majorEastAsia" w:eastAsiaTheme="majorEastAsia" w:cstheme="majorEastAsia"/>
          <w:b/>
          <w:bCs/>
          <w:kern w:val="2"/>
          <w:sz w:val="32"/>
          <w:szCs w:val="32"/>
          <w:lang w:val="en-US" w:eastAsia="zh-CN" w:bidi="ar"/>
        </w:rPr>
        <w:t>学习氛围不浓</w:t>
      </w:r>
      <w:r>
        <w:rPr>
          <w:rFonts w:hint="eastAsia" w:asciiTheme="majorEastAsia" w:hAnsiTheme="majorEastAsia" w:eastAsiaTheme="majorEastAsia" w:cstheme="majorEastAsia"/>
          <w:kern w:val="2"/>
          <w:sz w:val="32"/>
          <w:szCs w:val="32"/>
          <w:lang w:val="en-US" w:eastAsia="zh-CN" w:bidi="ar"/>
        </w:rPr>
        <w:t>。一是抓学习精力投入不足。局党组班子工作任务重，存在抓学习意识不浓，重视不够，方法不多的情况，造成学习方面基层基础工作不扎实，亮点不突出。二是党员学习的氛围不浓。对党支部的学习有部署、有措施、有检查，个别党员对学习缺乏兴趣，学习不深入，没有在学懂弄通上下功夫。</w:t>
      </w:r>
    </w:p>
    <w:p w14:paraId="089D5F32">
      <w:pPr>
        <w:ind w:firstLine="643" w:firstLineChars="200"/>
        <w:rPr>
          <w:rFonts w:hint="eastAsia" w:asciiTheme="majorEastAsia" w:hAnsiTheme="majorEastAsia" w:eastAsiaTheme="majorEastAsia" w:cstheme="majorEastAsia"/>
          <w:b/>
          <w:bCs/>
          <w:kern w:val="2"/>
          <w:sz w:val="32"/>
          <w:szCs w:val="32"/>
          <w:lang w:val="en-US" w:eastAsia="zh-CN" w:bidi="ar-SA"/>
        </w:rPr>
      </w:pPr>
      <w:r>
        <w:rPr>
          <w:rFonts w:hint="eastAsia" w:asciiTheme="majorEastAsia" w:hAnsiTheme="majorEastAsia" w:eastAsiaTheme="majorEastAsia" w:cstheme="majorEastAsia"/>
          <w:b/>
          <w:bCs/>
          <w:kern w:val="2"/>
          <w:sz w:val="32"/>
          <w:szCs w:val="32"/>
          <w:lang w:val="en-US" w:eastAsia="zh-CN" w:bidi="ar-SA"/>
        </w:rPr>
        <w:t>2.投资意愿不强。</w:t>
      </w:r>
      <w:r>
        <w:rPr>
          <w:rFonts w:hint="eastAsia" w:asciiTheme="majorEastAsia" w:hAnsiTheme="majorEastAsia" w:eastAsiaTheme="majorEastAsia" w:cstheme="majorEastAsia"/>
          <w:sz w:val="32"/>
          <w:szCs w:val="32"/>
          <w:lang w:val="en-US" w:eastAsia="zh-CN"/>
        </w:rPr>
        <w:t>一是受国际国内大环境影响，当前企业运行成本不断增加，企业运行压力不断增大，加上企业融资成本居高不下,企业追加投资相当困难。二是资源要素保障滞后成为招商引资的一大瓶颈。没有形成要素跟着项目走的工作机制，土地、能耗、水资源、环评等要素统筹调配欠力度，导致项目在落地过程中明显过慢，时间拉长影响生产。</w:t>
      </w:r>
    </w:p>
    <w:p w14:paraId="492E6F15">
      <w:pPr>
        <w:ind w:firstLine="643" w:firstLineChars="20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kern w:val="2"/>
          <w:sz w:val="32"/>
          <w:szCs w:val="32"/>
          <w:lang w:val="en-US" w:eastAsia="zh-CN" w:bidi="ar-SA"/>
        </w:rPr>
        <w:t>3.进出口增速缓慢。</w:t>
      </w:r>
      <w:r>
        <w:rPr>
          <w:rFonts w:hint="eastAsia" w:asciiTheme="majorEastAsia" w:hAnsiTheme="majorEastAsia" w:eastAsiaTheme="majorEastAsia" w:cstheme="majorEastAsia"/>
          <w:sz w:val="32"/>
          <w:szCs w:val="32"/>
        </w:rPr>
        <w:t>受国际形势和疫情影响，外贸进出口存在不确定性和压力。</w:t>
      </w:r>
      <w:r>
        <w:rPr>
          <w:rFonts w:hint="eastAsia" w:asciiTheme="majorEastAsia" w:hAnsiTheme="majorEastAsia" w:eastAsiaTheme="majorEastAsia" w:cstheme="majorEastAsia"/>
          <w:sz w:val="32"/>
          <w:szCs w:val="32"/>
          <w:lang w:eastAsia="zh-CN"/>
        </w:rPr>
        <w:t>虽然已经完成今年外资任务，但是</w:t>
      </w:r>
      <w:r>
        <w:rPr>
          <w:rFonts w:hint="eastAsia" w:asciiTheme="majorEastAsia" w:hAnsiTheme="majorEastAsia" w:eastAsiaTheme="majorEastAsia" w:cstheme="majorEastAsia"/>
          <w:sz w:val="32"/>
          <w:szCs w:val="32"/>
        </w:rPr>
        <w:t>受全球经济形势和国内外投资环境影响，利用外资面临一定的不确定性和压力。</w:t>
      </w:r>
    </w:p>
    <w:p w14:paraId="62190F7F">
      <w:pPr>
        <w:pStyle w:val="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sz w:val="32"/>
          <w:szCs w:val="32"/>
          <w:lang w:val="en-US" w:eastAsia="zh-CN"/>
        </w:rPr>
        <w:t>4.</w:t>
      </w:r>
      <w:r>
        <w:rPr>
          <w:rFonts w:hint="eastAsia" w:asciiTheme="majorEastAsia" w:hAnsiTheme="majorEastAsia" w:eastAsiaTheme="majorEastAsia" w:cstheme="majorEastAsia"/>
          <w:b/>
          <w:bCs/>
          <w:sz w:val="32"/>
          <w:szCs w:val="32"/>
        </w:rPr>
        <w:t>消费供给仍显不足。</w:t>
      </w:r>
      <w:r>
        <w:rPr>
          <w:rFonts w:hint="eastAsia" w:asciiTheme="majorEastAsia" w:hAnsiTheme="majorEastAsia" w:eastAsiaTheme="majorEastAsia" w:cstheme="majorEastAsia"/>
          <w:sz w:val="32"/>
          <w:szCs w:val="32"/>
        </w:rPr>
        <w:t>受国内经济下行大环境影响，再加上我县大品牌、高质量的经销商较少，对有一定消费需求的消费者因选择余地不大等因素，同时，随着购房买车、赡养老人、子女就学、就医等刚性支出费用增加，在一定程度上抑制了居民的即期消费，对日常消费产生较大的挤出效应。</w:t>
      </w:r>
    </w:p>
    <w:p w14:paraId="1F88704B">
      <w:pPr>
        <w:pStyle w:val="6"/>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sz w:val="32"/>
          <w:szCs w:val="32"/>
          <w:lang w:val="en-US" w:eastAsia="zh-CN"/>
        </w:rPr>
        <w:t>5.专业人才缺乏。</w:t>
      </w:r>
      <w:r>
        <w:rPr>
          <w:rFonts w:hint="eastAsia" w:asciiTheme="majorEastAsia" w:hAnsiTheme="majorEastAsia" w:eastAsiaTheme="majorEastAsia" w:cstheme="majorEastAsia"/>
          <w:b w:val="0"/>
          <w:bCs w:val="0"/>
          <w:sz w:val="32"/>
          <w:szCs w:val="32"/>
          <w:lang w:val="en-US" w:eastAsia="zh-CN"/>
        </w:rPr>
        <w:t>招商人员专业素质不是很高，业务培训不够系统，人员力量与繁重的基础工作任务不相匹配、企业引进后的跟踪服务、协调等方面难以到位。</w:t>
      </w:r>
    </w:p>
    <w:p w14:paraId="10F66AF1">
      <w:pPr>
        <w:widowControl/>
        <w:numPr>
          <w:ilvl w:val="0"/>
          <w:numId w:val="3"/>
        </w:numPr>
        <w:spacing w:line="600" w:lineRule="exact"/>
        <w:ind w:left="640" w:leftChars="0" w:firstLine="0" w:firstLineChars="0"/>
        <w:jc w:val="left"/>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下一步改进措施</w:t>
      </w:r>
    </w:p>
    <w:p w14:paraId="2F8E6F5E">
      <w:pPr>
        <w:ind w:firstLine="640" w:firstLineChars="200"/>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lang w:val="en-US" w:eastAsia="zh-CN"/>
        </w:rPr>
        <w:t>1、紧紧围绕全市商务工作大局来谋划和推进工作。紧紧围绕我县中心任务，围绕经济社会发展目标，找准结合点和着力点，高度对接，深度融合。</w:t>
      </w:r>
    </w:p>
    <w:p w14:paraId="781837D4">
      <w:pPr>
        <w:ind w:firstLine="640" w:firstLineChars="200"/>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lang w:val="en-US" w:eastAsia="zh-CN"/>
        </w:rPr>
        <w:t>2、坚持与时俱进，提升开拓创新的潜力。在贯彻省、市、县重大决策部署中确定创新方向，从重点工作和特色工作中发掘创新亮点，从难点问题和薄弱环节中找准创新的着力点。</w:t>
      </w:r>
    </w:p>
    <w:p w14:paraId="0EFA220A">
      <w:pPr>
        <w:ind w:firstLine="640" w:firstLineChars="20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lang w:val="en-US" w:eastAsia="zh-CN"/>
        </w:rPr>
        <w:t>3、狠抓落实，一抓到底。发扬埋头苦干，任劳任怨的工作作风，及时发现和破解工作进展中遇到的难题，振奋精神，迎难而上，确保每一项工作都有头有尾，有始有终，取得实实在在的成效。</w:t>
      </w:r>
    </w:p>
    <w:p w14:paraId="7DFF07CF">
      <w:pPr>
        <w:widowControl/>
        <w:numPr>
          <w:ilvl w:val="0"/>
          <w:numId w:val="3"/>
        </w:numPr>
        <w:spacing w:line="600" w:lineRule="exact"/>
        <w:ind w:left="640" w:leftChars="0" w:firstLine="0" w:firstLineChars="0"/>
        <w:jc w:val="left"/>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部门整体支出绩效自评结果拟应用和公开情况</w:t>
      </w:r>
    </w:p>
    <w:p w14:paraId="4587949A">
      <w:pPr>
        <w:pStyle w:val="2"/>
        <w:numPr>
          <w:ilvl w:val="0"/>
          <w:numId w:val="0"/>
        </w:numPr>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辰溪县商务局部门整体支出绩效自评结果99分，将在辰溪县政务网统一公开。</w:t>
      </w:r>
    </w:p>
    <w:p w14:paraId="6053F078">
      <w:pPr>
        <w:widowControl/>
        <w:spacing w:line="600" w:lineRule="exact"/>
        <w:ind w:firstLine="645"/>
        <w:jc w:val="left"/>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十、其他需要说明的情况</w:t>
      </w:r>
    </w:p>
    <w:p w14:paraId="66B66625">
      <w:pPr>
        <w:widowControl/>
        <w:spacing w:line="600" w:lineRule="exact"/>
        <w:ind w:firstLine="645"/>
        <w:jc w:val="left"/>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lang w:val="en-US" w:eastAsia="zh-CN"/>
        </w:rPr>
        <w:t>无</w:t>
      </w:r>
    </w:p>
    <w:p w14:paraId="5CAED161">
      <w:pPr>
        <w:rPr>
          <w:rFonts w:hint="eastAsia" w:asciiTheme="majorEastAsia" w:hAnsiTheme="majorEastAsia" w:eastAsiaTheme="majorEastAsia" w:cstheme="majorEastAsia"/>
          <w:sz w:val="32"/>
          <w:szCs w:val="32"/>
        </w:rPr>
      </w:pPr>
    </w:p>
    <w:p w14:paraId="503FD273">
      <w:pPr>
        <w:bidi w:val="0"/>
        <w:rPr>
          <w:rFonts w:hint="eastAsia" w:ascii="Times New Roman" w:hAnsi="Times New Roman" w:eastAsia="仿宋_GB2312" w:cs="Times New Roman"/>
          <w:kern w:val="2"/>
          <w:sz w:val="30"/>
          <w:szCs w:val="24"/>
          <w:lang w:val="en-US" w:eastAsia="zh-CN" w:bidi="ar-SA"/>
        </w:rPr>
      </w:pPr>
    </w:p>
    <w:p w14:paraId="72A2E4C3">
      <w:pPr>
        <w:bidi w:val="0"/>
        <w:rPr>
          <w:rFonts w:hint="eastAsia"/>
          <w:lang w:val="en-US" w:eastAsia="zh-CN"/>
        </w:rPr>
      </w:pPr>
    </w:p>
    <w:p w14:paraId="16801615">
      <w:pPr>
        <w:bidi w:val="0"/>
        <w:jc w:val="right"/>
        <w:rPr>
          <w:rFonts w:hint="eastAsia"/>
          <w:sz w:val="32"/>
          <w:szCs w:val="32"/>
          <w:lang w:val="en-US" w:eastAsia="zh-CN"/>
        </w:rPr>
      </w:pPr>
      <w:r>
        <w:rPr>
          <w:rFonts w:hint="eastAsia"/>
          <w:sz w:val="32"/>
          <w:szCs w:val="32"/>
          <w:lang w:val="en-US" w:eastAsia="zh-CN"/>
        </w:rPr>
        <w:t>辰溪县商务局</w:t>
      </w:r>
    </w:p>
    <w:p w14:paraId="7189A3E8">
      <w:pPr>
        <w:pStyle w:val="2"/>
        <w:jc w:val="right"/>
        <w:rPr>
          <w:rFonts w:hint="default"/>
          <w:sz w:val="32"/>
          <w:szCs w:val="32"/>
          <w:lang w:val="en-US" w:eastAsia="zh-CN"/>
        </w:rPr>
      </w:pPr>
      <w:r>
        <w:rPr>
          <w:rFonts w:hint="eastAsia"/>
          <w:lang w:val="en-US" w:eastAsia="zh-CN"/>
        </w:rPr>
        <w:t xml:space="preserve">                                 </w:t>
      </w:r>
      <w:r>
        <w:rPr>
          <w:rFonts w:hint="eastAsia"/>
          <w:sz w:val="32"/>
          <w:szCs w:val="32"/>
          <w:lang w:val="en-US" w:eastAsia="zh-CN"/>
        </w:rPr>
        <w:t xml:space="preserve">  2024年4月12日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4C290E"/>
    <w:multiLevelType w:val="singleLevel"/>
    <w:tmpl w:val="C54C290E"/>
    <w:lvl w:ilvl="0" w:tentative="0">
      <w:start w:val="1"/>
      <w:numFmt w:val="chineseCounting"/>
      <w:suff w:val="nothing"/>
      <w:lvlText w:val="%1、"/>
      <w:lvlJc w:val="left"/>
      <w:rPr>
        <w:rFonts w:hint="eastAsia"/>
      </w:rPr>
    </w:lvl>
  </w:abstractNum>
  <w:abstractNum w:abstractNumId="1">
    <w:nsid w:val="1FA0006B"/>
    <w:multiLevelType w:val="singleLevel"/>
    <w:tmpl w:val="1FA0006B"/>
    <w:lvl w:ilvl="0" w:tentative="0">
      <w:start w:val="2"/>
      <w:numFmt w:val="chineseCounting"/>
      <w:suff w:val="nothing"/>
      <w:lvlText w:val="（%1）"/>
      <w:lvlJc w:val="left"/>
      <w:rPr>
        <w:rFonts w:hint="eastAsia"/>
      </w:rPr>
    </w:lvl>
  </w:abstractNum>
  <w:abstractNum w:abstractNumId="2">
    <w:nsid w:val="2218EE0C"/>
    <w:multiLevelType w:val="singleLevel"/>
    <w:tmpl w:val="2218EE0C"/>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6B9E2950"/>
    <w:rsid w:val="0BFC1C99"/>
    <w:rsid w:val="18D04604"/>
    <w:rsid w:val="207B4905"/>
    <w:rsid w:val="3EB6444A"/>
    <w:rsid w:val="664229B8"/>
    <w:rsid w:val="6B9E2950"/>
    <w:rsid w:val="70D11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note text"/>
    <w:basedOn w:val="1"/>
    <w:autoRedefine/>
    <w:qFormat/>
    <w:uiPriority w:val="0"/>
    <w:rPr>
      <w:sz w:val="18"/>
      <w:szCs w:val="18"/>
    </w:rPr>
  </w:style>
  <w:style w:type="paragraph" w:styleId="5">
    <w:name w:val="List Paragraph"/>
    <w:basedOn w:val="1"/>
    <w:autoRedefine/>
    <w:qFormat/>
    <w:uiPriority w:val="99"/>
    <w:pPr>
      <w:spacing w:line="365" w:lineRule="atLeast"/>
      <w:ind w:left="1" w:firstLine="420" w:firstLineChars="200"/>
      <w:textAlignment w:val="bottom"/>
    </w:pPr>
    <w:rPr>
      <w:rFonts w:ascii="Calibri" w:hAnsi="Calibri" w:eastAsia="宋体"/>
      <w:kern w:val="0"/>
      <w:sz w:val="20"/>
      <w:szCs w:val="22"/>
    </w:rPr>
  </w:style>
  <w:style w:type="paragraph" w:customStyle="1" w:styleId="6">
    <w:name w:val="BodyText1I2"/>
    <w:basedOn w:val="7"/>
    <w:autoRedefine/>
    <w:qFormat/>
    <w:uiPriority w:val="0"/>
    <w:pPr>
      <w:spacing w:after="0" w:line="560" w:lineRule="exact"/>
      <w:ind w:left="0" w:leftChars="0" w:firstLine="420" w:firstLineChars="200"/>
      <w:jc w:val="both"/>
      <w:textAlignment w:val="baseline"/>
    </w:pPr>
    <w:rPr>
      <w:rFonts w:ascii="仿宋_GB2312" w:eastAsia="宋体"/>
      <w:szCs w:val="20"/>
    </w:rPr>
  </w:style>
  <w:style w:type="paragraph" w:customStyle="1" w:styleId="7">
    <w:name w:val="BodyTextIndent"/>
    <w:basedOn w:val="1"/>
    <w:autoRedefine/>
    <w:qFormat/>
    <w:uiPriority w:val="0"/>
    <w:pPr>
      <w:spacing w:after="120"/>
      <w:ind w:left="420" w:leftChars="200"/>
      <w:jc w:val="both"/>
      <w:textAlignment w:val="baseline"/>
    </w:pPr>
  </w:style>
  <w:style w:type="paragraph" w:customStyle="1" w:styleId="8">
    <w:name w:val="BodyText"/>
    <w:basedOn w:val="1"/>
    <w:next w:val="1"/>
    <w:autoRedefine/>
    <w:qFormat/>
    <w:uiPriority w:val="0"/>
    <w:pPr>
      <w:spacing w:after="120"/>
      <w:jc w:val="both"/>
      <w:textAlignment w:val="baseline"/>
    </w:pPr>
    <w:rPr>
      <w:rFonts w:ascii="Times New Roman" w:hAnsi="Times New Roman" w:eastAsia="宋体"/>
      <w:kern w:val="2"/>
      <w:sz w:val="21"/>
      <w:szCs w:val="24"/>
      <w:lang w:val="en-US" w:eastAsia="zh-CN" w:bidi="ar-SA"/>
    </w:rPr>
  </w:style>
  <w:style w:type="character" w:customStyle="1" w:styleId="9">
    <w:name w:val="NormalCharacter"/>
    <w:autoRedefine/>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4668</Words>
  <Characters>5050</Characters>
  <Lines>0</Lines>
  <Paragraphs>0</Paragraphs>
  <TotalTime>17</TotalTime>
  <ScaleCrop>false</ScaleCrop>
  <LinksUpToDate>false</LinksUpToDate>
  <CharactersWithSpaces>5101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2024-04-09T23:42:00Z</dcterms:created>
  <dc:creator>郑青</dc:creator>
  <cp:lastModifiedBy>86135</cp:lastModifiedBy>
  <dcterms:modified xsi:type="dcterms:W3CDTF">2024-11-05T08:09:46Z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11C9AD373496431582832AB1ABB7D530_11</vt:lpwstr>
  </property>
</Properties>
</file>