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rPr>
      </w:pPr>
      <w:bookmarkStart w:id="1" w:name="_GoBack"/>
      <w:bookmarkStart w:id="0" w:name="OLE_LINK1"/>
      <w:r>
        <w:rPr>
          <w:rFonts w:hint="eastAsia" w:ascii="黑体" w:hAnsi="黑体" w:eastAsia="黑体" w:cs="黑体"/>
          <w:sz w:val="36"/>
          <w:szCs w:val="36"/>
        </w:rPr>
        <w:t>20</w:t>
      </w:r>
      <w:r>
        <w:rPr>
          <w:rFonts w:hint="eastAsia" w:ascii="黑体" w:hAnsi="黑体" w:eastAsia="黑体" w:cs="黑体"/>
          <w:sz w:val="36"/>
          <w:szCs w:val="36"/>
          <w:lang w:val="en-US" w:eastAsia="zh-CN"/>
        </w:rPr>
        <w:t>22</w:t>
      </w:r>
      <w:r>
        <w:rPr>
          <w:rFonts w:hint="eastAsia" w:ascii="黑体" w:hAnsi="黑体" w:eastAsia="黑体" w:cs="黑体"/>
          <w:sz w:val="36"/>
          <w:szCs w:val="36"/>
        </w:rPr>
        <w:t>年辰溪县卫</w:t>
      </w:r>
      <w:r>
        <w:rPr>
          <w:rFonts w:hint="eastAsia" w:ascii="黑体" w:hAnsi="黑体" w:eastAsia="黑体" w:cs="黑体"/>
          <w:sz w:val="36"/>
          <w:szCs w:val="36"/>
          <w:lang w:val="en-US" w:eastAsia="zh-CN"/>
        </w:rPr>
        <w:t>生健康</w:t>
      </w:r>
      <w:r>
        <w:rPr>
          <w:rFonts w:hint="eastAsia" w:ascii="黑体" w:hAnsi="黑体" w:eastAsia="黑体" w:cs="黑体"/>
          <w:sz w:val="36"/>
          <w:szCs w:val="36"/>
        </w:rPr>
        <w:t>局整体支出绩效评价报告</w:t>
      </w:r>
      <w:bookmarkEnd w:id="0"/>
    </w:p>
    <w:bookmarkEnd w:id="1"/>
    <w:p>
      <w:pPr>
        <w:pStyle w:val="2"/>
        <w:rPr>
          <w:rFonts w:hint="eastAsia"/>
        </w:rPr>
      </w:pPr>
    </w:p>
    <w:p>
      <w:pPr>
        <w:ind w:firstLine="640" w:firstLineChars="200"/>
        <w:jc w:val="left"/>
        <w:rPr>
          <w:rFonts w:hint="eastAsia"/>
        </w:rPr>
      </w:pPr>
      <w:r>
        <w:rPr>
          <w:rFonts w:hint="eastAsia" w:ascii="仿宋_GB2312" w:hAnsi="仿宋_GB2312" w:eastAsia="仿宋_GB2312" w:cs="仿宋_GB2312"/>
          <w:sz w:val="32"/>
          <w:szCs w:val="32"/>
        </w:rPr>
        <w:t>根据《辰溪县财政局关于开展20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年度度部门预算绩效自评工作的通知》，</w:t>
      </w:r>
      <w:r>
        <w:rPr>
          <w:rFonts w:hint="eastAsia" w:ascii="仿宋_GB2312" w:hAnsi="仿宋_GB2312" w:eastAsia="仿宋_GB2312" w:cs="仿宋_GB2312"/>
          <w:color w:val="333333"/>
          <w:sz w:val="32"/>
          <w:szCs w:val="32"/>
          <w:shd w:val="clear" w:color="auto" w:fill="FFFFFF"/>
        </w:rPr>
        <w:t>遵循“科学性、规范性、客观性和公正性”的原则，我局对20</w:t>
      </w:r>
      <w:r>
        <w:rPr>
          <w:rFonts w:hint="eastAsia" w:ascii="仿宋_GB2312" w:hAnsi="仿宋_GB2312" w:eastAsia="仿宋_GB2312" w:cs="仿宋_GB2312"/>
          <w:color w:val="333333"/>
          <w:sz w:val="32"/>
          <w:szCs w:val="32"/>
          <w:shd w:val="clear" w:color="auto" w:fill="FFFFFF"/>
          <w:lang w:val="en-US" w:eastAsia="zh-CN"/>
        </w:rPr>
        <w:t>22</w:t>
      </w:r>
      <w:r>
        <w:rPr>
          <w:rFonts w:hint="eastAsia" w:ascii="仿宋_GB2312" w:hAnsi="仿宋_GB2312" w:eastAsia="仿宋_GB2312" w:cs="仿宋_GB2312"/>
          <w:color w:val="333333"/>
          <w:sz w:val="32"/>
          <w:szCs w:val="32"/>
          <w:shd w:val="clear" w:color="auto" w:fill="FFFFFF"/>
        </w:rPr>
        <w:t>年度部门整体支出绩效进行了合理评价，现将有关情况报告如下。</w:t>
      </w:r>
    </w:p>
    <w:p>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一、部门概况</w:t>
      </w:r>
    </w:p>
    <w:p>
      <w:pPr>
        <w:widowControl/>
        <w:ind w:firstLine="635" w:firstLineChars="200"/>
        <w:rPr>
          <w:rFonts w:hint="eastAsia" w:ascii="仿宋_GB2312" w:eastAsia="仿宋_GB2312"/>
          <w:bCs/>
          <w:kern w:val="0"/>
          <w:sz w:val="32"/>
          <w:szCs w:val="32"/>
        </w:rPr>
      </w:pPr>
      <w:r>
        <w:rPr>
          <w:rFonts w:ascii="仿宋" w:hAnsi="仿宋" w:eastAsia="仿宋"/>
          <w:b/>
          <w:bCs/>
          <w:spacing w:val="-2"/>
          <w:sz w:val="32"/>
          <w:szCs w:val="32"/>
        </w:rPr>
        <w:t>（一）部门基本情况</w:t>
      </w:r>
      <w:r>
        <w:rPr>
          <w:rFonts w:hint="eastAsia" w:ascii="仿宋" w:hAnsi="仿宋" w:eastAsia="仿宋"/>
          <w:b/>
          <w:bCs/>
          <w:spacing w:val="-2"/>
          <w:sz w:val="32"/>
          <w:szCs w:val="32"/>
          <w:lang w:eastAsia="zh-CN"/>
        </w:rPr>
        <w:t>。</w:t>
      </w:r>
      <w:r>
        <w:rPr>
          <w:rFonts w:hint="eastAsia" w:ascii="仿宋_GB2312" w:hAnsi="仿宋_GB2312" w:eastAsia="仿宋_GB2312" w:cs="仿宋_GB2312"/>
          <w:color w:val="333333"/>
          <w:sz w:val="32"/>
          <w:szCs w:val="32"/>
          <w:shd w:val="clear" w:color="auto" w:fill="FFFFFF"/>
        </w:rPr>
        <w:t>辰溪县卫生健康局为全额财政拨款单位，主要职能</w:t>
      </w:r>
      <w:r>
        <w:rPr>
          <w:rFonts w:hint="eastAsia" w:ascii="仿宋_GB2312" w:hAnsi="仿宋_GB2312" w:eastAsia="仿宋_GB2312" w:cs="仿宋_GB2312"/>
          <w:color w:val="333333"/>
          <w:sz w:val="32"/>
          <w:szCs w:val="32"/>
          <w:shd w:val="clear" w:color="auto" w:fill="FFFFFF"/>
          <w:lang w:val="en-US" w:eastAsia="zh-CN"/>
        </w:rPr>
        <w:t>是</w:t>
      </w:r>
      <w:r>
        <w:rPr>
          <w:rFonts w:hint="eastAsia" w:ascii="仿宋_GB2312" w:eastAsia="仿宋_GB2312"/>
          <w:bCs/>
          <w:kern w:val="0"/>
          <w:sz w:val="32"/>
          <w:szCs w:val="32"/>
        </w:rPr>
        <w:t>负责协调推进全县医药卫生体制改革和医疗保障，统筹规划全县卫生和计划生育服务资源配置，组织和指导区域卫生和计划生育规划的编制和实施；负责制定全县疾病预防控制规划、免疫规划、传染病防治、突发公共卫生事件应急处置、职业卫生监督、公共场所卫生、妇幼儿童保健卫生、饮用水卫生、基本公共卫生服务等工作；负责指导推进医药卫生体制改革和医疗卫生服务体系建设；负责指导全县基层卫生和计划生育、优生优育、人口发展规划、计划生育利益导向等工作；承办县人民政府及市卫健委交办的其他事项。</w:t>
      </w:r>
    </w:p>
    <w:p>
      <w:pPr>
        <w:widowControl/>
        <w:ind w:firstLine="643" w:firstLineChars="200"/>
        <w:rPr>
          <w:rFonts w:hint="eastAsia" w:ascii="仿宋_GB2312" w:eastAsia="仿宋_GB2312"/>
          <w:bCs/>
          <w:kern w:val="0"/>
          <w:sz w:val="32"/>
          <w:szCs w:val="32"/>
        </w:rPr>
      </w:pPr>
      <w:r>
        <w:rPr>
          <w:rFonts w:hint="eastAsia" w:ascii="仿宋_GB2312" w:hAnsi="仿宋_GB2312" w:eastAsia="仿宋_GB2312" w:cs="仿宋_GB2312"/>
          <w:b/>
          <w:bCs/>
          <w:color w:val="333333"/>
          <w:sz w:val="32"/>
          <w:szCs w:val="32"/>
        </w:rPr>
        <w:t>（二）机构设置</w:t>
      </w:r>
      <w:r>
        <w:rPr>
          <w:rFonts w:hint="eastAsia" w:ascii="仿宋_GB2312" w:hAnsi="仿宋_GB2312" w:eastAsia="仿宋_GB2312" w:cs="仿宋_GB2312"/>
          <w:color w:val="333333"/>
          <w:sz w:val="32"/>
          <w:szCs w:val="32"/>
        </w:rPr>
        <w:t>。内设</w:t>
      </w:r>
      <w:r>
        <w:rPr>
          <w:rFonts w:hint="eastAsia" w:ascii="仿宋_GB2312" w:eastAsia="仿宋_GB2312"/>
          <w:bCs/>
          <w:kern w:val="0"/>
          <w:sz w:val="32"/>
          <w:szCs w:val="32"/>
        </w:rPr>
        <w:t>办公室（行政审批服务股）、人事股（科技教育股）、规划财务信息股、医政法制股（县深化医药卫生体制改革领导小组办公室）、药政股（中医药管理股）、疾病预防控制股（县卫生应急办公室、县人民政府防治艾滋病工作委员会办公室）、基层卫生股、流动人口管理服务股、计划生育指导股、计划生育家庭发展股、爱国卫生运动委员会办公室。设基层医疗卫生会计集中核算中心、基本药物集中配送中心、120急救指挥中心、健康教育所等二级全额事业单位。</w:t>
      </w:r>
    </w:p>
    <w:p>
      <w:pPr>
        <w:widowControl/>
        <w:ind w:firstLine="640"/>
        <w:rPr>
          <w:rFonts w:hint="eastAsia" w:ascii="仿宋_GB2312" w:eastAsia="仿宋_GB2312"/>
          <w:bCs/>
          <w:kern w:val="0"/>
          <w:sz w:val="32"/>
          <w:szCs w:val="32"/>
          <w:lang w:eastAsia="zh-CN"/>
        </w:rPr>
      </w:pPr>
      <w:r>
        <w:rPr>
          <w:rFonts w:hint="eastAsia" w:ascii="仿宋_GB2312" w:eastAsia="仿宋_GB2312"/>
          <w:b/>
          <w:kern w:val="0"/>
          <w:sz w:val="32"/>
          <w:szCs w:val="32"/>
        </w:rPr>
        <w:t>（三）人员构成</w:t>
      </w:r>
      <w:r>
        <w:rPr>
          <w:rFonts w:hint="eastAsia" w:ascii="仿宋_GB2312" w:eastAsia="仿宋_GB2312"/>
          <w:bCs/>
          <w:kern w:val="0"/>
          <w:sz w:val="32"/>
          <w:szCs w:val="32"/>
        </w:rPr>
        <w:t>。编制人数</w:t>
      </w:r>
      <w:r>
        <w:rPr>
          <w:rFonts w:hint="eastAsia" w:ascii="仿宋_GB2312" w:eastAsia="仿宋_GB2312"/>
          <w:bCs/>
          <w:kern w:val="0"/>
          <w:sz w:val="32"/>
          <w:szCs w:val="32"/>
          <w:lang w:val="en-US" w:eastAsia="zh-CN"/>
        </w:rPr>
        <w:t>102</w:t>
      </w:r>
      <w:r>
        <w:rPr>
          <w:rFonts w:hint="eastAsia" w:ascii="仿宋_GB2312" w:eastAsia="仿宋_GB2312"/>
          <w:bCs/>
          <w:kern w:val="0"/>
          <w:sz w:val="32"/>
          <w:szCs w:val="32"/>
        </w:rPr>
        <w:t>人，20</w:t>
      </w:r>
      <w:r>
        <w:rPr>
          <w:rFonts w:hint="eastAsia" w:ascii="仿宋_GB2312" w:eastAsia="仿宋_GB2312"/>
          <w:bCs/>
          <w:kern w:val="0"/>
          <w:sz w:val="32"/>
          <w:szCs w:val="32"/>
          <w:lang w:val="en-US" w:eastAsia="zh-CN"/>
        </w:rPr>
        <w:t>22</w:t>
      </w:r>
      <w:r>
        <w:rPr>
          <w:rFonts w:hint="eastAsia" w:ascii="仿宋_GB2312" w:eastAsia="仿宋_GB2312"/>
          <w:bCs/>
          <w:kern w:val="0"/>
          <w:sz w:val="32"/>
          <w:szCs w:val="32"/>
        </w:rPr>
        <w:t>年末</w:t>
      </w:r>
      <w:r>
        <w:rPr>
          <w:rFonts w:hint="eastAsia" w:ascii="仿宋_GB2312" w:eastAsia="仿宋_GB2312"/>
          <w:bCs/>
          <w:kern w:val="0"/>
          <w:sz w:val="32"/>
          <w:szCs w:val="32"/>
          <w:lang w:eastAsia="zh-CN"/>
        </w:rPr>
        <w:t>，</w:t>
      </w:r>
      <w:r>
        <w:rPr>
          <w:rFonts w:hint="eastAsia" w:ascii="仿宋_GB2312" w:eastAsia="仿宋_GB2312"/>
          <w:bCs/>
          <w:kern w:val="0"/>
          <w:sz w:val="32"/>
          <w:szCs w:val="32"/>
        </w:rPr>
        <w:t>实有在职人员</w:t>
      </w:r>
      <w:r>
        <w:rPr>
          <w:rFonts w:hint="eastAsia" w:ascii="仿宋_GB2312" w:eastAsia="仿宋_GB2312"/>
          <w:bCs/>
          <w:kern w:val="0"/>
          <w:sz w:val="32"/>
          <w:szCs w:val="32"/>
          <w:lang w:val="en-US" w:eastAsia="zh-CN"/>
        </w:rPr>
        <w:t>92</w:t>
      </w:r>
      <w:r>
        <w:rPr>
          <w:rFonts w:hint="eastAsia" w:ascii="仿宋_GB2312" w:eastAsia="仿宋_GB2312"/>
          <w:bCs/>
          <w:kern w:val="0"/>
          <w:sz w:val="32"/>
          <w:szCs w:val="32"/>
        </w:rPr>
        <w:t>人、退休人员</w:t>
      </w:r>
      <w:r>
        <w:rPr>
          <w:rFonts w:hint="eastAsia" w:ascii="仿宋_GB2312" w:eastAsia="仿宋_GB2312"/>
          <w:bCs/>
          <w:kern w:val="0"/>
          <w:sz w:val="32"/>
          <w:szCs w:val="32"/>
          <w:lang w:val="en-US" w:eastAsia="zh-CN"/>
        </w:rPr>
        <w:t>63</w:t>
      </w:r>
      <w:r>
        <w:rPr>
          <w:rFonts w:hint="eastAsia" w:ascii="仿宋_GB2312" w:eastAsia="仿宋_GB2312"/>
          <w:bCs/>
          <w:kern w:val="0"/>
          <w:sz w:val="32"/>
          <w:szCs w:val="32"/>
        </w:rPr>
        <w:t>人。</w:t>
      </w:r>
    </w:p>
    <w:p>
      <w:pPr>
        <w:widowControl/>
        <w:ind w:firstLine="640"/>
        <w:rPr>
          <w:rFonts w:hint="eastAsia" w:ascii="仿宋_GB2312" w:eastAsia="仿宋_GB2312"/>
          <w:b w:val="0"/>
          <w:bCs/>
          <w:kern w:val="0"/>
          <w:sz w:val="32"/>
          <w:szCs w:val="32"/>
          <w:lang w:val="en-US" w:eastAsia="zh-CN" w:bidi="ar-SA"/>
        </w:rPr>
      </w:pPr>
      <w:r>
        <w:rPr>
          <w:rFonts w:hint="eastAsia" w:ascii="仿宋_GB2312" w:eastAsia="仿宋_GB2312"/>
          <w:b/>
          <w:kern w:val="0"/>
          <w:sz w:val="32"/>
          <w:szCs w:val="32"/>
        </w:rPr>
        <w:t>（</w:t>
      </w:r>
      <w:r>
        <w:rPr>
          <w:rFonts w:hint="eastAsia" w:ascii="仿宋_GB2312" w:eastAsia="仿宋_GB2312"/>
          <w:b/>
          <w:kern w:val="0"/>
          <w:sz w:val="32"/>
          <w:szCs w:val="32"/>
          <w:lang w:val="en-US" w:eastAsia="zh-CN"/>
        </w:rPr>
        <w:t>四</w:t>
      </w:r>
      <w:r>
        <w:rPr>
          <w:rFonts w:hint="eastAsia" w:ascii="仿宋_GB2312" w:eastAsia="仿宋_GB2312"/>
          <w:b/>
          <w:kern w:val="0"/>
          <w:sz w:val="32"/>
          <w:szCs w:val="32"/>
        </w:rPr>
        <w:t>）</w:t>
      </w:r>
      <w:r>
        <w:rPr>
          <w:rFonts w:hint="eastAsia" w:ascii="仿宋_GB2312" w:eastAsia="仿宋_GB2312"/>
          <w:b w:val="0"/>
          <w:bCs/>
          <w:kern w:val="0"/>
          <w:sz w:val="32"/>
          <w:szCs w:val="32"/>
          <w:lang w:val="en-US" w:eastAsia="zh-CN" w:bidi="ar-SA"/>
        </w:rPr>
        <w:t>辰溪县卫生健康局2022年度重点工作。</w:t>
      </w:r>
    </w:p>
    <w:p>
      <w:pPr>
        <w:keepNext w:val="0"/>
        <w:keepLines w:val="0"/>
        <w:pageBreakBefore w:val="0"/>
        <w:kinsoku/>
        <w:wordWrap/>
        <w:overflowPunct/>
        <w:topLinePunct w:val="0"/>
        <w:autoSpaceDN/>
        <w:bidi w:val="0"/>
        <w:adjustRightInd/>
        <w:spacing w:line="600" w:lineRule="exact"/>
        <w:ind w:right="0" w:firstLine="643" w:firstLineChars="200"/>
        <w:jc w:val="both"/>
        <w:textAlignment w:val="auto"/>
        <w:rPr>
          <w:rFonts w:eastAsia="楷体"/>
          <w:b/>
          <w:color w:val="auto"/>
          <w:sz w:val="32"/>
          <w:szCs w:val="32"/>
        </w:rPr>
      </w:pPr>
      <w:r>
        <w:rPr>
          <w:rFonts w:hint="eastAsia" w:ascii="仿宋_GB2312" w:hAnsi="仿宋_GB2312" w:eastAsia="仿宋_GB2312" w:cs="仿宋_GB2312"/>
          <w:b/>
          <w:color w:val="auto"/>
          <w:sz w:val="32"/>
          <w:szCs w:val="32"/>
        </w:rPr>
        <w:t>1、</w:t>
      </w:r>
      <w:r>
        <w:rPr>
          <w:rFonts w:hAnsi="楷体" w:eastAsia="楷体"/>
          <w:b/>
          <w:color w:val="auto"/>
          <w:sz w:val="32"/>
          <w:szCs w:val="32"/>
        </w:rPr>
        <w:t>强化党委意识形态，进一步落实基层党建工作责任</w:t>
      </w:r>
    </w:p>
    <w:p>
      <w:pPr>
        <w:pStyle w:val="3"/>
        <w:keepNext w:val="0"/>
        <w:keepLines w:val="0"/>
        <w:pageBreakBefore w:val="0"/>
        <w:kinsoku/>
        <w:wordWrap/>
        <w:overflowPunct/>
        <w:topLinePunct w:val="0"/>
        <w:autoSpaceDN/>
        <w:bidi w:val="0"/>
        <w:adjustRightInd/>
        <w:spacing w:line="600" w:lineRule="exact"/>
        <w:ind w:left="0" w:leftChars="0" w:right="0" w:firstLine="640" w:firstLineChars="200"/>
        <w:jc w:val="both"/>
        <w:textAlignment w:val="auto"/>
        <w:rPr>
          <w:rFonts w:eastAsia="仿宋_GB2312"/>
          <w:color w:val="auto"/>
          <w:sz w:val="32"/>
          <w:szCs w:val="32"/>
        </w:rPr>
      </w:pPr>
      <w:r>
        <w:rPr>
          <w:rFonts w:hint="eastAsia" w:ascii="仿宋" w:hAnsi="仿宋" w:eastAsia="仿宋" w:cs="仿宋"/>
          <w:b w:val="0"/>
          <w:bCs w:val="0"/>
          <w:i w:val="0"/>
          <w:caps w:val="0"/>
          <w:color w:val="auto"/>
          <w:spacing w:val="0"/>
          <w:sz w:val="32"/>
          <w:szCs w:val="32"/>
          <w:shd w:val="clear" w:color="auto" w:fill="FFFFFF"/>
          <w:lang w:val="en-US" w:eastAsia="zh-CN"/>
        </w:rPr>
        <w:t>一是健全舆情网络管理机制，认真落实党建责任制。二是加强公立医院党的领导和党的建设，着力提升现代医院管理水平。明确公立医院实行党委领导下的院长负责制，院级党组织发挥把方向、管大局、作决策、促改革、保落实的领导</w:t>
      </w:r>
      <w:r>
        <w:rPr>
          <w:rFonts w:hint="eastAsia"/>
          <w:color w:val="auto"/>
          <w:sz w:val="32"/>
          <w:szCs w:val="32"/>
        </w:rPr>
        <w:t>作用</w:t>
      </w:r>
      <w:r>
        <w:rPr>
          <w:rFonts w:hint="eastAsia"/>
          <w:color w:val="auto"/>
          <w:sz w:val="32"/>
          <w:szCs w:val="32"/>
          <w:lang w:eastAsia="zh-CN"/>
        </w:rPr>
        <w:t>，</w:t>
      </w:r>
      <w:r>
        <w:rPr>
          <w:rFonts w:hint="eastAsia"/>
          <w:color w:val="auto"/>
          <w:sz w:val="32"/>
          <w:szCs w:val="32"/>
        </w:rPr>
        <w:t>把党支部建设成为坚强战斗堡垒，加强对党员的直接教育、管理、监督。</w:t>
      </w:r>
      <w:r>
        <w:rPr>
          <w:rFonts w:hint="eastAsia"/>
          <w:color w:val="auto"/>
          <w:sz w:val="32"/>
          <w:szCs w:val="32"/>
          <w:lang w:eastAsia="zh-CN"/>
        </w:rPr>
        <w:t>县人民医院收回后，</w:t>
      </w:r>
      <w:r>
        <w:rPr>
          <w:rFonts w:hint="eastAsia" w:ascii="Nimbus Roman No9 L" w:hAnsi="Nimbus Roman No9 L" w:eastAsia="仿宋" w:cs="Nimbus Roman No9 L"/>
          <w:b w:val="0"/>
          <w:bCs w:val="0"/>
          <w:i w:val="0"/>
          <w:iCs w:val="0"/>
          <w:caps w:val="0"/>
          <w:color w:val="auto"/>
          <w:spacing w:val="0"/>
          <w:w w:val="100"/>
          <w:kern w:val="2"/>
          <w:sz w:val="32"/>
          <w:szCs w:val="32"/>
          <w:lang w:val="en-US" w:eastAsia="zh-CN" w:bidi="ar-SA"/>
        </w:rPr>
        <w:t>党委书记、局长亲自</w:t>
      </w:r>
      <w:r>
        <w:rPr>
          <w:rFonts w:hint="default" w:ascii="Nimbus Roman No9 L" w:hAnsi="Nimbus Roman No9 L" w:eastAsia="仿宋" w:cs="Nimbus Roman No9 L"/>
          <w:b w:val="0"/>
          <w:bCs w:val="0"/>
          <w:i w:val="0"/>
          <w:iCs w:val="0"/>
          <w:caps w:val="0"/>
          <w:color w:val="auto"/>
          <w:spacing w:val="0"/>
          <w:w w:val="100"/>
          <w:kern w:val="2"/>
          <w:sz w:val="32"/>
          <w:szCs w:val="32"/>
          <w:lang w:val="en-US" w:eastAsia="zh-CN" w:bidi="ar-SA"/>
        </w:rPr>
        <w:t>兼任县人民医院党总支第一书记，及时调整医院院务班子及中层班子，</w:t>
      </w:r>
      <w:r>
        <w:rPr>
          <w:rFonts w:hint="eastAsia" w:ascii="Nimbus Roman No9 L" w:hAnsi="Nimbus Roman No9 L" w:eastAsia="仿宋" w:cs="Nimbus Roman No9 L"/>
          <w:b w:val="0"/>
          <w:bCs w:val="0"/>
          <w:i w:val="0"/>
          <w:iCs w:val="0"/>
          <w:caps w:val="0"/>
          <w:color w:val="auto"/>
          <w:spacing w:val="0"/>
          <w:w w:val="100"/>
          <w:kern w:val="2"/>
          <w:sz w:val="32"/>
          <w:szCs w:val="32"/>
          <w:lang w:val="en-US" w:eastAsia="zh-CN" w:bidi="ar-SA"/>
        </w:rPr>
        <w:t>统一思想认识，有效提升了班子的</w:t>
      </w:r>
      <w:r>
        <w:rPr>
          <w:rFonts w:hint="default" w:ascii="Nimbus Roman No9 L" w:hAnsi="Nimbus Roman No9 L" w:eastAsia="仿宋" w:cs="Nimbus Roman No9 L"/>
          <w:b w:val="0"/>
          <w:bCs w:val="0"/>
          <w:i w:val="0"/>
          <w:iCs w:val="0"/>
          <w:caps w:val="0"/>
          <w:color w:val="auto"/>
          <w:spacing w:val="0"/>
          <w:w w:val="100"/>
          <w:kern w:val="2"/>
          <w:sz w:val="32"/>
          <w:szCs w:val="32"/>
          <w:lang w:val="en-US" w:eastAsia="zh-CN" w:bidi="ar-SA"/>
        </w:rPr>
        <w:t>凝聚力、战斗力。按照现代化医院管理制度要求</w:t>
      </w:r>
      <w:r>
        <w:rPr>
          <w:rFonts w:hint="eastAsia" w:ascii="Nimbus Roman No9 L" w:hAnsi="Nimbus Roman No9 L" w:eastAsia="仿宋" w:cs="Nimbus Roman No9 L"/>
          <w:b w:val="0"/>
          <w:bCs w:val="0"/>
          <w:i w:val="0"/>
          <w:iCs w:val="0"/>
          <w:caps w:val="0"/>
          <w:color w:val="auto"/>
          <w:spacing w:val="0"/>
          <w:w w:val="100"/>
          <w:kern w:val="2"/>
          <w:sz w:val="32"/>
          <w:szCs w:val="32"/>
          <w:lang w:val="en-US" w:eastAsia="zh-CN" w:bidi="ar-SA"/>
        </w:rPr>
        <w:t>，牵头制定</w:t>
      </w:r>
      <w:r>
        <w:rPr>
          <w:rFonts w:hint="default" w:ascii="Nimbus Roman No9 L" w:hAnsi="Nimbus Roman No9 L" w:eastAsia="仿宋" w:cs="Nimbus Roman No9 L"/>
          <w:b w:val="0"/>
          <w:bCs w:val="0"/>
          <w:i w:val="0"/>
          <w:iCs w:val="0"/>
          <w:caps w:val="0"/>
          <w:color w:val="auto"/>
          <w:spacing w:val="0"/>
          <w:w w:val="100"/>
          <w:kern w:val="2"/>
          <w:sz w:val="32"/>
          <w:szCs w:val="32"/>
          <w:lang w:val="en-US" w:eastAsia="zh-CN" w:bidi="ar-SA"/>
        </w:rPr>
        <w:t>《县</w:t>
      </w:r>
      <w:r>
        <w:rPr>
          <w:rFonts w:hint="eastAsia" w:ascii="Nimbus Roman No9 L" w:hAnsi="Nimbus Roman No9 L" w:eastAsia="仿宋" w:cs="Nimbus Roman No9 L"/>
          <w:b w:val="0"/>
          <w:bCs w:val="0"/>
          <w:i w:val="0"/>
          <w:iCs w:val="0"/>
          <w:caps w:val="0"/>
          <w:color w:val="auto"/>
          <w:spacing w:val="0"/>
          <w:w w:val="100"/>
          <w:kern w:val="2"/>
          <w:sz w:val="32"/>
          <w:szCs w:val="32"/>
          <w:lang w:val="en-US" w:eastAsia="zh-CN" w:bidi="ar-SA"/>
        </w:rPr>
        <w:t>级公立</w:t>
      </w:r>
      <w:r>
        <w:rPr>
          <w:rFonts w:hint="default" w:ascii="Nimbus Roman No9 L" w:hAnsi="Nimbus Roman No9 L" w:eastAsia="仿宋" w:cs="Nimbus Roman No9 L"/>
          <w:b w:val="0"/>
          <w:bCs w:val="0"/>
          <w:i w:val="0"/>
          <w:iCs w:val="0"/>
          <w:caps w:val="0"/>
          <w:color w:val="auto"/>
          <w:spacing w:val="0"/>
          <w:w w:val="100"/>
          <w:kern w:val="2"/>
          <w:sz w:val="32"/>
          <w:szCs w:val="32"/>
          <w:lang w:val="en-US" w:eastAsia="zh-CN" w:bidi="ar-SA"/>
        </w:rPr>
        <w:t>医院管理章程》、《县级公立医院绩效管理办法》等</w:t>
      </w:r>
      <w:r>
        <w:rPr>
          <w:rFonts w:hint="eastAsia" w:ascii="Nimbus Roman No9 L" w:hAnsi="Nimbus Roman No9 L" w:eastAsia="仿宋" w:cs="Nimbus Roman No9 L"/>
          <w:b w:val="0"/>
          <w:bCs w:val="0"/>
          <w:i w:val="0"/>
          <w:iCs w:val="0"/>
          <w:caps w:val="0"/>
          <w:color w:val="auto"/>
          <w:spacing w:val="0"/>
          <w:w w:val="100"/>
          <w:kern w:val="2"/>
          <w:sz w:val="32"/>
          <w:szCs w:val="32"/>
          <w:lang w:val="en-US" w:eastAsia="zh-CN" w:bidi="ar-SA"/>
        </w:rPr>
        <w:t>一系列</w:t>
      </w:r>
      <w:r>
        <w:rPr>
          <w:rFonts w:hint="default" w:ascii="Nimbus Roman No9 L" w:hAnsi="Nimbus Roman No9 L" w:eastAsia="仿宋" w:cs="Nimbus Roman No9 L"/>
          <w:b w:val="0"/>
          <w:bCs w:val="0"/>
          <w:i w:val="0"/>
          <w:iCs w:val="0"/>
          <w:caps w:val="0"/>
          <w:color w:val="auto"/>
          <w:spacing w:val="0"/>
          <w:w w:val="100"/>
          <w:kern w:val="2"/>
          <w:sz w:val="32"/>
          <w:szCs w:val="32"/>
          <w:lang w:val="en-US" w:eastAsia="zh-CN" w:bidi="ar-SA"/>
        </w:rPr>
        <w:t>制度，进一步明确医院性质、办医宗旨、功能定位、办医方向、管理体制等</w:t>
      </w:r>
      <w:r>
        <w:rPr>
          <w:rFonts w:hint="eastAsia" w:ascii="Nimbus Roman No9 L" w:hAnsi="Nimbus Roman No9 L" w:eastAsia="仿宋" w:cs="Nimbus Roman No9 L"/>
          <w:b w:val="0"/>
          <w:bCs w:val="0"/>
          <w:i w:val="0"/>
          <w:iCs w:val="0"/>
          <w:caps w:val="0"/>
          <w:color w:val="auto"/>
          <w:spacing w:val="0"/>
          <w:w w:val="100"/>
          <w:kern w:val="2"/>
          <w:sz w:val="32"/>
          <w:szCs w:val="32"/>
          <w:lang w:val="en-US" w:eastAsia="zh-CN" w:bidi="ar-SA"/>
        </w:rPr>
        <w:t>，确保了县级公立医院改革朝着可持续发展方向推进</w:t>
      </w:r>
      <w:r>
        <w:rPr>
          <w:rFonts w:hint="default" w:ascii="Nimbus Roman No9 L" w:hAnsi="Nimbus Roman No9 L" w:eastAsia="仿宋" w:cs="Nimbus Roman No9 L"/>
          <w:b w:val="0"/>
          <w:bCs w:val="0"/>
          <w:i w:val="0"/>
          <w:iCs w:val="0"/>
          <w:caps w:val="0"/>
          <w:color w:val="auto"/>
          <w:spacing w:val="0"/>
          <w:w w:val="100"/>
          <w:kern w:val="2"/>
          <w:sz w:val="32"/>
          <w:szCs w:val="32"/>
          <w:lang w:val="en-US" w:eastAsia="zh-CN" w:bidi="ar-SA"/>
        </w:rPr>
        <w:t>。</w:t>
      </w:r>
      <w:r>
        <w:rPr>
          <w:rFonts w:hint="eastAsia" w:ascii="Nimbus Roman No9 L" w:hAnsi="Nimbus Roman No9 L" w:eastAsia="仿宋" w:cs="Nimbus Roman No9 L"/>
          <w:b w:val="0"/>
          <w:bCs w:val="0"/>
          <w:i w:val="0"/>
          <w:iCs w:val="0"/>
          <w:caps w:val="0"/>
          <w:color w:val="auto"/>
          <w:spacing w:val="0"/>
          <w:w w:val="100"/>
          <w:kern w:val="2"/>
          <w:sz w:val="32"/>
          <w:szCs w:val="32"/>
          <w:lang w:val="en-US" w:eastAsia="zh-CN" w:bidi="ar-SA"/>
        </w:rPr>
        <w:t>三是狠抓党风廉政建设，进一步提升工作水平。落实监督责任。研究制定了2022年度党风廉政建设、反腐败</w:t>
      </w:r>
      <w:r>
        <w:rPr>
          <w:rFonts w:eastAsia="仿宋_GB2312"/>
          <w:color w:val="auto"/>
          <w:sz w:val="32"/>
          <w:szCs w:val="32"/>
        </w:rPr>
        <w:t>工作实施方案及作风建设工作方案等，对重点任务和工作责任分解细化、责任到人，形成横向到边、纵向到底、覆盖完整、责任落实的责任体系。</w:t>
      </w:r>
      <w:r>
        <w:rPr>
          <w:rFonts w:hint="eastAsia" w:eastAsia="仿宋_GB2312"/>
          <w:color w:val="auto"/>
          <w:sz w:val="32"/>
          <w:szCs w:val="32"/>
          <w:lang w:eastAsia="zh-CN"/>
        </w:rPr>
        <w:t>营造清廉环境。</w:t>
      </w:r>
      <w:r>
        <w:rPr>
          <w:rFonts w:hint="eastAsia" w:eastAsia="仿宋_GB2312"/>
          <w:color w:val="auto"/>
          <w:sz w:val="32"/>
          <w:szCs w:val="32"/>
        </w:rPr>
        <w:t>将</w:t>
      </w:r>
      <w:r>
        <w:rPr>
          <w:rFonts w:hint="eastAsia" w:eastAsia="仿宋_GB2312"/>
          <w:color w:val="auto"/>
          <w:sz w:val="32"/>
          <w:szCs w:val="32"/>
          <w:lang w:val="en-US" w:eastAsia="zh-CN"/>
        </w:rPr>
        <w:t>巡视巡察整改、</w:t>
      </w:r>
      <w:r>
        <w:rPr>
          <w:rFonts w:hint="eastAsia" w:eastAsia="仿宋_GB2312"/>
          <w:color w:val="auto"/>
          <w:sz w:val="32"/>
          <w:szCs w:val="32"/>
        </w:rPr>
        <w:t>“三整顿两提升”干部作风建设专项活动</w:t>
      </w:r>
      <w:r>
        <w:rPr>
          <w:rFonts w:hint="eastAsia" w:eastAsia="仿宋_GB2312"/>
          <w:color w:val="auto"/>
          <w:sz w:val="32"/>
          <w:szCs w:val="32"/>
          <w:lang w:val="en-US" w:eastAsia="zh-CN"/>
        </w:rPr>
        <w:t>和</w:t>
      </w:r>
      <w:r>
        <w:rPr>
          <w:rFonts w:hint="eastAsia" w:eastAsia="仿宋_GB2312"/>
          <w:color w:val="auto"/>
          <w:sz w:val="32"/>
          <w:szCs w:val="32"/>
        </w:rPr>
        <w:t>医疗安全与行风建设专项行动结合起来，加强干部思想、</w:t>
      </w:r>
      <w:r>
        <w:rPr>
          <w:rFonts w:hint="eastAsia" w:ascii="仿宋" w:hAnsi="仿宋" w:eastAsia="仿宋" w:cs="仿宋"/>
          <w:color w:val="auto"/>
          <w:sz w:val="32"/>
          <w:szCs w:val="32"/>
        </w:rPr>
        <w:t xml:space="preserve"> 作风、纪律建设，重点做好全面规范依法执业、遵守廉洁从业</w:t>
      </w:r>
      <w:r>
        <w:rPr>
          <w:rFonts w:hint="eastAsia" w:ascii="仿宋" w:hAnsi="仿宋" w:eastAsia="仿宋" w:cs="仿宋"/>
          <w:color w:val="auto"/>
          <w:sz w:val="32"/>
          <w:szCs w:val="32"/>
          <w:lang w:val="en-US" w:eastAsia="zh-CN"/>
        </w:rPr>
        <w:t>标准</w:t>
      </w:r>
      <w:r>
        <w:rPr>
          <w:rFonts w:hint="eastAsia" w:ascii="仿宋" w:hAnsi="仿宋" w:eastAsia="仿宋" w:cs="仿宋"/>
          <w:color w:val="auto"/>
          <w:sz w:val="32"/>
          <w:szCs w:val="32"/>
        </w:rPr>
        <w:t>、加强对参与违规营销行为的整治、严格落实医疗核心制度、整改医德医风突出问题等</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大方面的工作，切实维护人民群众的健康权益，营造风清气正的医疗行业新风尚。</w:t>
      </w:r>
      <w:r>
        <w:rPr>
          <w:rFonts w:hint="eastAsia" w:ascii="仿宋" w:hAnsi="仿宋" w:eastAsia="仿宋" w:cs="仿宋"/>
          <w:color w:val="auto"/>
          <w:kern w:val="2"/>
          <w:sz w:val="32"/>
          <w:szCs w:val="32"/>
          <w:lang w:val="en-US" w:eastAsia="zh-CN" w:bidi="ar-SA"/>
        </w:rPr>
        <w:t>2022年，辰阳镇卫生院、辰溪博爱骨科医院、辰溪县红十字会医院、火马冲镇中心卫生院已申报县级清廉医院，其中辰阳镇卫生院申报市级清廉医院。</w:t>
      </w:r>
    </w:p>
    <w:p>
      <w:pPr>
        <w:keepNext w:val="0"/>
        <w:keepLines w:val="0"/>
        <w:pageBreakBefore w:val="0"/>
        <w:kinsoku/>
        <w:wordWrap/>
        <w:overflowPunct/>
        <w:topLinePunct w:val="0"/>
        <w:autoSpaceDN/>
        <w:bidi w:val="0"/>
        <w:snapToGrid w:val="0"/>
        <w:spacing w:line="600" w:lineRule="exact"/>
        <w:ind w:firstLine="630" w:firstLineChars="196"/>
        <w:textAlignment w:val="auto"/>
        <w:rPr>
          <w:rFonts w:hint="default" w:ascii="仿宋" w:hAnsi="仿宋" w:eastAsia="仿宋" w:cs="仿宋"/>
          <w:color w:val="auto"/>
          <w:kern w:val="2"/>
          <w:sz w:val="32"/>
          <w:szCs w:val="32"/>
          <w:lang w:val="en-US" w:eastAsia="zh-CN" w:bidi="ar-SA"/>
        </w:rPr>
      </w:pPr>
      <w:r>
        <w:rPr>
          <w:rFonts w:hint="eastAsia" w:ascii="Times New Roman" w:hAnsi="Times New Roman" w:eastAsia="楷体" w:cs="Times New Roman"/>
          <w:b/>
          <w:bCs/>
          <w:i w:val="0"/>
          <w:iCs w:val="0"/>
          <w:caps w:val="0"/>
          <w:color w:val="auto"/>
          <w:spacing w:val="0"/>
          <w:kern w:val="0"/>
          <w:sz w:val="32"/>
          <w:szCs w:val="32"/>
          <w:shd w:val="clear" w:color="auto" w:fill="FFFFFF"/>
          <w:lang w:val="en-US" w:eastAsia="zh-CN" w:bidi="ar"/>
        </w:rPr>
        <w:t>2、</w:t>
      </w:r>
      <w:r>
        <w:rPr>
          <w:rFonts w:hint="default" w:ascii="Times New Roman" w:hAnsi="Times New Roman" w:eastAsia="楷体" w:cs="Times New Roman"/>
          <w:b/>
          <w:bCs/>
          <w:i w:val="0"/>
          <w:iCs w:val="0"/>
          <w:caps w:val="0"/>
          <w:color w:val="auto"/>
          <w:spacing w:val="0"/>
          <w:kern w:val="0"/>
          <w:sz w:val="32"/>
          <w:szCs w:val="32"/>
          <w:shd w:val="clear" w:color="auto" w:fill="FFFFFF"/>
          <w:lang w:val="en-US" w:eastAsia="zh-CN" w:bidi="ar"/>
        </w:rPr>
        <w:t>坚持精准精细，做到疫情防控工作点线结合。</w:t>
      </w:r>
      <w:r>
        <w:rPr>
          <w:rFonts w:hint="default" w:ascii="仿宋" w:hAnsi="仿宋" w:eastAsia="仿宋" w:cs="仿宋"/>
          <w:color w:val="auto"/>
          <w:kern w:val="2"/>
          <w:sz w:val="32"/>
          <w:szCs w:val="32"/>
          <w:lang w:val="en-US" w:eastAsia="zh-CN" w:bidi="ar-SA"/>
        </w:rPr>
        <w:t>一是强化监测预警。坚持“早发现、早报告、早隔离、早治疗”，充分发挥县、乡、村三级医疗机构的哨点作用，进一步规范完善发热门诊、发热诊室、预检分诊点、临时留观点设置，全面落实预检分诊各项措施。二是提升核酸检测能力。在现有5家核酸检测实验室的基础上，建成了安坪镇中心卫生院、黄溪口镇中心卫生院2个核酸检测实验室，全县日最大检测量可达到2.88万多管。三是突出重点人员管控。针对中高风</w:t>
      </w:r>
      <w:r>
        <w:rPr>
          <w:rFonts w:hint="default" w:ascii="Times New Roman" w:hAnsi="Times New Roman" w:eastAsia="仿宋_GB2312" w:cs="Times New Roman"/>
          <w:i w:val="0"/>
          <w:iCs w:val="0"/>
          <w:caps w:val="0"/>
          <w:color w:val="auto"/>
          <w:spacing w:val="0"/>
          <w:kern w:val="0"/>
          <w:sz w:val="32"/>
          <w:szCs w:val="32"/>
          <w:shd w:val="clear" w:color="auto" w:fill="FFFFFF"/>
          <w:lang w:val="en-US" w:eastAsia="zh-CN" w:bidi="ar"/>
        </w:rPr>
        <w:t>险地区、特定地区返辰人员，坚决落实分类管控措施。自</w:t>
      </w:r>
      <w:r>
        <w:rPr>
          <w:rFonts w:hint="default" w:ascii="仿宋" w:hAnsi="仿宋" w:eastAsia="仿宋" w:cs="仿宋"/>
          <w:color w:val="auto"/>
          <w:kern w:val="2"/>
          <w:sz w:val="32"/>
          <w:szCs w:val="32"/>
          <w:lang w:val="en-US" w:eastAsia="zh-CN" w:bidi="ar-SA"/>
        </w:rPr>
        <w:t>2022年1月1日以来，累计摸排境外、中高风险地区（返）辰等重点人员23860人，专班接返1766人，定点隔离2353人。四是加大疫情防控宣传力度。通过采取张贴标语、LED电子屏滚动播放、村级广播、发放宣传册、入户宣传、微信群、QQ群宣传等方式，向辖区群众传达疫情防控相关知识，树立良好导向，发动群众积极配合参与疫情防控工作。</w:t>
      </w:r>
      <w:r>
        <w:rPr>
          <w:rFonts w:hint="eastAsia" w:ascii="仿宋" w:hAnsi="仿宋" w:eastAsia="仿宋" w:cs="仿宋"/>
          <w:color w:val="auto"/>
          <w:kern w:val="2"/>
          <w:sz w:val="32"/>
          <w:szCs w:val="32"/>
          <w:lang w:val="en-US" w:eastAsia="zh-CN" w:bidi="ar-SA"/>
        </w:rPr>
        <w:t xml:space="preserve"> </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default" w:ascii="仿宋" w:hAnsi="仿宋" w:eastAsia="仿宋" w:cs="仿宋"/>
          <w:color w:val="auto"/>
          <w:kern w:val="2"/>
          <w:sz w:val="32"/>
          <w:szCs w:val="32"/>
          <w:lang w:val="en-US" w:eastAsia="zh-CN" w:bidi="ar-SA"/>
        </w:rPr>
      </w:pPr>
      <w:r>
        <w:rPr>
          <w:rFonts w:hint="eastAsia" w:ascii="Times New Roman" w:hAnsi="Times New Roman" w:eastAsia="楷体" w:cs="Times New Roman"/>
          <w:b/>
          <w:bCs/>
          <w:color w:val="auto"/>
          <w:sz w:val="32"/>
          <w:szCs w:val="32"/>
          <w:lang w:val="en-US" w:eastAsia="zh-CN"/>
        </w:rPr>
        <w:t>3、</w:t>
      </w:r>
      <w:r>
        <w:rPr>
          <w:rFonts w:hint="default" w:ascii="Times New Roman" w:hAnsi="Times New Roman" w:eastAsia="楷体" w:cs="Times New Roman"/>
          <w:b/>
          <w:bCs/>
          <w:color w:val="auto"/>
          <w:sz w:val="32"/>
          <w:szCs w:val="32"/>
          <w:lang w:eastAsia="zh-CN"/>
        </w:rPr>
        <w:t>坚持引育并重，</w:t>
      </w:r>
      <w:r>
        <w:rPr>
          <w:rFonts w:hint="default" w:ascii="Times New Roman" w:hAnsi="Times New Roman" w:eastAsia="楷体" w:cs="Times New Roman"/>
          <w:b/>
          <w:bCs/>
          <w:color w:val="auto"/>
          <w:sz w:val="32"/>
          <w:szCs w:val="32"/>
        </w:rPr>
        <w:t>医卫队伍</w:t>
      </w:r>
      <w:r>
        <w:rPr>
          <w:rFonts w:hint="default" w:ascii="Times New Roman" w:hAnsi="Times New Roman" w:eastAsia="楷体" w:cs="Times New Roman"/>
          <w:b/>
          <w:bCs/>
          <w:color w:val="auto"/>
          <w:sz w:val="32"/>
          <w:szCs w:val="32"/>
          <w:lang w:eastAsia="zh-CN"/>
        </w:rPr>
        <w:t>建设取得新发展</w:t>
      </w:r>
      <w:r>
        <w:rPr>
          <w:rFonts w:hint="default" w:ascii="Times New Roman" w:hAnsi="Times New Roman" w:eastAsia="楷体" w:cs="Times New Roman"/>
          <w:b/>
          <w:bCs/>
          <w:color w:val="auto"/>
          <w:sz w:val="32"/>
          <w:szCs w:val="32"/>
        </w:rPr>
        <w:t>。</w:t>
      </w:r>
      <w:r>
        <w:rPr>
          <w:rFonts w:hint="default" w:ascii="仿宋" w:hAnsi="仿宋" w:eastAsia="仿宋" w:cs="仿宋"/>
          <w:color w:val="auto"/>
          <w:kern w:val="2"/>
          <w:sz w:val="32"/>
          <w:szCs w:val="32"/>
          <w:lang w:val="en-US" w:eastAsia="zh-CN" w:bidi="ar-SA"/>
        </w:rPr>
        <w:t>一是招聘事业单位编制人员。按照岗位设置，县属各医疗卫生单位向社会公开招聘专业技术人才70名，目前已入编上岗；二是加强全科医生转岗培训。在完成2021年度6名全科医生转岗培训的基础上，今年又落实了6名全科医生转岗培训。三是抓好国家免费订单定向培养。落实5名本科学历、22名专科学历定向培养医学生，目前均已入学，并签订了协议。四是开展人员编制管理。对卫生健康系统在编不在岗人员进行全面清理，共清理在编不在岗110人，其中：</w:t>
      </w:r>
      <w:r>
        <w:rPr>
          <w:rFonts w:hint="eastAsia" w:ascii="仿宋" w:hAnsi="仿宋" w:eastAsia="仿宋" w:cs="仿宋"/>
          <w:color w:val="auto"/>
          <w:kern w:val="2"/>
          <w:sz w:val="32"/>
          <w:szCs w:val="32"/>
          <w:lang w:val="en-US" w:eastAsia="zh-CN" w:bidi="ar-SA"/>
        </w:rPr>
        <w:t>督促县外在编人员</w:t>
      </w:r>
      <w:r>
        <w:rPr>
          <w:rFonts w:hint="default" w:ascii="仿宋" w:hAnsi="仿宋" w:eastAsia="仿宋" w:cs="仿宋"/>
          <w:color w:val="auto"/>
          <w:kern w:val="2"/>
          <w:sz w:val="32"/>
          <w:szCs w:val="32"/>
          <w:lang w:val="en-US" w:eastAsia="zh-CN" w:bidi="ar-SA"/>
        </w:rPr>
        <w:t>返岗</w:t>
      </w:r>
      <w:r>
        <w:rPr>
          <w:rFonts w:hint="eastAsia" w:ascii="仿宋" w:hAnsi="仿宋" w:eastAsia="仿宋" w:cs="仿宋"/>
          <w:color w:val="auto"/>
          <w:kern w:val="2"/>
          <w:sz w:val="32"/>
          <w:szCs w:val="32"/>
          <w:lang w:val="en-US" w:eastAsia="zh-CN" w:bidi="ar-SA"/>
        </w:rPr>
        <w:t>56</w:t>
      </w:r>
      <w:r>
        <w:rPr>
          <w:rFonts w:hint="default" w:ascii="仿宋" w:hAnsi="仿宋" w:eastAsia="仿宋" w:cs="仿宋"/>
          <w:color w:val="auto"/>
          <w:kern w:val="2"/>
          <w:sz w:val="32"/>
          <w:szCs w:val="32"/>
          <w:lang w:val="en-US" w:eastAsia="zh-CN" w:bidi="ar-SA"/>
        </w:rPr>
        <w:t>人</w:t>
      </w:r>
      <w:r>
        <w:rPr>
          <w:rFonts w:hint="eastAsia" w:ascii="仿宋" w:hAnsi="仿宋" w:eastAsia="仿宋" w:cs="仿宋"/>
          <w:color w:val="auto"/>
          <w:kern w:val="2"/>
          <w:sz w:val="32"/>
          <w:szCs w:val="32"/>
          <w:lang w:val="en-US" w:eastAsia="zh-CN" w:bidi="ar-SA"/>
        </w:rPr>
        <w:t>，</w:t>
      </w:r>
      <w:r>
        <w:rPr>
          <w:rFonts w:hint="default" w:ascii="仿宋" w:hAnsi="仿宋" w:eastAsia="仿宋" w:cs="仿宋"/>
          <w:color w:val="auto"/>
          <w:kern w:val="2"/>
          <w:sz w:val="32"/>
          <w:szCs w:val="32"/>
          <w:lang w:val="en-US" w:eastAsia="zh-CN" w:bidi="ar-SA"/>
        </w:rPr>
        <w:t>辞职8人，退休3人，再次限期返岗</w:t>
      </w:r>
      <w:r>
        <w:rPr>
          <w:rFonts w:hint="eastAsia" w:ascii="仿宋" w:hAnsi="仿宋" w:eastAsia="仿宋" w:cs="仿宋"/>
          <w:color w:val="auto"/>
          <w:kern w:val="2"/>
          <w:sz w:val="32"/>
          <w:szCs w:val="32"/>
          <w:lang w:val="en-US" w:eastAsia="zh-CN" w:bidi="ar-SA"/>
        </w:rPr>
        <w:t>34</w:t>
      </w:r>
      <w:r>
        <w:rPr>
          <w:rFonts w:hint="default" w:ascii="仿宋" w:hAnsi="仿宋" w:eastAsia="仿宋" w:cs="仿宋"/>
          <w:color w:val="auto"/>
          <w:kern w:val="2"/>
          <w:sz w:val="32"/>
          <w:szCs w:val="32"/>
          <w:lang w:val="en-US" w:eastAsia="zh-CN" w:bidi="ar-SA"/>
        </w:rPr>
        <w:t>人。同时，对在编县内混岗人员，符合调动条件的，在单位空编的情况下将按程序为其办理调动手续，不符合调动条件的，将责令其回原单位上班；对在编不在岗人员，通知其返岗上班，如未按时返岗，将按事业单位管理条例作辞退处理。</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default" w:ascii="Times New Roman" w:hAnsi="Times New Roman" w:eastAsia="方正仿宋简体" w:cs="Times New Roman"/>
          <w:color w:val="auto"/>
          <w:spacing w:val="10"/>
          <w:kern w:val="2"/>
          <w:sz w:val="32"/>
          <w:szCs w:val="32"/>
        </w:rPr>
      </w:pPr>
      <w:r>
        <w:rPr>
          <w:rFonts w:hint="eastAsia" w:ascii="Times New Roman" w:hAnsi="Times New Roman" w:eastAsia="楷体" w:cs="Times New Roman"/>
          <w:b/>
          <w:color w:val="auto"/>
          <w:sz w:val="32"/>
          <w:szCs w:val="32"/>
          <w:lang w:val="en-US" w:eastAsia="zh-CN"/>
        </w:rPr>
        <w:t>4、</w:t>
      </w:r>
      <w:r>
        <w:rPr>
          <w:rFonts w:hint="default" w:ascii="Times New Roman" w:hAnsi="Times New Roman" w:eastAsia="楷体" w:cs="Times New Roman"/>
          <w:b/>
          <w:color w:val="auto"/>
          <w:sz w:val="32"/>
          <w:szCs w:val="32"/>
          <w:lang w:eastAsia="zh-CN"/>
        </w:rPr>
        <w:t>坚持强基固本，</w:t>
      </w:r>
      <w:r>
        <w:rPr>
          <w:rFonts w:hint="default" w:ascii="Times New Roman" w:hAnsi="Times New Roman" w:eastAsia="楷体" w:cs="Times New Roman"/>
          <w:b/>
          <w:color w:val="auto"/>
          <w:sz w:val="32"/>
          <w:szCs w:val="32"/>
        </w:rPr>
        <w:t>服务能力建设</w:t>
      </w:r>
      <w:r>
        <w:rPr>
          <w:rFonts w:hint="default" w:ascii="Times New Roman" w:hAnsi="Times New Roman" w:eastAsia="楷体" w:cs="Times New Roman"/>
          <w:b/>
          <w:color w:val="auto"/>
          <w:sz w:val="32"/>
          <w:szCs w:val="32"/>
          <w:lang w:eastAsia="zh-CN"/>
        </w:rPr>
        <w:t>取得新实效</w:t>
      </w:r>
      <w:r>
        <w:rPr>
          <w:rFonts w:hint="default" w:ascii="Times New Roman" w:hAnsi="Times New Roman" w:eastAsia="楷体" w:cs="Times New Roman"/>
          <w:b/>
          <w:color w:val="auto"/>
          <w:sz w:val="32"/>
          <w:szCs w:val="32"/>
        </w:rPr>
        <w:t>。</w:t>
      </w:r>
      <w:r>
        <w:rPr>
          <w:rFonts w:hint="default" w:ascii="仿宋" w:hAnsi="仿宋" w:eastAsia="仿宋" w:cs="仿宋"/>
          <w:color w:val="auto"/>
          <w:kern w:val="2"/>
          <w:sz w:val="32"/>
          <w:szCs w:val="32"/>
          <w:lang w:val="en-US" w:eastAsia="zh-CN" w:bidi="ar-SA"/>
        </w:rPr>
        <w:t>一是县第一人民医院项目建设有序推进。目前，康养楼、感染楼</w:t>
      </w:r>
      <w:r>
        <w:rPr>
          <w:rFonts w:hint="eastAsia" w:ascii="仿宋" w:hAnsi="仿宋" w:eastAsia="仿宋" w:cs="仿宋"/>
          <w:color w:val="auto"/>
          <w:kern w:val="2"/>
          <w:sz w:val="32"/>
          <w:szCs w:val="32"/>
          <w:lang w:val="en-US" w:eastAsia="zh-CN" w:bidi="ar-SA"/>
        </w:rPr>
        <w:t>、门诊楼</w:t>
      </w:r>
      <w:r>
        <w:rPr>
          <w:rFonts w:hint="default" w:ascii="仿宋" w:hAnsi="仿宋" w:eastAsia="仿宋" w:cs="仿宋"/>
          <w:color w:val="auto"/>
          <w:kern w:val="2"/>
          <w:sz w:val="32"/>
          <w:szCs w:val="32"/>
          <w:lang w:val="en-US" w:eastAsia="zh-CN" w:bidi="ar-SA"/>
        </w:rPr>
        <w:t>主体工程完成，进入装修阶段</w:t>
      </w:r>
      <w:r>
        <w:rPr>
          <w:rFonts w:hint="eastAsia" w:ascii="仿宋" w:hAnsi="仿宋" w:eastAsia="仿宋" w:cs="仿宋"/>
          <w:color w:val="auto"/>
          <w:kern w:val="2"/>
          <w:sz w:val="32"/>
          <w:szCs w:val="32"/>
          <w:lang w:val="en-US" w:eastAsia="zh-CN" w:bidi="ar-SA"/>
        </w:rPr>
        <w:t>，县妇保院已投入使用</w:t>
      </w:r>
      <w:r>
        <w:rPr>
          <w:rFonts w:hint="default" w:ascii="仿宋" w:hAnsi="仿宋" w:eastAsia="仿宋" w:cs="仿宋"/>
          <w:color w:val="auto"/>
          <w:kern w:val="2"/>
          <w:sz w:val="32"/>
          <w:szCs w:val="32"/>
          <w:lang w:val="en-US" w:eastAsia="zh-CN" w:bidi="ar-SA"/>
        </w:rPr>
        <w:t>。二是医疗机构创建进展顺利。一方面，8月25日启动了县人民医院三级医院创建，进一步明确了县级公立发展方向。另一方面，在今年5月份完成了黄溪口镇中心卫生院血透项目建设，并启动了黄溪口中心卫生院二级医院创建，8月16日已通过初审验收，</w:t>
      </w:r>
      <w:r>
        <w:rPr>
          <w:rFonts w:hint="eastAsia" w:ascii="仿宋" w:hAnsi="仿宋" w:eastAsia="仿宋" w:cs="仿宋"/>
          <w:color w:val="auto"/>
          <w:kern w:val="2"/>
          <w:sz w:val="32"/>
          <w:szCs w:val="32"/>
          <w:lang w:val="en-US" w:eastAsia="zh-CN" w:bidi="ar-SA"/>
        </w:rPr>
        <w:t>2023年1</w:t>
      </w:r>
      <w:r>
        <w:rPr>
          <w:rFonts w:hint="default" w:ascii="仿宋" w:hAnsi="仿宋" w:eastAsia="仿宋" w:cs="仿宋"/>
          <w:color w:val="auto"/>
          <w:kern w:val="2"/>
          <w:sz w:val="32"/>
          <w:szCs w:val="32"/>
          <w:lang w:val="en-US" w:eastAsia="zh-CN" w:bidi="ar-SA"/>
        </w:rPr>
        <w:t>月</w:t>
      </w:r>
      <w:r>
        <w:rPr>
          <w:rFonts w:hint="eastAsia" w:ascii="仿宋" w:hAnsi="仿宋" w:eastAsia="仿宋" w:cs="仿宋"/>
          <w:color w:val="auto"/>
          <w:kern w:val="2"/>
          <w:sz w:val="32"/>
          <w:szCs w:val="32"/>
          <w:lang w:val="en-US" w:eastAsia="zh-CN" w:bidi="ar-SA"/>
        </w:rPr>
        <w:t>初</w:t>
      </w:r>
      <w:r>
        <w:rPr>
          <w:rFonts w:hint="default" w:ascii="仿宋" w:hAnsi="仿宋" w:eastAsia="仿宋" w:cs="仿宋"/>
          <w:color w:val="auto"/>
          <w:kern w:val="2"/>
          <w:sz w:val="32"/>
          <w:szCs w:val="32"/>
          <w:lang w:val="en-US" w:eastAsia="zh-CN" w:bidi="ar-SA"/>
        </w:rPr>
        <w:t>将进行</w:t>
      </w:r>
      <w:r>
        <w:rPr>
          <w:rFonts w:hint="eastAsia" w:ascii="仿宋" w:hAnsi="仿宋" w:eastAsia="仿宋" w:cs="仿宋"/>
          <w:color w:val="auto"/>
          <w:kern w:val="2"/>
          <w:sz w:val="32"/>
          <w:szCs w:val="32"/>
          <w:lang w:val="en-US" w:eastAsia="zh-CN" w:bidi="ar-SA"/>
        </w:rPr>
        <w:t>市级</w:t>
      </w:r>
      <w:r>
        <w:rPr>
          <w:rFonts w:hint="default" w:ascii="仿宋" w:hAnsi="仿宋" w:eastAsia="仿宋" w:cs="仿宋"/>
          <w:color w:val="auto"/>
          <w:kern w:val="2"/>
          <w:sz w:val="32"/>
          <w:szCs w:val="32"/>
          <w:lang w:val="en-US" w:eastAsia="zh-CN" w:bidi="ar-SA"/>
        </w:rPr>
        <w:t>复审验收。另外，对罗子山瑶族乡卫生院实施了改厕项目，于9月底前完工并投入使用。三是医联体运行持续巩固。县人民医院与省脑科医院、省儿童医院、市一医院、市二医院、湖医附一医疗联合体正常运行，与省肿瘤医院、省脑科医院神经外科、泌尿外科、中南大学湘雅二医院病理科和ICU、市一医院ICU、市二医院肿瘤科专科联盟持续改善；县中医医院与省中医研究院、省中医附一、省中医附二医院、市中医医院、市第一人民医院医联体合作取得实质突破，提升县级医院重大疾病防治能力和急诊急救能力。四是县域医共体基本形成。组建了由县人民医院牵头落实的县域综合医疗共同体，与29个乡镇卫生院和   196个村卫生室负责人签订了医共体协议，进一步完善基层医疗服务网络。五是优质服务基层行效果凸显。全县23个乡镇29个卫生院全面开展优质服务基层行创建工作，开展为期一个月的医学专家到基层卫生院坐诊、开展师带徒等医疗服务活动，促进优质医疗资源下沉，全面提升乡镇卫生院综合服务能力水平。黄溪口镇中心卫生院、火马冲镇中心卫生院、孝坪镇卫生院3个卫生院达到了创建推荐标准，24个卫生院达到了基本标准，优质服务基层行创建工作有序推进。六是</w:t>
      </w:r>
      <w:r>
        <w:rPr>
          <w:rFonts w:hint="default" w:ascii="仿宋" w:hAnsi="仿宋" w:eastAsia="仿宋" w:cs="仿宋"/>
          <w:color w:val="auto"/>
          <w:kern w:val="2"/>
          <w:sz w:val="32"/>
          <w:szCs w:val="32"/>
          <w:lang w:val="zh-CN" w:eastAsia="zh-CN" w:bidi="ar-SA"/>
        </w:rPr>
        <w:t>村级卫生室进一步规范。在去年建设全面达标的基础上，对239个村卫生室的功能设置和设备配置进行进一步完善，</w:t>
      </w:r>
      <w:r>
        <w:rPr>
          <w:rFonts w:hint="default" w:ascii="仿宋" w:hAnsi="仿宋" w:eastAsia="仿宋" w:cs="仿宋"/>
          <w:color w:val="auto"/>
          <w:kern w:val="2"/>
          <w:sz w:val="32"/>
          <w:szCs w:val="32"/>
          <w:lang w:val="en-US" w:eastAsia="zh-CN" w:bidi="ar-SA"/>
        </w:rPr>
        <w:t>卫生服务网底功能明显</w:t>
      </w:r>
      <w:r>
        <w:rPr>
          <w:rFonts w:hint="default" w:ascii="Times New Roman" w:hAnsi="Times New Roman" w:eastAsia="仿宋" w:cs="Times New Roman"/>
          <w:color w:val="auto"/>
          <w:sz w:val="32"/>
          <w:szCs w:val="32"/>
          <w:lang w:eastAsia="zh-CN"/>
        </w:rPr>
        <w:t>提升</w:t>
      </w:r>
      <w:r>
        <w:rPr>
          <w:rFonts w:hint="default" w:ascii="Times New Roman" w:hAnsi="Times New Roman" w:eastAsia="仿宋_GB2312" w:cs="Times New Roman"/>
          <w:b/>
          <w:bCs/>
          <w:color w:val="auto"/>
          <w:sz w:val="32"/>
          <w:szCs w:val="32"/>
          <w:lang w:val="zh-CN"/>
        </w:rPr>
        <w:t>。</w:t>
      </w:r>
    </w:p>
    <w:p>
      <w:pPr>
        <w:pStyle w:val="6"/>
        <w:keepNext w:val="0"/>
        <w:keepLines w:val="0"/>
        <w:pageBreakBefore w:val="0"/>
        <w:widowControl w:val="0"/>
        <w:kinsoku/>
        <w:wordWrap/>
        <w:overflowPunct/>
        <w:topLinePunct w:val="0"/>
        <w:autoSpaceDN/>
        <w:bidi w:val="0"/>
        <w:adjustRightInd/>
        <w:snapToGrid/>
        <w:spacing w:before="0" w:beforeAutospacing="0" w:after="0" w:afterAutospacing="0" w:line="600" w:lineRule="exact"/>
        <w:ind w:firstLine="643" w:firstLineChars="200"/>
        <w:jc w:val="both"/>
        <w:textAlignment w:val="auto"/>
        <w:rPr>
          <w:rFonts w:hint="default" w:ascii="仿宋" w:hAnsi="仿宋" w:eastAsia="仿宋" w:cs="仿宋"/>
          <w:color w:val="auto"/>
          <w:kern w:val="2"/>
          <w:sz w:val="32"/>
          <w:szCs w:val="32"/>
          <w:lang w:val="zh-CN" w:eastAsia="zh-CN" w:bidi="ar-SA"/>
        </w:rPr>
      </w:pPr>
      <w:r>
        <w:rPr>
          <w:rFonts w:hint="eastAsia" w:ascii="Times New Roman" w:hAnsi="Times New Roman" w:eastAsia="楷体" w:cs="Times New Roman"/>
          <w:b/>
          <w:bCs/>
          <w:color w:val="auto"/>
          <w:sz w:val="32"/>
          <w:szCs w:val="32"/>
          <w:lang w:val="en-US" w:eastAsia="zh-CN"/>
        </w:rPr>
        <w:t>5、</w:t>
      </w:r>
      <w:r>
        <w:rPr>
          <w:rFonts w:hint="default" w:ascii="Times New Roman" w:hAnsi="Times New Roman" w:eastAsia="楷体" w:cs="Times New Roman"/>
          <w:b/>
          <w:bCs/>
          <w:color w:val="auto"/>
          <w:sz w:val="32"/>
          <w:szCs w:val="32"/>
        </w:rPr>
        <w:t>强化政策</w:t>
      </w:r>
      <w:r>
        <w:rPr>
          <w:rFonts w:hint="default" w:ascii="Times New Roman" w:hAnsi="Times New Roman" w:eastAsia="楷体" w:cs="Times New Roman"/>
          <w:b/>
          <w:bCs/>
          <w:color w:val="auto"/>
          <w:sz w:val="32"/>
          <w:szCs w:val="32"/>
          <w:lang w:eastAsia="zh-CN"/>
        </w:rPr>
        <w:t>推动</w:t>
      </w:r>
      <w:r>
        <w:rPr>
          <w:rFonts w:hint="default" w:ascii="Times New Roman" w:hAnsi="Times New Roman" w:eastAsia="楷体" w:cs="Times New Roman"/>
          <w:b/>
          <w:bCs/>
          <w:color w:val="auto"/>
          <w:sz w:val="32"/>
          <w:szCs w:val="32"/>
        </w:rPr>
        <w:t>，</w:t>
      </w:r>
      <w:r>
        <w:rPr>
          <w:rFonts w:hint="default" w:ascii="Times New Roman" w:hAnsi="Times New Roman" w:eastAsia="楷体" w:cs="Times New Roman"/>
          <w:b/>
          <w:bCs/>
          <w:color w:val="auto"/>
          <w:sz w:val="32"/>
          <w:szCs w:val="32"/>
          <w:lang w:val="en-US" w:eastAsia="zh-CN"/>
        </w:rPr>
        <w:t>民生工程得到全面落实</w:t>
      </w:r>
      <w:r>
        <w:rPr>
          <w:rFonts w:hint="default" w:ascii="Times New Roman" w:hAnsi="Times New Roman" w:eastAsia="楷体" w:cs="Times New Roman"/>
          <w:b/>
          <w:bCs/>
          <w:color w:val="auto"/>
          <w:sz w:val="32"/>
          <w:szCs w:val="32"/>
        </w:rPr>
        <w:t>。</w:t>
      </w:r>
      <w:r>
        <w:rPr>
          <w:rFonts w:hint="default" w:ascii="仿宋" w:hAnsi="仿宋" w:eastAsia="仿宋" w:cs="仿宋"/>
          <w:color w:val="auto"/>
          <w:kern w:val="2"/>
          <w:sz w:val="32"/>
          <w:szCs w:val="32"/>
          <w:lang w:val="zh-CN" w:eastAsia="zh-CN" w:bidi="ar-SA"/>
        </w:rPr>
        <w:t>一是推动三岁以下幼儿托育服务项目建设，加快补齐民生短板，助推全面三孩政策实施。目前，已报备578个托位，下一步将做好注册相关工作。二是民生实事项目完成较好。加强出生缺陷防治，实施免费婚前医学检查、孕前优生健康检查、产前筛查、新生儿先天性心脏病筛查等，并向特定人群免费提供服务。截止目前，已为1044对夫妇提供了免费孕前优生检测服务，为2665名孕产妇实施了免费产前筛查，完成率为106.6%，对2809名免费新生儿进行了先天性心脏病筛查，完成率为112.36%，落实农村适龄妇女“两癌”筛6055人，完成率达100.92 %。通过筛查，发现可疑21-三体综合症169人，18-三体综合症26人，可疑先天性心脏病10例，可疑宫颈癌前病变22例，确诊宫颈癌8例，可疑乳腺癌66人，确诊乳腺癌4人，为患者赢得治疗的最佳时间，提高生命安全和生存质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N/>
        <w:bidi w:val="0"/>
        <w:spacing w:before="0" w:beforeAutospacing="0" w:after="0" w:afterAutospacing="0" w:line="600" w:lineRule="exact"/>
        <w:ind w:left="0" w:right="0" w:firstLine="643"/>
        <w:jc w:val="both"/>
        <w:textAlignment w:val="auto"/>
        <w:rPr>
          <w:rFonts w:hint="default" w:ascii="仿宋" w:hAnsi="仿宋" w:eastAsia="仿宋" w:cs="仿宋"/>
          <w:color w:val="auto"/>
          <w:kern w:val="2"/>
          <w:sz w:val="32"/>
          <w:szCs w:val="32"/>
          <w:lang w:val="en-US" w:eastAsia="zh-CN" w:bidi="ar-SA"/>
        </w:rPr>
      </w:pPr>
      <w:r>
        <w:rPr>
          <w:rFonts w:hint="eastAsia" w:ascii="Times New Roman" w:hAnsi="Times New Roman" w:eastAsia="楷体" w:cs="Times New Roman"/>
          <w:b/>
          <w:bCs/>
          <w:color w:val="auto"/>
          <w:sz w:val="32"/>
          <w:szCs w:val="32"/>
          <w:lang w:val="en-US" w:eastAsia="zh-CN"/>
        </w:rPr>
        <w:t>6、</w:t>
      </w:r>
      <w:r>
        <w:rPr>
          <w:rFonts w:hint="default" w:ascii="Times New Roman" w:hAnsi="Times New Roman" w:eastAsia="楷体" w:cs="Times New Roman"/>
          <w:b/>
          <w:bCs/>
          <w:color w:val="auto"/>
          <w:sz w:val="32"/>
          <w:szCs w:val="32"/>
        </w:rPr>
        <w:t>强化公共服务，</w:t>
      </w:r>
      <w:r>
        <w:rPr>
          <w:rFonts w:hint="default" w:ascii="Times New Roman" w:hAnsi="Times New Roman" w:eastAsia="楷体" w:cs="Times New Roman"/>
          <w:b/>
          <w:bCs/>
          <w:color w:val="auto"/>
          <w:sz w:val="32"/>
          <w:szCs w:val="32"/>
          <w:lang w:eastAsia="zh-CN"/>
        </w:rPr>
        <w:t>提升</w:t>
      </w:r>
      <w:r>
        <w:rPr>
          <w:rFonts w:hint="default" w:ascii="Times New Roman" w:hAnsi="Times New Roman" w:eastAsia="楷体" w:cs="Times New Roman"/>
          <w:b/>
          <w:bCs/>
          <w:color w:val="auto"/>
          <w:sz w:val="32"/>
          <w:szCs w:val="32"/>
        </w:rPr>
        <w:t>重大公共卫生风险防范</w:t>
      </w:r>
      <w:r>
        <w:rPr>
          <w:rFonts w:hint="default" w:ascii="Times New Roman" w:hAnsi="Times New Roman" w:eastAsia="楷体" w:cs="Times New Roman"/>
          <w:b/>
          <w:bCs/>
          <w:color w:val="auto"/>
          <w:sz w:val="32"/>
          <w:szCs w:val="32"/>
          <w:lang w:eastAsia="zh-CN"/>
        </w:rPr>
        <w:t>能力</w:t>
      </w:r>
      <w:r>
        <w:rPr>
          <w:rFonts w:hint="default" w:ascii="Times New Roman" w:hAnsi="Times New Roman" w:eastAsia="方正仿宋简体" w:cs="Times New Roman"/>
          <w:color w:val="auto"/>
          <w:sz w:val="32"/>
          <w:szCs w:val="32"/>
        </w:rPr>
        <w:t>。</w:t>
      </w:r>
      <w:r>
        <w:rPr>
          <w:rFonts w:hint="default" w:ascii="仿宋" w:hAnsi="仿宋" w:eastAsia="仿宋" w:cs="仿宋"/>
          <w:color w:val="auto"/>
          <w:kern w:val="2"/>
          <w:sz w:val="32"/>
          <w:szCs w:val="32"/>
          <w:lang w:val="zh-CN" w:eastAsia="zh-CN" w:bidi="ar-SA"/>
        </w:rPr>
        <w:t>一是扎实开展疾病预防控制。加强重大传染病预防控制与卫生应急工作，开展脊髓灰质炎相关病例、疑似麻疹病例、霍乱、新生儿破伤风、手足口病、流行性出血热、疟疾等重点传染病预警和监测，落实各项防控措施和疫情报告、管理。全面实施免疫规划策略，适龄儿童建卡、建证率达100%，“五苗”接种率达95%以上，麻疹疫情控制保持在较低水平。大力推进艾滋病防治、学校结核病普查和重性精神病监测与管理，协助乡镇卫生院落实相关人员开展重性精神疾病患者管理。加强城乡居民生活饮水监测工作，城乡居民生活饮水监测合格率达到国家规定标准。二是全面落实精神神障碍患者管控工作。加大精神障碍患者的排查和治疗管理工作，年内登记报告精神障碍患者 2360 例，规范管理2345例，规范管理率为99.38%。落实肇事肇祸精神病人监护人“以奖代补”  374人。三是全面推进职业病防治工作。完成工作场所职业病危害因素监测企业6家，收集监测信息（职业健康核心指标个案卡数）完成  218条，完成率100%。落实重点职业病职业健康体检主动监测</w:t>
      </w:r>
      <w:r>
        <w:rPr>
          <w:rFonts w:hint="eastAsia" w:ascii="仿宋" w:hAnsi="仿宋" w:eastAsia="仿宋" w:cs="仿宋"/>
          <w:color w:val="auto"/>
          <w:kern w:val="2"/>
          <w:sz w:val="32"/>
          <w:szCs w:val="32"/>
          <w:lang w:val="en-US" w:eastAsia="zh-CN" w:bidi="ar-SA"/>
        </w:rPr>
        <w:t>57</w:t>
      </w:r>
      <w:r>
        <w:rPr>
          <w:rFonts w:hint="default" w:ascii="仿宋" w:hAnsi="仿宋" w:eastAsia="仿宋" w:cs="仿宋"/>
          <w:color w:val="auto"/>
          <w:kern w:val="2"/>
          <w:sz w:val="32"/>
          <w:szCs w:val="32"/>
          <w:lang w:val="zh-CN" w:eastAsia="zh-CN" w:bidi="ar-SA"/>
        </w:rPr>
        <w:t>人，职业健康体检</w:t>
      </w:r>
      <w:r>
        <w:rPr>
          <w:rFonts w:hint="eastAsia" w:ascii="仿宋" w:hAnsi="仿宋" w:eastAsia="仿宋" w:cs="仿宋"/>
          <w:color w:val="auto"/>
          <w:kern w:val="2"/>
          <w:sz w:val="32"/>
          <w:szCs w:val="32"/>
          <w:lang w:val="en-US" w:eastAsia="zh-CN" w:bidi="ar-SA"/>
        </w:rPr>
        <w:t>32</w:t>
      </w:r>
      <w:r>
        <w:rPr>
          <w:rFonts w:hint="default" w:ascii="仿宋" w:hAnsi="仿宋" w:eastAsia="仿宋" w:cs="仿宋"/>
          <w:color w:val="auto"/>
          <w:kern w:val="2"/>
          <w:sz w:val="32"/>
          <w:szCs w:val="32"/>
          <w:lang w:val="zh-CN" w:eastAsia="zh-CN" w:bidi="ar-SA"/>
        </w:rPr>
        <w:t>人。</w:t>
      </w:r>
    </w:p>
    <w:p>
      <w:pPr>
        <w:keepNext w:val="0"/>
        <w:keepLines w:val="0"/>
        <w:pageBreakBefore w:val="0"/>
        <w:kinsoku/>
        <w:wordWrap/>
        <w:overflowPunct/>
        <w:topLinePunct w:val="0"/>
        <w:autoSpaceDN/>
        <w:bidi w:val="0"/>
        <w:spacing w:line="600" w:lineRule="exact"/>
        <w:ind w:firstLine="643" w:firstLineChars="200"/>
        <w:textAlignment w:val="auto"/>
        <w:rPr>
          <w:rFonts w:hint="default" w:ascii="仿宋" w:hAnsi="仿宋" w:eastAsia="仿宋" w:cs="仿宋"/>
          <w:color w:val="auto"/>
          <w:kern w:val="2"/>
          <w:sz w:val="32"/>
          <w:szCs w:val="32"/>
          <w:lang w:val="zh-CN" w:eastAsia="zh-CN" w:bidi="ar-SA"/>
        </w:rPr>
      </w:pPr>
      <w:r>
        <w:rPr>
          <w:rFonts w:hint="eastAsia" w:ascii="Times New Roman" w:hAnsi="Times New Roman" w:eastAsia="楷体" w:cs="Times New Roman"/>
          <w:b/>
          <w:bCs/>
          <w:color w:val="auto"/>
          <w:sz w:val="32"/>
          <w:szCs w:val="32"/>
          <w:lang w:val="en-US" w:eastAsia="zh-CN"/>
        </w:rPr>
        <w:t>7、</w:t>
      </w:r>
      <w:r>
        <w:rPr>
          <w:rFonts w:hint="default" w:ascii="Times New Roman" w:hAnsi="Times New Roman" w:eastAsia="楷体" w:cs="Times New Roman"/>
          <w:b/>
          <w:bCs/>
          <w:color w:val="auto"/>
          <w:sz w:val="32"/>
          <w:szCs w:val="32"/>
        </w:rPr>
        <w:t>健全服务体系</w:t>
      </w:r>
      <w:r>
        <w:rPr>
          <w:rFonts w:hint="default" w:ascii="Times New Roman" w:hAnsi="Times New Roman" w:eastAsia="楷体" w:cs="Times New Roman"/>
          <w:b/>
          <w:bCs/>
          <w:color w:val="auto"/>
          <w:sz w:val="32"/>
          <w:szCs w:val="32"/>
          <w:lang w:val="zh-CN"/>
        </w:rPr>
        <w:t>，提升基层服务水平</w:t>
      </w:r>
      <w:r>
        <w:rPr>
          <w:rFonts w:hint="default" w:ascii="Times New Roman" w:hAnsi="Times New Roman" w:eastAsia="方正仿宋简体" w:cs="Times New Roman"/>
          <w:color w:val="auto"/>
          <w:sz w:val="32"/>
          <w:szCs w:val="32"/>
          <w:lang w:val="zh-CN"/>
        </w:rPr>
        <w:t>。</w:t>
      </w:r>
      <w:r>
        <w:rPr>
          <w:rFonts w:hint="default" w:ascii="仿宋" w:hAnsi="仿宋" w:eastAsia="仿宋" w:cs="仿宋"/>
          <w:color w:val="auto"/>
          <w:kern w:val="2"/>
          <w:sz w:val="32"/>
          <w:szCs w:val="32"/>
          <w:lang w:val="en-US" w:eastAsia="zh-CN" w:bidi="ar-SA"/>
        </w:rPr>
        <w:t>一是家庭医生签约服务稳步推进。完成常住人口签约服务232692人，签约率为57.09%，签约服务覆盖率达到了省、市40%以上的要求。其中，在管高血压患者家庭医生签约率为95.01%，糖尿病患者签约率为94.56%，严重精神障碍患者签约率为96.70%，重点人群签约服务覆盖率均达到省市65%以上的要求。二是乡村振兴工作成果得到进一步巩固。按照“应签尽签、自愿签约”的原则，继续做好脱贫人口家庭医生签约服务工作。2022年累计签约脱贫人口72418人，建立脱贫人口电子健康档案72418份，电子档案建档率100%，其中，高血压患者6017人、Ⅱ型糖尿病患者2120人，结核病患14人，严重精神障碍患者1038人。</w:t>
      </w:r>
      <w:r>
        <w:rPr>
          <w:rFonts w:hint="default" w:ascii="仿宋" w:hAnsi="仿宋" w:eastAsia="仿宋" w:cs="仿宋"/>
          <w:color w:val="auto"/>
          <w:kern w:val="2"/>
          <w:sz w:val="32"/>
          <w:szCs w:val="32"/>
          <w:lang w:val="zh-CN" w:eastAsia="zh-CN" w:bidi="ar-SA"/>
        </w:rPr>
        <w:t>三是</w:t>
      </w:r>
      <w:r>
        <w:rPr>
          <w:rFonts w:hint="default" w:ascii="仿宋" w:hAnsi="仿宋" w:eastAsia="仿宋" w:cs="仿宋"/>
          <w:color w:val="auto"/>
          <w:kern w:val="2"/>
          <w:sz w:val="32"/>
          <w:szCs w:val="32"/>
          <w:lang w:val="en-US" w:eastAsia="zh-CN" w:bidi="ar-SA"/>
        </w:rPr>
        <w:t>全面推进老龄健康服务工作。积极开展打击整治养老诈骗专项行动，</w:t>
      </w:r>
      <w:r>
        <w:rPr>
          <w:rFonts w:hint="default" w:ascii="仿宋" w:hAnsi="仿宋" w:eastAsia="仿宋" w:cs="仿宋"/>
          <w:color w:val="auto"/>
          <w:kern w:val="2"/>
          <w:sz w:val="32"/>
          <w:szCs w:val="32"/>
          <w:lang w:val="zh-CN" w:eastAsia="zh-CN" w:bidi="ar-SA"/>
        </w:rPr>
        <w:t>重点查处养老机构内设的无资质医疗机构、无行医资质相关人员擅自为老年人开展诊疗活动等违法行为，</w:t>
      </w:r>
      <w:r>
        <w:rPr>
          <w:rFonts w:hint="default" w:ascii="仿宋" w:hAnsi="仿宋" w:eastAsia="仿宋" w:cs="仿宋"/>
          <w:color w:val="auto"/>
          <w:kern w:val="2"/>
          <w:sz w:val="32"/>
          <w:szCs w:val="32"/>
          <w:lang w:val="en-US" w:eastAsia="zh-CN" w:bidi="ar-SA"/>
        </w:rPr>
        <w:t>保护老年人合法权益。</w:t>
      </w:r>
      <w:r>
        <w:rPr>
          <w:rFonts w:hint="default" w:ascii="仿宋" w:hAnsi="仿宋" w:eastAsia="仿宋" w:cs="仿宋"/>
          <w:color w:val="auto"/>
          <w:kern w:val="2"/>
          <w:sz w:val="32"/>
          <w:szCs w:val="32"/>
          <w:lang w:val="zh-CN" w:eastAsia="zh-CN" w:bidi="ar-SA"/>
        </w:rPr>
        <w:t>至目前为止，卫健系统未发现养老诈骗问题。</w:t>
      </w:r>
      <w:r>
        <w:rPr>
          <w:rFonts w:hint="default" w:ascii="仿宋" w:hAnsi="仿宋" w:eastAsia="仿宋" w:cs="仿宋"/>
          <w:color w:val="auto"/>
          <w:kern w:val="2"/>
          <w:sz w:val="32"/>
          <w:szCs w:val="32"/>
          <w:lang w:val="en-US" w:eastAsia="zh-CN" w:bidi="ar-SA"/>
        </w:rPr>
        <w:t>全面实施“银龄安康工程”，县财政投入53.46万元为9669名四类特殊困难老人全部购买了意外伤害保险，参保率达到100%。全力抓好老年友善医疗机构创建，在去年创建15家老年友善医疗机构的基础上，今年完成了20家医院创建,创建比例达87.5%。健全完善</w:t>
      </w:r>
      <w:r>
        <w:rPr>
          <w:rFonts w:hint="default" w:ascii="仿宋" w:hAnsi="仿宋" w:eastAsia="仿宋" w:cs="仿宋"/>
          <w:color w:val="auto"/>
          <w:kern w:val="2"/>
          <w:sz w:val="32"/>
          <w:szCs w:val="32"/>
          <w:lang w:val="zh-CN" w:eastAsia="zh-CN" w:bidi="ar-SA"/>
        </w:rPr>
        <w:t>社区养老服务体系建设，</w:t>
      </w:r>
      <w:r>
        <w:rPr>
          <w:rFonts w:hint="default" w:ascii="仿宋" w:hAnsi="仿宋" w:eastAsia="仿宋" w:cs="仿宋"/>
          <w:color w:val="auto"/>
          <w:kern w:val="2"/>
          <w:sz w:val="32"/>
          <w:szCs w:val="32"/>
          <w:lang w:val="en-US" w:eastAsia="zh-CN" w:bidi="ar-SA"/>
        </w:rPr>
        <w:t>以新时代文明创建为依托，全力推进全国示范性老年友好型社区创建。今年10月份，锦滨镇华中社区居委会（农村社区）被国家卫健委、国家老龄委命名为全国示范性老年友好型社区。</w:t>
      </w:r>
    </w:p>
    <w:p>
      <w:pPr>
        <w:keepNext w:val="0"/>
        <w:keepLines w:val="0"/>
        <w:pageBreakBefore w:val="0"/>
        <w:kinsoku/>
        <w:wordWrap/>
        <w:overflowPunct/>
        <w:topLinePunct w:val="0"/>
        <w:autoSpaceDN/>
        <w:bidi w:val="0"/>
        <w:spacing w:line="600" w:lineRule="exact"/>
        <w:ind w:firstLine="569" w:firstLineChars="177"/>
        <w:textAlignment w:val="auto"/>
        <w:rPr>
          <w:rFonts w:hint="default" w:ascii="Times New Roman" w:hAnsi="Times New Roman" w:eastAsia="仿宋" w:cs="Times New Roman"/>
          <w:color w:val="auto"/>
          <w:sz w:val="32"/>
          <w:szCs w:val="32"/>
        </w:rPr>
      </w:pPr>
      <w:r>
        <w:rPr>
          <w:rFonts w:hint="eastAsia" w:ascii="Times New Roman" w:hAnsi="Times New Roman" w:eastAsia="楷体" w:cs="Times New Roman"/>
          <w:b/>
          <w:bCs/>
          <w:color w:val="auto"/>
          <w:sz w:val="32"/>
          <w:szCs w:val="32"/>
          <w:lang w:val="en-US" w:eastAsia="zh-CN"/>
        </w:rPr>
        <w:t>8、</w:t>
      </w:r>
      <w:r>
        <w:rPr>
          <w:rFonts w:hint="default" w:ascii="Times New Roman" w:hAnsi="Times New Roman" w:eastAsia="楷体" w:cs="Times New Roman"/>
          <w:b/>
          <w:bCs/>
          <w:color w:val="auto"/>
          <w:sz w:val="32"/>
          <w:szCs w:val="32"/>
        </w:rPr>
        <w:t>强化综合执法，保障公众安全。</w:t>
      </w:r>
      <w:r>
        <w:rPr>
          <w:rFonts w:hint="default" w:ascii="仿宋" w:hAnsi="仿宋" w:eastAsia="仿宋" w:cs="仿宋"/>
          <w:color w:val="auto"/>
          <w:sz w:val="32"/>
          <w:szCs w:val="32"/>
        </w:rPr>
        <w:t>强化综合执法，保障公众安全。一是加大医疗执业执法力度。对全县各级各类377家医疗机构进行卫生监督检查，开展整顿医疗秩序打击非法行医专项行动，加大对“游医”、非法执业的整治，到目前为止立案52件，结案52件，其中一般程序35件，简易程序17件。经济处罚14.5万元。同时，完成了县域所有医疗机构医疗废物、废水的全面清理整顿。二是突出职业和放射卫生监督。对县内有职业病危害因素的57家用人单位现场下达监督意见书86份；督促21家用人单位对工作场所进行职业病危害因素现状评价，督促25家用人单位进行职业病危害因素检测，督促用人单位对劳动者进行上岗前、岗中、离岗后职业健康体检653余人次；职业卫生健康卫生监督立案15件，结案7件，其中简易程序14件，一般程序1件，经济处罚0.8万元；三是突出公共场所、学校及生活饮用水监管。对全县297家各类公共场所进行卫生监督检查，下达监督意见书219余份，立案49件，结案49件，一般程序31，简易18，经济处罚金5.00万余元；对131家学校（托幼机构）、集中式生活饮用水供水进行专项监督，生活饮用水卫生监督立案6件，结案6件，经济处罚1.12万元。同时，完成了县域所有医疗机构医疗废物、废水的全面清理整顿。</w:t>
      </w:r>
    </w:p>
    <w:p>
      <w:pPr>
        <w:keepNext w:val="0"/>
        <w:keepLines w:val="0"/>
        <w:pageBreakBefore w:val="0"/>
        <w:kinsoku/>
        <w:wordWrap/>
        <w:overflowPunct/>
        <w:topLinePunct w:val="0"/>
        <w:autoSpaceDN/>
        <w:bidi w:val="0"/>
        <w:snapToGrid w:val="0"/>
        <w:spacing w:line="600" w:lineRule="exact"/>
        <w:ind w:firstLine="643" w:firstLineChars="200"/>
        <w:textAlignment w:val="auto"/>
        <w:rPr>
          <w:rFonts w:hint="default" w:ascii="仿宋" w:hAnsi="仿宋" w:eastAsia="仿宋" w:cs="仿宋"/>
          <w:color w:val="auto"/>
          <w:spacing w:val="-11"/>
          <w:sz w:val="32"/>
          <w:szCs w:val="32"/>
          <w:lang w:val="zh-CN"/>
        </w:rPr>
      </w:pPr>
      <w:r>
        <w:rPr>
          <w:rFonts w:hint="eastAsia" w:ascii="Times New Roman" w:hAnsi="Times New Roman" w:eastAsia="楷体" w:cs="Times New Roman"/>
          <w:b/>
          <w:bCs/>
          <w:color w:val="auto"/>
          <w:sz w:val="32"/>
          <w:szCs w:val="32"/>
          <w:lang w:val="en-US" w:eastAsia="zh-CN"/>
        </w:rPr>
        <w:t>9、</w:t>
      </w:r>
      <w:r>
        <w:rPr>
          <w:rFonts w:hint="default" w:ascii="Times New Roman" w:hAnsi="Times New Roman" w:eastAsia="楷体" w:cs="Times New Roman"/>
          <w:b/>
          <w:bCs/>
          <w:color w:val="auto"/>
          <w:sz w:val="32"/>
          <w:szCs w:val="32"/>
        </w:rPr>
        <w:t>强化医德医风，深入推进“清廉医院”建设。</w:t>
      </w:r>
      <w:r>
        <w:rPr>
          <w:rFonts w:hint="default" w:ascii="仿宋" w:hAnsi="仿宋" w:eastAsia="仿宋" w:cs="仿宋"/>
          <w:color w:val="auto"/>
          <w:sz w:val="32"/>
          <w:szCs w:val="32"/>
        </w:rPr>
        <w:t>坚持问题导向，突出医药购销收受回扣、欺诈骗取医保、过度诊疗和不合理用药、检查、治疗、收费以及医德医风问题、违法执业等问题的整治。整治行动开展以来，共查处不合理用药82人次、不合理检查</w:t>
      </w:r>
      <w:r>
        <w:rPr>
          <w:rFonts w:hint="default" w:ascii="仿宋" w:hAnsi="仿宋" w:eastAsia="仿宋" w:cs="仿宋"/>
          <w:color w:val="auto"/>
          <w:spacing w:val="-11"/>
          <w:sz w:val="32"/>
          <w:szCs w:val="32"/>
        </w:rPr>
        <w:t>27起、不合理治疗18起、不合理收费5万元，拒收红包9起，共处罚，12.91万元。同时，联合县医保局、县市场监督管理局对16起涉及医保方面问题的医疗机构进行的查处，约谈16人，对其中2人进行了停止执业6个月的处理。</w:t>
      </w:r>
    </w:p>
    <w:p>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二、部门整体支出管理及使用情况</w:t>
      </w:r>
    </w:p>
    <w:p>
      <w:pPr>
        <w:widowControl/>
        <w:ind w:firstLine="630"/>
        <w:rPr>
          <w:rFonts w:ascii="仿宋" w:hAnsi="仿宋" w:eastAsia="仿宋"/>
          <w:b/>
          <w:spacing w:val="-2"/>
          <w:sz w:val="32"/>
          <w:szCs w:val="32"/>
        </w:rPr>
      </w:pPr>
      <w:r>
        <w:rPr>
          <w:rFonts w:ascii="仿宋" w:hAnsi="仿宋" w:eastAsia="仿宋"/>
          <w:b/>
          <w:spacing w:val="-2"/>
          <w:sz w:val="32"/>
          <w:szCs w:val="32"/>
        </w:rPr>
        <w:t>（一）基本支出</w:t>
      </w:r>
    </w:p>
    <w:p>
      <w:pPr>
        <w:widowControl/>
        <w:ind w:firstLine="630"/>
        <w:rPr>
          <w:rFonts w:hint="eastAsia" w:ascii="仿宋_GB2312" w:eastAsia="仿宋_GB2312"/>
          <w:bCs/>
          <w:kern w:val="0"/>
          <w:sz w:val="32"/>
          <w:szCs w:val="32"/>
        </w:rPr>
      </w:pPr>
      <w:r>
        <w:rPr>
          <w:rFonts w:hint="eastAsia" w:ascii="仿宋_GB2312" w:eastAsia="仿宋_GB2312"/>
          <w:bCs/>
          <w:kern w:val="0"/>
          <w:sz w:val="32"/>
          <w:szCs w:val="32"/>
        </w:rPr>
        <w:t>20</w:t>
      </w:r>
      <w:r>
        <w:rPr>
          <w:rFonts w:hint="eastAsia" w:ascii="仿宋_GB2312" w:eastAsia="仿宋_GB2312"/>
          <w:bCs/>
          <w:kern w:val="0"/>
          <w:sz w:val="32"/>
          <w:szCs w:val="32"/>
          <w:lang w:val="en-US" w:eastAsia="zh-CN"/>
        </w:rPr>
        <w:t>22</w:t>
      </w:r>
      <w:r>
        <w:rPr>
          <w:rFonts w:hint="eastAsia" w:ascii="仿宋_GB2312" w:eastAsia="仿宋_GB2312"/>
          <w:bCs/>
          <w:kern w:val="0"/>
          <w:sz w:val="32"/>
          <w:szCs w:val="32"/>
        </w:rPr>
        <w:t>年总收入</w:t>
      </w:r>
      <w:r>
        <w:rPr>
          <w:rFonts w:hint="eastAsia" w:ascii="仿宋_GB2312" w:eastAsia="仿宋_GB2312"/>
          <w:bCs/>
          <w:kern w:val="0"/>
          <w:sz w:val="32"/>
          <w:szCs w:val="32"/>
          <w:lang w:val="en-US" w:eastAsia="zh-CN"/>
        </w:rPr>
        <w:t>52531.51</w:t>
      </w:r>
      <w:r>
        <w:rPr>
          <w:rFonts w:hint="eastAsia" w:ascii="仿宋_GB2312" w:eastAsia="仿宋_GB2312"/>
          <w:bCs/>
          <w:kern w:val="0"/>
          <w:sz w:val="32"/>
          <w:szCs w:val="32"/>
        </w:rPr>
        <w:t>万元，其中财政拨入</w:t>
      </w:r>
      <w:r>
        <w:rPr>
          <w:rFonts w:hint="eastAsia" w:ascii="仿宋_GB2312" w:eastAsia="仿宋_GB2312"/>
          <w:bCs/>
          <w:kern w:val="0"/>
          <w:sz w:val="32"/>
          <w:szCs w:val="32"/>
          <w:lang w:val="en-US" w:eastAsia="zh-CN"/>
        </w:rPr>
        <w:t>13703.04</w:t>
      </w:r>
      <w:r>
        <w:rPr>
          <w:rFonts w:hint="eastAsia" w:ascii="仿宋_GB2312" w:eastAsia="仿宋_GB2312"/>
          <w:bCs/>
          <w:kern w:val="0"/>
          <w:sz w:val="32"/>
          <w:szCs w:val="32"/>
        </w:rPr>
        <w:t>万元，年初结转结余</w:t>
      </w:r>
      <w:r>
        <w:rPr>
          <w:rFonts w:hint="eastAsia" w:ascii="仿宋_GB2312" w:eastAsia="仿宋_GB2312"/>
          <w:bCs/>
          <w:kern w:val="0"/>
          <w:sz w:val="32"/>
          <w:szCs w:val="32"/>
          <w:lang w:val="en-US" w:eastAsia="zh-CN"/>
        </w:rPr>
        <w:t>1552.82</w:t>
      </w:r>
      <w:r>
        <w:rPr>
          <w:rFonts w:hint="eastAsia" w:ascii="仿宋_GB2312" w:eastAsia="仿宋_GB2312"/>
          <w:bCs/>
          <w:kern w:val="0"/>
          <w:sz w:val="32"/>
          <w:szCs w:val="32"/>
        </w:rPr>
        <w:t>万元。基本支出</w:t>
      </w:r>
      <w:r>
        <w:rPr>
          <w:rFonts w:hint="eastAsia" w:ascii="仿宋_GB2312" w:eastAsia="仿宋_GB2312"/>
          <w:bCs/>
          <w:kern w:val="0"/>
          <w:sz w:val="32"/>
          <w:szCs w:val="32"/>
          <w:lang w:val="en-US" w:eastAsia="zh-CN"/>
        </w:rPr>
        <w:t>54084.33</w:t>
      </w:r>
      <w:r>
        <w:rPr>
          <w:rFonts w:hint="eastAsia" w:ascii="仿宋_GB2312" w:eastAsia="仿宋_GB2312"/>
          <w:bCs/>
          <w:kern w:val="0"/>
          <w:sz w:val="32"/>
          <w:szCs w:val="32"/>
        </w:rPr>
        <w:t>万元，其中其中：人员经费</w:t>
      </w:r>
      <w:r>
        <w:rPr>
          <w:rFonts w:hint="eastAsia" w:ascii="仿宋_GB2312" w:eastAsia="仿宋_GB2312"/>
          <w:bCs/>
          <w:kern w:val="0"/>
          <w:sz w:val="32"/>
          <w:szCs w:val="32"/>
          <w:lang w:val="en-US" w:eastAsia="zh-CN"/>
        </w:rPr>
        <w:t>19188.08</w:t>
      </w:r>
      <w:r>
        <w:rPr>
          <w:rFonts w:hint="eastAsia" w:ascii="仿宋_GB2312" w:eastAsia="仿宋_GB2312"/>
          <w:bCs/>
          <w:kern w:val="0"/>
          <w:sz w:val="32"/>
          <w:szCs w:val="32"/>
        </w:rPr>
        <w:t>万元，占基本支出的</w:t>
      </w:r>
      <w:r>
        <w:rPr>
          <w:rFonts w:hint="eastAsia" w:ascii="仿宋_GB2312" w:eastAsia="仿宋_GB2312"/>
          <w:bCs/>
          <w:kern w:val="0"/>
          <w:sz w:val="32"/>
          <w:szCs w:val="32"/>
          <w:lang w:val="en-US" w:eastAsia="zh-CN"/>
        </w:rPr>
        <w:t>35.48</w:t>
      </w:r>
      <w:r>
        <w:rPr>
          <w:rFonts w:hint="eastAsia" w:ascii="仿宋_GB2312" w:eastAsia="仿宋_GB2312"/>
          <w:bCs/>
          <w:kern w:val="0"/>
          <w:sz w:val="32"/>
          <w:szCs w:val="32"/>
        </w:rPr>
        <w:t>%,主要包括基本工资、津贴补贴、奖金、伙食补助费</w:t>
      </w:r>
      <w:r>
        <w:rPr>
          <w:rFonts w:hint="eastAsia" w:ascii="仿宋_GB2312" w:eastAsia="仿宋_GB2312"/>
          <w:bCs/>
          <w:kern w:val="0"/>
          <w:sz w:val="32"/>
          <w:szCs w:val="32"/>
          <w:lang w:eastAsia="zh-CN"/>
        </w:rPr>
        <w:t>、其他对个人和家庭的补助</w:t>
      </w:r>
      <w:r>
        <w:rPr>
          <w:rFonts w:hint="eastAsia" w:ascii="仿宋_GB2312" w:eastAsia="仿宋_GB2312"/>
          <w:bCs/>
          <w:kern w:val="0"/>
          <w:sz w:val="32"/>
          <w:szCs w:val="32"/>
          <w:lang w:val="en-US" w:eastAsia="zh-CN"/>
        </w:rPr>
        <w:t>等</w:t>
      </w:r>
      <w:r>
        <w:rPr>
          <w:rFonts w:hint="eastAsia" w:ascii="仿宋_GB2312" w:eastAsia="仿宋_GB2312"/>
          <w:bCs/>
          <w:kern w:val="0"/>
          <w:sz w:val="32"/>
          <w:szCs w:val="32"/>
        </w:rPr>
        <w:t>；公用经费</w:t>
      </w:r>
      <w:r>
        <w:rPr>
          <w:rFonts w:hint="eastAsia" w:ascii="仿宋_GB2312" w:eastAsia="仿宋_GB2312"/>
          <w:bCs/>
          <w:kern w:val="0"/>
          <w:sz w:val="32"/>
          <w:szCs w:val="32"/>
          <w:lang w:val="en-US" w:eastAsia="zh-CN"/>
        </w:rPr>
        <w:t>34896.25</w:t>
      </w:r>
      <w:r>
        <w:rPr>
          <w:rFonts w:hint="eastAsia" w:ascii="仿宋_GB2312" w:eastAsia="仿宋_GB2312"/>
          <w:bCs/>
          <w:kern w:val="0"/>
          <w:sz w:val="32"/>
          <w:szCs w:val="32"/>
        </w:rPr>
        <w:t>万元，占基本支出的</w:t>
      </w:r>
      <w:r>
        <w:rPr>
          <w:rFonts w:hint="eastAsia" w:ascii="仿宋_GB2312" w:eastAsia="仿宋_GB2312"/>
          <w:bCs/>
          <w:kern w:val="0"/>
          <w:sz w:val="32"/>
          <w:szCs w:val="32"/>
          <w:lang w:val="en-US" w:eastAsia="zh-CN"/>
        </w:rPr>
        <w:t>64.52</w:t>
      </w:r>
      <w:r>
        <w:rPr>
          <w:rFonts w:hint="eastAsia" w:ascii="仿宋_GB2312" w:eastAsia="仿宋_GB2312"/>
          <w:bCs/>
          <w:kern w:val="0"/>
          <w:sz w:val="32"/>
          <w:szCs w:val="32"/>
        </w:rPr>
        <w:t>%，主要包括办公费、印刷费、咨询费、手续费</w:t>
      </w:r>
      <w:r>
        <w:rPr>
          <w:rFonts w:hint="eastAsia" w:ascii="仿宋_GB2312" w:eastAsia="仿宋_GB2312"/>
          <w:bCs/>
          <w:kern w:val="0"/>
          <w:sz w:val="32"/>
          <w:szCs w:val="32"/>
          <w:lang w:eastAsia="zh-CN"/>
        </w:rPr>
        <w:t>、</w:t>
      </w:r>
      <w:r>
        <w:rPr>
          <w:rFonts w:hint="eastAsia" w:ascii="仿宋_GB2312" w:eastAsia="仿宋_GB2312"/>
          <w:bCs/>
          <w:kern w:val="0"/>
          <w:sz w:val="32"/>
          <w:szCs w:val="32"/>
          <w:lang w:val="en-US" w:eastAsia="zh-CN"/>
        </w:rPr>
        <w:t>工会经费等</w:t>
      </w:r>
      <w:r>
        <w:rPr>
          <w:rFonts w:hint="eastAsia" w:ascii="仿宋_GB2312" w:eastAsia="仿宋_GB2312"/>
          <w:bCs/>
          <w:kern w:val="0"/>
          <w:sz w:val="32"/>
          <w:szCs w:val="32"/>
        </w:rPr>
        <w:t>。20</w:t>
      </w:r>
      <w:r>
        <w:rPr>
          <w:rFonts w:hint="eastAsia" w:ascii="仿宋_GB2312" w:eastAsia="仿宋_GB2312"/>
          <w:bCs/>
          <w:kern w:val="0"/>
          <w:sz w:val="32"/>
          <w:szCs w:val="32"/>
          <w:lang w:val="en-US" w:eastAsia="zh-CN"/>
        </w:rPr>
        <w:t>22</w:t>
      </w:r>
      <w:r>
        <w:rPr>
          <w:rFonts w:hint="eastAsia" w:ascii="仿宋_GB2312" w:eastAsia="仿宋_GB2312"/>
          <w:bCs/>
          <w:kern w:val="0"/>
          <w:sz w:val="32"/>
          <w:szCs w:val="32"/>
        </w:rPr>
        <w:t>年末结余</w:t>
      </w:r>
      <w:r>
        <w:rPr>
          <w:rFonts w:hint="eastAsia" w:ascii="仿宋_GB2312" w:eastAsia="仿宋_GB2312"/>
          <w:bCs/>
          <w:kern w:val="0"/>
          <w:sz w:val="32"/>
          <w:szCs w:val="32"/>
          <w:lang w:val="en-US" w:eastAsia="zh-CN"/>
        </w:rPr>
        <w:t>0</w:t>
      </w:r>
      <w:r>
        <w:rPr>
          <w:rFonts w:hint="eastAsia" w:ascii="仿宋_GB2312" w:eastAsia="仿宋_GB2312"/>
          <w:bCs/>
          <w:kern w:val="0"/>
          <w:sz w:val="32"/>
          <w:szCs w:val="32"/>
        </w:rPr>
        <w:t>万元。</w:t>
      </w:r>
    </w:p>
    <w:p>
      <w:pPr>
        <w:widowControl/>
        <w:shd w:val="clear" w:color="auto" w:fill="FFFFFF"/>
        <w:spacing w:line="600" w:lineRule="atLeast"/>
        <w:ind w:firstLine="643"/>
        <w:rPr>
          <w:rFonts w:ascii="楷体" w:hAnsi="楷体" w:eastAsia="楷体"/>
          <w:b/>
          <w:spacing w:val="-2"/>
          <w:sz w:val="32"/>
          <w:szCs w:val="21"/>
        </w:rPr>
      </w:pPr>
      <w:r>
        <w:rPr>
          <w:rFonts w:ascii="楷体" w:hAnsi="楷体" w:eastAsia="楷体"/>
          <w:b/>
          <w:spacing w:val="-2"/>
          <w:sz w:val="32"/>
          <w:szCs w:val="32"/>
        </w:rPr>
        <w:t>（二）专项支出</w:t>
      </w:r>
    </w:p>
    <w:p>
      <w:pPr>
        <w:numPr>
          <w:ilvl w:val="0"/>
          <w:numId w:val="0"/>
        </w:numPr>
        <w:ind w:firstLine="632" w:firstLineChars="200"/>
        <w:rPr>
          <w:rFonts w:hint="eastAsia" w:ascii="仿宋" w:hAnsi="仿宋" w:eastAsia="仿宋"/>
          <w:spacing w:val="-2"/>
          <w:sz w:val="32"/>
          <w:szCs w:val="32"/>
          <w:lang w:val="en-US" w:eastAsia="zh-CN"/>
        </w:rPr>
      </w:pPr>
      <w:r>
        <w:rPr>
          <w:rFonts w:ascii="仿宋" w:hAnsi="仿宋" w:eastAsia="仿宋"/>
          <w:spacing w:val="-2"/>
          <w:sz w:val="32"/>
          <w:szCs w:val="32"/>
        </w:rPr>
        <w:t>1、</w:t>
      </w:r>
      <w:r>
        <w:rPr>
          <w:rFonts w:hint="eastAsia" w:ascii="仿宋" w:hAnsi="仿宋" w:eastAsia="仿宋"/>
          <w:spacing w:val="-2"/>
          <w:sz w:val="32"/>
          <w:szCs w:val="32"/>
          <w:lang w:val="en-US" w:eastAsia="zh-CN"/>
        </w:rPr>
        <w:t>基本公共卫生服务：①资金预算。2022年公共卫生项目补助标准卫生人均79元，其中基本公共卫生服务项目70元，重大公共卫生服务9元。我县常住人口476400万元，预算补助3763.56万元，其中中央、省财政补助2258.136万元、县级财政301.08万元。②资金到位情况。3763.56万元补助资金除省提取43.71万元，其余经费全部到位。③资金管理情况。按照上级要求，结合实际制定了基本公共卫生服务绩效考核方案，进行了专账核算，资金按照“先预拨，年终考核结算”的办法，6月底前预拨50%，年终考核结算，保障了项目有序推进。</w:t>
      </w:r>
    </w:p>
    <w:p>
      <w:pPr>
        <w:numPr>
          <w:ilvl w:val="0"/>
          <w:numId w:val="0"/>
        </w:numPr>
        <w:ind w:firstLine="632" w:firstLineChars="20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2、计生专项：</w:t>
      </w:r>
      <w:r>
        <w:rPr>
          <w:rFonts w:hint="eastAsia" w:ascii="仿宋_GB2312" w:hAnsi="仿宋" w:eastAsia="仿宋_GB2312"/>
          <w:sz w:val="32"/>
          <w:szCs w:val="32"/>
        </w:rPr>
        <w:t>根据省定分级负担标准，我县财政按照负担比例建立了资格确认、资金管理、资金发放和社会监督四个环节相互衔接、相互制约的运行机制。按照《怀化市</w:t>
      </w:r>
      <w:r>
        <w:rPr>
          <w:rFonts w:hint="eastAsia" w:ascii="仿宋_GB2312" w:hAnsi="仿宋" w:eastAsia="仿宋_GB2312"/>
          <w:sz w:val="32"/>
          <w:szCs w:val="32"/>
          <w:lang w:val="en-US" w:eastAsia="zh-CN"/>
        </w:rPr>
        <w:t>财政局、怀化市卫生健康委员会</w:t>
      </w:r>
      <w:r>
        <w:rPr>
          <w:rFonts w:hint="eastAsia" w:ascii="仿宋_GB2312" w:hAnsi="仿宋" w:eastAsia="仿宋_GB2312"/>
          <w:sz w:val="32"/>
          <w:szCs w:val="32"/>
        </w:rPr>
        <w:t>关于</w:t>
      </w:r>
      <w:r>
        <w:rPr>
          <w:rFonts w:hint="eastAsia" w:ascii="仿宋_GB2312" w:hAnsi="仿宋" w:eastAsia="仿宋_GB2312"/>
          <w:sz w:val="32"/>
          <w:szCs w:val="32"/>
          <w:lang w:val="en-US" w:eastAsia="zh-CN"/>
        </w:rPr>
        <w:t>提高</w:t>
      </w:r>
      <w:r>
        <w:rPr>
          <w:rFonts w:hint="eastAsia" w:ascii="仿宋_GB2312" w:hAnsi="仿宋" w:eastAsia="仿宋_GB2312"/>
          <w:sz w:val="32"/>
          <w:szCs w:val="32"/>
        </w:rPr>
        <w:t>计划生育家庭</w:t>
      </w:r>
      <w:r>
        <w:rPr>
          <w:rFonts w:hint="eastAsia" w:ascii="仿宋_GB2312" w:hAnsi="仿宋" w:eastAsia="仿宋_GB2312"/>
          <w:sz w:val="32"/>
          <w:szCs w:val="32"/>
          <w:lang w:val="en-US" w:eastAsia="zh-CN"/>
        </w:rPr>
        <w:t>特别</w:t>
      </w:r>
      <w:r>
        <w:rPr>
          <w:rFonts w:hint="eastAsia" w:ascii="仿宋_GB2312" w:hAnsi="仿宋" w:eastAsia="仿宋_GB2312"/>
          <w:sz w:val="32"/>
          <w:szCs w:val="32"/>
        </w:rPr>
        <w:t>扶助</w:t>
      </w:r>
      <w:r>
        <w:rPr>
          <w:rFonts w:hint="eastAsia" w:ascii="仿宋_GB2312" w:hAnsi="仿宋" w:eastAsia="仿宋_GB2312"/>
          <w:sz w:val="32"/>
          <w:szCs w:val="32"/>
          <w:lang w:val="en-US" w:eastAsia="zh-CN"/>
        </w:rPr>
        <w:t>制度标准</w:t>
      </w:r>
      <w:r>
        <w:rPr>
          <w:rFonts w:hint="eastAsia" w:ascii="仿宋_GB2312" w:hAnsi="仿宋" w:eastAsia="仿宋_GB2312"/>
          <w:sz w:val="32"/>
          <w:szCs w:val="32"/>
        </w:rPr>
        <w:t>的通知》（怀</w:t>
      </w:r>
      <w:r>
        <w:rPr>
          <w:rFonts w:hint="eastAsia" w:ascii="仿宋_GB2312" w:hAnsi="仿宋" w:eastAsia="仿宋_GB2312"/>
          <w:sz w:val="32"/>
          <w:szCs w:val="32"/>
          <w:lang w:val="en-US" w:eastAsia="zh-CN"/>
        </w:rPr>
        <w:t>财社</w:t>
      </w:r>
      <w:r>
        <w:rPr>
          <w:rFonts w:hint="eastAsia" w:ascii="仿宋_GB2312" w:hAnsi="仿宋" w:eastAsia="仿宋_GB2312"/>
          <w:sz w:val="32"/>
          <w:szCs w:val="32"/>
        </w:rPr>
        <w:t>［</w:t>
      </w:r>
      <w:r>
        <w:rPr>
          <w:rFonts w:ascii="仿宋_GB2312" w:hAnsi="仿宋" w:eastAsia="仿宋_GB2312"/>
          <w:sz w:val="32"/>
          <w:szCs w:val="32"/>
        </w:rPr>
        <w:t>20</w:t>
      </w:r>
      <w:r>
        <w:rPr>
          <w:rFonts w:hint="eastAsia" w:ascii="仿宋_GB2312" w:hAnsi="仿宋" w:eastAsia="仿宋_GB2312"/>
          <w:sz w:val="32"/>
          <w:szCs w:val="32"/>
          <w:lang w:val="en-US" w:eastAsia="zh-CN"/>
        </w:rPr>
        <w:t>22</w:t>
      </w:r>
      <w:r>
        <w:rPr>
          <w:rFonts w:hint="eastAsia" w:ascii="仿宋_GB2312" w:hAnsi="仿宋" w:eastAsia="仿宋_GB2312"/>
          <w:sz w:val="32"/>
          <w:szCs w:val="32"/>
        </w:rPr>
        <w:t>］</w:t>
      </w:r>
      <w:r>
        <w:rPr>
          <w:rFonts w:hint="eastAsia" w:ascii="仿宋_GB2312" w:hAnsi="仿宋" w:eastAsia="仿宋_GB2312"/>
          <w:sz w:val="32"/>
          <w:szCs w:val="32"/>
          <w:lang w:val="en-US" w:eastAsia="zh-CN"/>
        </w:rPr>
        <w:t>70</w:t>
      </w:r>
      <w:r>
        <w:rPr>
          <w:rFonts w:hint="eastAsia" w:ascii="仿宋_GB2312" w:hAnsi="仿宋" w:eastAsia="仿宋_GB2312"/>
          <w:sz w:val="32"/>
          <w:szCs w:val="32"/>
        </w:rPr>
        <w:t>号）文件要求，县财政对城乡独生子女死亡家庭扶助标准在国家的基础上每人每月提到</w:t>
      </w:r>
      <w:r>
        <w:rPr>
          <w:rFonts w:hint="eastAsia" w:ascii="仿宋_GB2312" w:hAnsi="仿宋" w:eastAsia="仿宋_GB2312"/>
          <w:sz w:val="32"/>
          <w:szCs w:val="32"/>
          <w:lang w:val="en-US" w:eastAsia="zh-CN"/>
        </w:rPr>
        <w:t>940</w:t>
      </w:r>
      <w:r>
        <w:rPr>
          <w:rFonts w:hint="eastAsia" w:ascii="仿宋_GB2312" w:hAnsi="仿宋" w:eastAsia="仿宋_GB2312"/>
          <w:sz w:val="32"/>
          <w:szCs w:val="32"/>
        </w:rPr>
        <w:t>元；农村独生子女伤残家庭、城乡独生子女伤残家庭标准在国家的基础上每人每月提到</w:t>
      </w:r>
      <w:r>
        <w:rPr>
          <w:rFonts w:hint="eastAsia" w:ascii="仿宋_GB2312" w:hAnsi="仿宋" w:eastAsia="仿宋_GB2312"/>
          <w:sz w:val="32"/>
          <w:szCs w:val="32"/>
          <w:lang w:val="en-US" w:eastAsia="zh-CN"/>
        </w:rPr>
        <w:t>580</w:t>
      </w:r>
      <w:r>
        <w:rPr>
          <w:rFonts w:hint="eastAsia" w:ascii="仿宋_GB2312" w:hAnsi="仿宋" w:eastAsia="仿宋_GB2312"/>
          <w:sz w:val="32"/>
          <w:szCs w:val="32"/>
        </w:rPr>
        <w:t>元，我县纳入年初预算，确保及时足额发放到位。截止目前：①一般奖扶和特别扶助总数</w:t>
      </w:r>
      <w:r>
        <w:rPr>
          <w:rFonts w:hint="eastAsia" w:ascii="仿宋_GB2312" w:hAnsi="仿宋" w:eastAsia="仿宋_GB2312"/>
          <w:bCs/>
          <w:sz w:val="32"/>
          <w:szCs w:val="32"/>
        </w:rPr>
        <w:t>人。其中：一般奖扶</w:t>
      </w:r>
      <w:r>
        <w:rPr>
          <w:rFonts w:hint="eastAsia" w:ascii="仿宋_GB2312" w:hAnsi="仿宋" w:eastAsia="仿宋_GB2312"/>
          <w:bCs/>
          <w:sz w:val="32"/>
          <w:szCs w:val="32"/>
          <w:u w:val="none"/>
          <w:lang w:val="en-US" w:eastAsia="zh-CN"/>
        </w:rPr>
        <w:t>3823</w:t>
      </w:r>
      <w:r>
        <w:rPr>
          <w:rFonts w:hint="eastAsia" w:ascii="仿宋_GB2312" w:hAnsi="仿宋" w:eastAsia="仿宋_GB2312"/>
          <w:bCs/>
          <w:sz w:val="32"/>
          <w:szCs w:val="32"/>
        </w:rPr>
        <w:t>人，特别奖扶</w:t>
      </w:r>
      <w:r>
        <w:rPr>
          <w:rFonts w:hint="eastAsia" w:ascii="仿宋_GB2312" w:hAnsi="仿宋" w:eastAsia="仿宋_GB2312"/>
          <w:bCs/>
          <w:sz w:val="32"/>
          <w:szCs w:val="32"/>
          <w:u w:val="none"/>
          <w:lang w:val="en-US" w:eastAsia="zh-CN"/>
        </w:rPr>
        <w:t>379</w:t>
      </w:r>
      <w:r>
        <w:rPr>
          <w:rFonts w:hint="eastAsia" w:ascii="仿宋_GB2312" w:hAnsi="仿宋" w:eastAsia="仿宋_GB2312"/>
          <w:bCs/>
          <w:sz w:val="32"/>
          <w:szCs w:val="32"/>
        </w:rPr>
        <w:t>人，</w:t>
      </w:r>
      <w:r>
        <w:rPr>
          <w:rFonts w:hint="eastAsia" w:ascii="仿宋_GB2312" w:hAnsi="仿宋" w:eastAsia="仿宋_GB2312"/>
          <w:sz w:val="32"/>
          <w:szCs w:val="32"/>
        </w:rPr>
        <w:t>累计发放金额</w:t>
      </w:r>
      <w:r>
        <w:rPr>
          <w:rFonts w:hint="eastAsia" w:ascii="仿宋_GB2312" w:hAnsi="仿宋" w:eastAsia="仿宋_GB2312"/>
          <w:sz w:val="32"/>
          <w:szCs w:val="32"/>
          <w:u w:val="none"/>
          <w:lang w:val="en-US" w:eastAsia="zh-CN"/>
        </w:rPr>
        <w:t>711.78</w:t>
      </w:r>
      <w:r>
        <w:rPr>
          <w:rFonts w:hint="eastAsia" w:ascii="仿宋_GB2312" w:hAnsi="仿宋" w:eastAsia="仿宋_GB2312"/>
          <w:sz w:val="32"/>
          <w:szCs w:val="32"/>
        </w:rPr>
        <w:t>万元；②城镇独生子女父母奖励对</w:t>
      </w:r>
      <w:r>
        <w:rPr>
          <w:rFonts w:hint="eastAsia" w:ascii="仿宋_GB2312" w:hAnsi="仿宋" w:eastAsia="仿宋_GB2312"/>
          <w:color w:val="auto"/>
          <w:sz w:val="32"/>
          <w:szCs w:val="32"/>
        </w:rPr>
        <w:t>象</w:t>
      </w:r>
      <w:r>
        <w:rPr>
          <w:rFonts w:hint="eastAsia" w:ascii="仿宋_GB2312" w:hAnsi="仿宋" w:eastAsia="仿宋_GB2312"/>
          <w:color w:val="auto"/>
          <w:sz w:val="32"/>
          <w:szCs w:val="32"/>
          <w:u w:val="none"/>
          <w:lang w:val="en-US" w:eastAsia="zh-CN"/>
        </w:rPr>
        <w:t>8982</w:t>
      </w:r>
      <w:r>
        <w:rPr>
          <w:rFonts w:hint="eastAsia" w:ascii="仿宋_GB2312" w:hAnsi="仿宋" w:eastAsia="仿宋_GB2312"/>
          <w:color w:val="auto"/>
          <w:sz w:val="32"/>
          <w:szCs w:val="32"/>
        </w:rPr>
        <w:t>人，发放资金</w:t>
      </w:r>
      <w:r>
        <w:rPr>
          <w:rFonts w:hint="eastAsia" w:ascii="仿宋_GB2312" w:hAnsi="仿宋" w:eastAsia="仿宋_GB2312"/>
          <w:color w:val="auto"/>
          <w:sz w:val="32"/>
          <w:szCs w:val="32"/>
          <w:u w:val="none"/>
          <w:lang w:val="en-US" w:eastAsia="zh-CN"/>
        </w:rPr>
        <w:t>862.272</w:t>
      </w:r>
      <w:r>
        <w:rPr>
          <w:rFonts w:hint="eastAsia" w:ascii="仿宋_GB2312" w:hAnsi="仿宋" w:eastAsia="仿宋_GB2312"/>
          <w:color w:val="auto"/>
          <w:sz w:val="32"/>
          <w:szCs w:val="32"/>
        </w:rPr>
        <w:t>万元；</w:t>
      </w:r>
      <w:r>
        <w:rPr>
          <w:rFonts w:hint="eastAsia" w:ascii="仿宋_GB2312" w:hAnsi="仿宋" w:eastAsia="仿宋_GB2312"/>
          <w:b/>
          <w:sz w:val="32"/>
          <w:szCs w:val="32"/>
        </w:rPr>
        <w:t>③</w:t>
      </w:r>
      <w:r>
        <w:rPr>
          <w:rFonts w:hint="eastAsia" w:ascii="仿宋_GB2312" w:hAnsi="仿宋" w:eastAsia="仿宋_GB2312"/>
          <w:sz w:val="32"/>
          <w:szCs w:val="32"/>
        </w:rPr>
        <w:t>独生子女保健费</w:t>
      </w:r>
      <w:r>
        <w:rPr>
          <w:rFonts w:hint="eastAsia" w:ascii="仿宋_GB2312" w:hAnsi="仿宋" w:eastAsia="仿宋_GB2312"/>
          <w:sz w:val="32"/>
          <w:szCs w:val="32"/>
          <w:lang w:eastAsia="zh-CN"/>
        </w:rPr>
        <w:t>，</w:t>
      </w:r>
      <w:r>
        <w:rPr>
          <w:rFonts w:hint="eastAsia" w:ascii="仿宋_GB2312" w:hAnsi="仿宋" w:eastAsia="仿宋_GB2312"/>
          <w:sz w:val="32"/>
          <w:szCs w:val="32"/>
        </w:rPr>
        <w:t>发放独生子女保健费（</w:t>
      </w:r>
      <w:r>
        <w:rPr>
          <w:rFonts w:ascii="仿宋_GB2312" w:hAnsi="仿宋" w:eastAsia="仿宋_GB2312"/>
          <w:sz w:val="32"/>
          <w:szCs w:val="32"/>
        </w:rPr>
        <w:t>1-14</w:t>
      </w:r>
      <w:r>
        <w:rPr>
          <w:rFonts w:hint="eastAsia" w:ascii="仿宋_GB2312" w:hAnsi="仿宋" w:eastAsia="仿宋_GB2312"/>
          <w:sz w:val="32"/>
          <w:szCs w:val="32"/>
        </w:rPr>
        <w:t>岁）</w:t>
      </w:r>
      <w:r>
        <w:rPr>
          <w:rFonts w:hint="eastAsia" w:ascii="仿宋_GB2312" w:hAnsi="仿宋" w:eastAsia="仿宋_GB2312"/>
          <w:sz w:val="32"/>
          <w:szCs w:val="32"/>
          <w:u w:val="none"/>
          <w:lang w:val="en-US" w:eastAsia="zh-CN"/>
        </w:rPr>
        <w:t>215</w:t>
      </w:r>
      <w:r>
        <w:rPr>
          <w:rFonts w:hint="eastAsia" w:ascii="仿宋_GB2312" w:hAnsi="仿宋" w:eastAsia="仿宋_GB2312"/>
          <w:sz w:val="32"/>
          <w:szCs w:val="32"/>
        </w:rPr>
        <w:t>人，发放金额</w:t>
      </w:r>
      <w:r>
        <w:rPr>
          <w:rFonts w:hint="eastAsia" w:ascii="仿宋_GB2312" w:hAnsi="仿宋" w:eastAsia="仿宋_GB2312"/>
          <w:sz w:val="32"/>
          <w:szCs w:val="32"/>
          <w:lang w:val="en-US" w:eastAsia="zh-CN"/>
        </w:rPr>
        <w:t>2.58</w:t>
      </w:r>
      <w:r>
        <w:rPr>
          <w:rFonts w:hint="eastAsia" w:ascii="仿宋_GB2312" w:hAnsi="仿宋" w:eastAsia="仿宋_GB2312"/>
          <w:sz w:val="32"/>
          <w:szCs w:val="32"/>
        </w:rPr>
        <w:t>万元；④计划生育手术并发症</w:t>
      </w:r>
      <w:r>
        <w:rPr>
          <w:rFonts w:hint="eastAsia" w:ascii="仿宋_GB2312" w:hAnsi="仿宋" w:eastAsia="仿宋_GB2312"/>
          <w:sz w:val="32"/>
          <w:szCs w:val="32"/>
          <w:u w:val="none"/>
          <w:lang w:val="en-US" w:eastAsia="zh-CN"/>
        </w:rPr>
        <w:t>180</w:t>
      </w:r>
      <w:r>
        <w:rPr>
          <w:rFonts w:hint="eastAsia" w:ascii="仿宋_GB2312" w:hAnsi="仿宋" w:eastAsia="仿宋_GB2312"/>
          <w:sz w:val="32"/>
          <w:szCs w:val="32"/>
        </w:rPr>
        <w:t>人。共发放资金</w:t>
      </w:r>
      <w:r>
        <w:rPr>
          <w:rFonts w:hint="eastAsia" w:ascii="仿宋_GB2312" w:hAnsi="仿宋" w:eastAsia="仿宋_GB2312"/>
          <w:sz w:val="32"/>
          <w:szCs w:val="32"/>
          <w:u w:val="none"/>
          <w:lang w:val="en-US" w:eastAsia="zh-CN"/>
        </w:rPr>
        <w:t>65.54</w:t>
      </w:r>
      <w:r>
        <w:rPr>
          <w:rFonts w:hint="eastAsia" w:ascii="仿宋_GB2312" w:hAnsi="仿宋" w:eastAsia="仿宋_GB2312"/>
          <w:sz w:val="32"/>
          <w:szCs w:val="32"/>
        </w:rPr>
        <w:t>万元。</w:t>
      </w:r>
      <w:r>
        <w:rPr>
          <w:rFonts w:ascii="仿宋_GB2312" w:hAnsi="仿宋" w:eastAsia="仿宋_GB2312"/>
          <w:sz w:val="32"/>
          <w:szCs w:val="32"/>
        </w:rPr>
        <w:t xml:space="preserve"> </w:t>
      </w:r>
      <w:r>
        <w:rPr>
          <w:rFonts w:hint="eastAsia" w:ascii="仿宋" w:hAnsi="仿宋" w:eastAsia="仿宋" w:cs="仿宋"/>
          <w:color w:val="333333"/>
          <w:kern w:val="0"/>
          <w:sz w:val="32"/>
          <w:szCs w:val="32"/>
          <w:lang w:val="en-US" w:eastAsia="zh-CN"/>
        </w:rPr>
        <w:t>2022年度共拨付计生专项资金共1642.172万元，预算执行较好。二是补助资金按照绩效考核情况，完全用于计生专项工作，不截留、不挤占，资金使用规范。</w:t>
      </w:r>
    </w:p>
    <w:p>
      <w:pPr>
        <w:widowControl/>
        <w:shd w:val="clear" w:color="auto" w:fill="FFFFFF"/>
        <w:spacing w:line="600" w:lineRule="atLeast"/>
        <w:ind w:firstLine="640"/>
        <w:rPr>
          <w:rFonts w:hint="default" w:ascii="仿宋" w:hAnsi="仿宋" w:eastAsia="仿宋"/>
          <w:spacing w:val="-2"/>
          <w:kern w:val="2"/>
          <w:sz w:val="32"/>
          <w:szCs w:val="32"/>
          <w:lang w:val="en-US" w:eastAsia="zh-CN" w:bidi="ar-SA"/>
        </w:rPr>
      </w:pPr>
      <w:r>
        <w:rPr>
          <w:rFonts w:hint="eastAsia" w:ascii="仿宋" w:hAnsi="仿宋" w:eastAsia="仿宋"/>
          <w:spacing w:val="-2"/>
          <w:sz w:val="32"/>
          <w:szCs w:val="32"/>
          <w:lang w:val="en-US" w:eastAsia="zh-CN"/>
        </w:rPr>
        <w:t>3、村卫生室运行：</w:t>
      </w:r>
      <w:r>
        <w:rPr>
          <w:rFonts w:hint="eastAsia" w:ascii="仿宋" w:hAnsi="仿宋" w:eastAsia="仿宋"/>
          <w:spacing w:val="-2"/>
          <w:kern w:val="2"/>
          <w:sz w:val="32"/>
          <w:szCs w:val="32"/>
          <w:lang w:val="en-US" w:eastAsia="zh-CN" w:bidi="ar-SA"/>
        </w:rPr>
        <w:t>资金到位情况，2022年村卫生室运行经费共到位163.2万元，其中中央资、省级资金81.6万元，县级资金81.6万元，到位率100%。</w:t>
      </w:r>
    </w:p>
    <w:p>
      <w:pPr>
        <w:widowControl/>
        <w:shd w:val="clear" w:color="auto" w:fill="FFFFFF"/>
        <w:spacing w:line="600" w:lineRule="atLeast"/>
        <w:ind w:firstLine="640"/>
        <w:rPr>
          <w:rFonts w:hint="eastAsia" w:ascii="仿宋" w:hAnsi="仿宋" w:eastAsia="仿宋"/>
          <w:color w:val="C00000"/>
          <w:spacing w:val="-2"/>
          <w:sz w:val="32"/>
          <w:szCs w:val="32"/>
          <w:lang w:val="en-US" w:eastAsia="zh-CN"/>
        </w:rPr>
      </w:pPr>
      <w:r>
        <w:rPr>
          <w:rFonts w:hint="eastAsia" w:ascii="仿宋" w:hAnsi="仿宋" w:eastAsia="仿宋"/>
          <w:color w:val="auto"/>
          <w:spacing w:val="-2"/>
          <w:sz w:val="32"/>
          <w:szCs w:val="32"/>
          <w:lang w:val="en-US" w:eastAsia="zh-CN"/>
        </w:rPr>
        <w:t>4、重症精神病人救治：</w:t>
      </w:r>
      <w:r>
        <w:rPr>
          <w:rFonts w:hint="eastAsia" w:ascii="仿宋" w:hAnsi="仿宋" w:eastAsia="仿宋"/>
          <w:color w:val="auto"/>
          <w:spacing w:val="-2"/>
          <w:kern w:val="2"/>
          <w:sz w:val="32"/>
          <w:szCs w:val="32"/>
          <w:lang w:val="en-US" w:eastAsia="zh-CN" w:bidi="ar-SA"/>
        </w:rPr>
        <w:t>资金到位情况，2022年本级预算60万元，实际到位145.25万元，到位率100%。</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5、村卫生室实施基本药物制度财政补助：①</w:t>
      </w:r>
      <w:r>
        <w:rPr>
          <w:rFonts w:hint="eastAsia" w:ascii="仿宋" w:hAnsi="仿宋" w:eastAsia="仿宋"/>
          <w:spacing w:val="-2"/>
          <w:kern w:val="2"/>
          <w:sz w:val="32"/>
          <w:szCs w:val="32"/>
          <w:lang w:val="en-US" w:eastAsia="zh-CN" w:bidi="ar-SA"/>
        </w:rPr>
        <w:t>资金到位情况，2022年村卫生室实施基本药物制度共到位245.1万元，其中中央资、省级资金213.7万元，县级资金31.4万元，到位率100%。②资金管理情况，各乡镇卫生院年初根据实际情况制定相关管理制度和村卫生室考核细则，每季度对村卫生室基本药物使用情况进行督导。③财务管理情况。村卫生室实施基本药物制度项目实施单位有健全的财务管理制度并严格执行，账务处理及时，会</w:t>
      </w:r>
      <w:r>
        <w:rPr>
          <w:rFonts w:hint="eastAsia" w:ascii="仿宋" w:hAnsi="仿宋" w:eastAsia="仿宋" w:cs="仿宋"/>
          <w:color w:val="000000"/>
          <w:sz w:val="32"/>
          <w:szCs w:val="32"/>
        </w:rPr>
        <w:t>计核算规范。</w:t>
      </w:r>
    </w:p>
    <w:p>
      <w:pPr>
        <w:widowControl/>
        <w:shd w:val="clear" w:color="auto" w:fill="FFFFFF"/>
        <w:spacing w:line="600" w:lineRule="atLeast"/>
        <w:ind w:firstLine="640"/>
        <w:rPr>
          <w:rFonts w:hint="default" w:ascii="仿宋" w:hAnsi="仿宋" w:eastAsia="仿宋"/>
          <w:spacing w:val="-2"/>
          <w:sz w:val="32"/>
          <w:szCs w:val="32"/>
          <w:lang w:val="en-US" w:eastAsia="zh-CN"/>
        </w:rPr>
      </w:pPr>
      <w:r>
        <w:rPr>
          <w:rFonts w:hint="eastAsia" w:ascii="仿宋" w:hAnsi="仿宋" w:eastAsia="仿宋"/>
          <w:spacing w:val="-2"/>
          <w:sz w:val="32"/>
          <w:szCs w:val="32"/>
          <w:lang w:val="en-US" w:eastAsia="zh-CN"/>
        </w:rPr>
        <w:t>6、全科医生津贴：2022年全科医生津贴补助一共125人，73.95万元。</w:t>
      </w:r>
    </w:p>
    <w:p>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三、部门专项组织实施情况</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2022年我单位以绩效目标实现为导向，进一步加强制度建设，提升自评质量，预算绩效管理取得新成效。</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一是抓好绩效目标编制，及时报送绩效目标。</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二是探索绩效跟踪监控，要求加强过程监控。</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三是深入开展财政支出绩效评价,对专项资金实施绩效自评和项目核查，在此基础上形成自评报告。</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四是强化评价结果应用，组织绩效自评和绩效跟踪监控，对发现的问题及时改进，加强评价结果与项目资金安排的衔接。</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五是健全绩效管理工作机制，明确职责分工，努力提高了绩效管理工作水平。</w:t>
      </w:r>
    </w:p>
    <w:p>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四、资产管理情况</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本单位资产管理与预算管理相结合；资产管理与财务管理相结合；实物管理与价值管理相结合。资产管理体制。实行统一管理、分级负责制。单位负责人是资产管理的第一责任人；办公室、财务部门负责资产的帐卡管理、清查登记、统计报告等工作，负责实物资产管理，包括资产的采购、验收、维修保养及处置等日常管理。</w:t>
      </w:r>
    </w:p>
    <w:p>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五、部门整体支出绩效情况</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年度预算绩效管理工作整体开展情况 ：</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(一)基础工作管理。我局领导非常重视预算绩效管理工作，对该项工作给予大力支持和指导，对上级做出的批示和下发的预算批发非常的关心。在一些制度建设方面我们做的有些欠缺，有待提高和完善。</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(二)绩效目标管理。我局严格按照上级的要求在规定的时间报送绩效目标，比如每月按时发放工资，公积金、医疗保险等按时准确发放到位，从无拖欠。</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(三)绩效监控管理。我局2022年无项目收支,开始预算的项目都在后期做了及时的调整。</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(四)绩效评价管理。2022年我局基本支出管理的各项收入和支出都按预算的目标完成。</w:t>
      </w:r>
    </w:p>
    <w:p>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六、存在的主要问题</w:t>
      </w:r>
    </w:p>
    <w:p>
      <w:pPr>
        <w:widowControl/>
        <w:spacing w:line="600" w:lineRule="atLeast"/>
        <w:ind w:firstLine="562"/>
        <w:jc w:val="left"/>
        <w:rPr>
          <w:rFonts w:hint="eastAsia" w:ascii="仿宋" w:hAnsi="仿宋" w:eastAsia="仿宋"/>
          <w:spacing w:val="-2"/>
          <w:sz w:val="32"/>
          <w:szCs w:val="32"/>
          <w:lang w:val="en-US" w:eastAsia="zh-CN"/>
        </w:rPr>
      </w:pPr>
      <w:r>
        <w:rPr>
          <w:rFonts w:hint="eastAsia" w:ascii="仿宋_GB2312" w:hAnsi="仿宋_GB2312" w:eastAsia="仿宋_GB2312" w:cs="仿宋_GB2312"/>
          <w:b/>
          <w:bCs/>
          <w:color w:val="414141"/>
          <w:kern w:val="0"/>
          <w:sz w:val="32"/>
          <w:szCs w:val="32"/>
        </w:rPr>
        <w:t>内控制度需进一步完善</w:t>
      </w:r>
      <w:r>
        <w:rPr>
          <w:rFonts w:hint="eastAsia" w:ascii="仿宋_GB2312" w:hAnsi="仿宋_GB2312" w:eastAsia="仿宋_GB2312" w:cs="仿宋_GB2312"/>
          <w:b/>
          <w:bCs/>
          <w:color w:val="414141"/>
          <w:kern w:val="0"/>
          <w:sz w:val="32"/>
          <w:szCs w:val="32"/>
          <w:lang w:eastAsia="zh-CN"/>
        </w:rPr>
        <w:t>，</w:t>
      </w:r>
      <w:r>
        <w:rPr>
          <w:rFonts w:hint="eastAsia" w:ascii="仿宋" w:hAnsi="仿宋" w:eastAsia="仿宋"/>
          <w:spacing w:val="-2"/>
          <w:sz w:val="32"/>
          <w:szCs w:val="32"/>
          <w:lang w:val="en-US" w:eastAsia="zh-CN"/>
        </w:rPr>
        <w:t>建立健全了财务管理制度和内控制度,但内控约束监督机制仍需进一步完善，特别是差旅费、办公费等方面加强监督管理。</w:t>
      </w:r>
    </w:p>
    <w:p>
      <w:pPr>
        <w:widowControl/>
        <w:numPr>
          <w:ilvl w:val="0"/>
          <w:numId w:val="1"/>
        </w:numPr>
        <w:spacing w:line="600" w:lineRule="atLeast"/>
        <w:ind w:firstLine="562"/>
        <w:jc w:val="left"/>
        <w:rPr>
          <w:rFonts w:ascii="楷体" w:hAnsi="楷体" w:eastAsia="楷体"/>
          <w:b/>
          <w:spacing w:val="-2"/>
          <w:sz w:val="32"/>
          <w:szCs w:val="32"/>
        </w:rPr>
      </w:pPr>
      <w:r>
        <w:rPr>
          <w:rFonts w:ascii="楷体" w:hAnsi="楷体" w:eastAsia="楷体"/>
          <w:b/>
          <w:spacing w:val="-2"/>
          <w:sz w:val="32"/>
          <w:szCs w:val="32"/>
        </w:rPr>
        <w:t>改进措施和有关建议</w:t>
      </w:r>
    </w:p>
    <w:p>
      <w:pPr>
        <w:widowControl/>
        <w:numPr>
          <w:ilvl w:val="0"/>
          <w:numId w:val="0"/>
        </w:numPr>
        <w:spacing w:line="600" w:lineRule="atLeast"/>
        <w:ind w:firstLine="632" w:firstLineChars="200"/>
        <w:jc w:val="left"/>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加强培训，提升职工对绩效管理的认识。如果没有意识到绩效管理的最终目的，重视程度不够，那绩效管理就很难推行。所以在实施绩效管理之前，要重点对各单位进行集中培训，让职工意识到绩效管理其实是自己的一项很重要的本职工作而不是加在身上的额外负担。</w:t>
      </w:r>
    </w:p>
    <w:p/>
    <w:sectPr>
      <w:pgSz w:w="10641" w:h="17019"/>
      <w:pgMar w:top="1803" w:right="1440" w:bottom="1803" w:left="1440" w:header="0" w:footer="0"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大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Nimbus Roman No9 L">
    <w:altName w:val="微软雅黑"/>
    <w:panose1 w:val="00000000000000000000"/>
    <w:charset w:val="00"/>
    <w:family w:val="auto"/>
    <w:pitch w:val="default"/>
    <w:sig w:usb0="00000000" w:usb1="00000000" w:usb2="00000000" w:usb3="00000000" w:csb0="00040001"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934E52"/>
    <w:multiLevelType w:val="singleLevel"/>
    <w:tmpl w:val="93934E52"/>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 w:name="KSO_WPS_MARK_KEY" w:val="2701c1dc-4ec7-4591-b6ff-1e092e2b45a9"/>
  </w:docVars>
  <w:rsids>
    <w:rsidRoot w:val="0E0204DD"/>
    <w:rsid w:val="0D942D77"/>
    <w:rsid w:val="0E0204DD"/>
    <w:rsid w:val="2AC740FC"/>
    <w:rsid w:val="6B082390"/>
    <w:rsid w:val="75900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6">
    <w:name w:val="p0"/>
    <w:basedOn w:val="1"/>
    <w:qFormat/>
    <w:uiPriority w:val="99"/>
    <w:pPr>
      <w:spacing w:before="100" w:beforeAutospacing="1" w:after="100" w:afterAutospacing="1"/>
      <w:jc w:val="left"/>
    </w:pPr>
    <w:rPr>
      <w:rFonts w:asci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2024-09-06T08:16:00Z</dcterms:created>
  <dc:creator>九月</dc:creator>
  <cp:lastModifiedBy>九月</cp:lastModifiedBy>
  <dcterms:modified xsi:type="dcterms:W3CDTF">2024-09-06T08:17:07Z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74E477201B6846C3B641296293CA0387_11</vt:lpwstr>
  </property>
</Properties>
</file>