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center"/>
        <w:rPr>
          <w:rFonts w:hint="eastAsia" w:ascii="黑体" w:hAnsi="黑体" w:eastAsia="黑体" w:cs="黑体"/>
          <w:b w:val="0"/>
          <w:bCs/>
          <w:spacing w:val="-2"/>
          <w:sz w:val="44"/>
          <w:szCs w:val="44"/>
          <w:lang w:val="en-US"/>
        </w:rPr>
      </w:pPr>
      <w:bookmarkStart w:id="2" w:name="_GoBack"/>
      <w:r>
        <w:rPr>
          <w:rFonts w:hint="eastAsia" w:ascii="黑体" w:hAnsi="黑体" w:eastAsia="黑体" w:cs="黑体"/>
          <w:b w:val="0"/>
          <w:bCs/>
          <w:spacing w:val="-2"/>
          <w:sz w:val="44"/>
          <w:szCs w:val="44"/>
          <w:lang w:eastAsia="zh-CN"/>
        </w:rPr>
        <w:t>辰溪县计划生育协会</w:t>
      </w:r>
    </w:p>
    <w:bookmarkEnd w:id="2"/>
    <w:p>
      <w:pPr>
        <w:widowControl/>
        <w:shd w:val="clear" w:color="auto" w:fill="FFFFFF"/>
        <w:spacing w:line="600" w:lineRule="atLeast"/>
        <w:jc w:val="center"/>
        <w:rPr>
          <w:rFonts w:hint="eastAsia" w:ascii="黑体" w:hAnsi="黑体" w:eastAsia="黑体" w:cs="黑体"/>
          <w:b/>
          <w:spacing w:val="-2"/>
          <w:sz w:val="44"/>
          <w:szCs w:val="44"/>
        </w:rPr>
      </w:pPr>
      <w:r>
        <w:rPr>
          <w:rFonts w:hint="eastAsia" w:ascii="黑体" w:hAnsi="黑体" w:eastAsia="黑体" w:cs="黑体"/>
          <w:b w:val="0"/>
          <w:bCs/>
          <w:spacing w:val="-2"/>
          <w:sz w:val="44"/>
          <w:szCs w:val="44"/>
        </w:rPr>
        <w:t>部门整体</w:t>
      </w:r>
      <w:bookmarkStart w:id="0" w:name="OLE_LINK2"/>
      <w:r>
        <w:rPr>
          <w:rFonts w:hint="eastAsia" w:ascii="黑体" w:hAnsi="黑体" w:eastAsia="黑体" w:cs="黑体"/>
          <w:b w:val="0"/>
          <w:bCs/>
          <w:spacing w:val="-2"/>
          <w:sz w:val="44"/>
          <w:szCs w:val="44"/>
        </w:rPr>
        <w:t>支出绩效</w:t>
      </w:r>
      <w:bookmarkEnd w:id="0"/>
      <w:r>
        <w:rPr>
          <w:rFonts w:hint="eastAsia" w:ascii="黑体" w:hAnsi="黑体" w:eastAsia="黑体" w:cs="黑体"/>
          <w:b w:val="0"/>
          <w:bCs/>
          <w:spacing w:val="-2"/>
          <w:sz w:val="44"/>
          <w:szCs w:val="44"/>
        </w:rPr>
        <w:t>评价报告</w:t>
      </w:r>
    </w:p>
    <w:p>
      <w:pPr>
        <w:adjustRightInd w:val="0"/>
        <w:snapToGrid w:val="0"/>
        <w:spacing w:line="540" w:lineRule="atLeast"/>
        <w:jc w:val="center"/>
        <w:rPr>
          <w:rFonts w:hint="eastAsia" w:ascii="楷体" w:hAnsi="楷体" w:eastAsia="楷体" w:cs="楷体"/>
          <w:sz w:val="28"/>
          <w:szCs w:val="28"/>
          <w:lang w:val="en-US"/>
        </w:rPr>
      </w:pPr>
      <w:bookmarkStart w:id="1" w:name="OLE_LINK1"/>
      <w:r>
        <w:rPr>
          <w:rFonts w:hint="eastAsia" w:ascii="楷体" w:hAnsi="楷体" w:eastAsia="楷体" w:cs="楷体"/>
          <w:sz w:val="28"/>
          <w:szCs w:val="28"/>
          <w:lang w:eastAsia="zh-CN"/>
        </w:rPr>
        <w:t>辰溪县计划生育协会</w:t>
      </w:r>
    </w:p>
    <w:bookmarkEnd w:id="1"/>
    <w:p>
      <w:pPr>
        <w:numPr>
          <w:ilvl w:val="0"/>
          <w:numId w:val="0"/>
        </w:numPr>
        <w:adjustRightInd w:val="0"/>
        <w:snapToGrid w:val="0"/>
        <w:spacing w:line="540" w:lineRule="atLeast"/>
        <w:rPr>
          <w:rFonts w:hint="eastAsia" w:ascii="仿宋" w:hAnsi="仿宋" w:eastAsia="仿宋" w:cs="仿宋"/>
          <w:b w:val="0"/>
          <w:bCs w:val="0"/>
          <w:color w:val="212121"/>
          <w:kern w:val="0"/>
          <w:sz w:val="32"/>
          <w:szCs w:val="32"/>
          <w:lang w:eastAsia="zh-CN"/>
        </w:rPr>
      </w:pPr>
      <w:r>
        <w:rPr>
          <w:rFonts w:hint="eastAsia" w:ascii="仿宋" w:hAnsi="仿宋" w:eastAsia="仿宋" w:cs="仿宋"/>
          <w:b w:val="0"/>
          <w:bCs w:val="0"/>
          <w:color w:val="212121"/>
          <w:kern w:val="0"/>
          <w:sz w:val="32"/>
          <w:szCs w:val="32"/>
          <w:lang w:eastAsia="zh-CN"/>
        </w:rPr>
        <w:t>　　</w:t>
      </w:r>
    </w:p>
    <w:p>
      <w:pPr>
        <w:numPr>
          <w:ilvl w:val="0"/>
          <w:numId w:val="0"/>
        </w:numPr>
        <w:adjustRightInd w:val="0"/>
        <w:snapToGrid w:val="0"/>
        <w:spacing w:line="540" w:lineRule="atLeast"/>
        <w:rPr>
          <w:rFonts w:hint="eastAsia" w:ascii="仿宋" w:hAnsi="仿宋" w:eastAsia="仿宋" w:cs="仿宋"/>
          <w:b w:val="0"/>
          <w:bCs w:val="0"/>
          <w:color w:val="212121"/>
          <w:kern w:val="0"/>
          <w:sz w:val="32"/>
          <w:szCs w:val="32"/>
        </w:rPr>
      </w:pPr>
      <w:r>
        <w:rPr>
          <w:rFonts w:hint="eastAsia" w:ascii="仿宋" w:hAnsi="仿宋" w:eastAsia="仿宋" w:cs="仿宋"/>
          <w:b w:val="0"/>
          <w:bCs w:val="0"/>
          <w:color w:val="212121"/>
          <w:kern w:val="0"/>
          <w:sz w:val="32"/>
          <w:szCs w:val="32"/>
          <w:lang w:eastAsia="zh-CN"/>
        </w:rPr>
        <w:t>　　</w:t>
      </w:r>
      <w:r>
        <w:rPr>
          <w:rFonts w:hint="eastAsia" w:ascii="黑体" w:hAnsi="黑体" w:eastAsia="黑体" w:cs="黑体"/>
          <w:b w:val="0"/>
          <w:bCs w:val="0"/>
          <w:color w:val="212121"/>
          <w:kern w:val="0"/>
          <w:sz w:val="32"/>
          <w:szCs w:val="32"/>
          <w:lang w:eastAsia="zh-CN"/>
        </w:rPr>
        <w:t>一、</w:t>
      </w:r>
      <w:r>
        <w:rPr>
          <w:rFonts w:hint="eastAsia" w:ascii="黑体" w:hAnsi="黑体" w:eastAsia="黑体" w:cs="黑体"/>
          <w:b w:val="0"/>
          <w:bCs w:val="0"/>
          <w:color w:val="212121"/>
          <w:kern w:val="0"/>
          <w:sz w:val="32"/>
          <w:szCs w:val="32"/>
        </w:rPr>
        <w:t>部门基本情况</w:t>
      </w:r>
    </w:p>
    <w:p>
      <w:pPr>
        <w:numPr>
          <w:ilvl w:val="0"/>
          <w:numId w:val="0"/>
        </w:numPr>
        <w:adjustRightInd w:val="0"/>
        <w:snapToGrid w:val="0"/>
        <w:spacing w:line="540" w:lineRule="atLeast"/>
        <w:ind w:firstLine="643" w:firstLineChars="200"/>
        <w:rPr>
          <w:rFonts w:hint="eastAsia" w:ascii="楷体" w:hAnsi="楷体" w:eastAsia="楷体" w:cs="楷体"/>
          <w:b/>
          <w:bCs/>
          <w:color w:val="212121"/>
          <w:kern w:val="0"/>
          <w:sz w:val="32"/>
          <w:szCs w:val="32"/>
        </w:rPr>
      </w:pPr>
      <w:r>
        <w:rPr>
          <w:rFonts w:hint="eastAsia" w:ascii="楷体" w:hAnsi="楷体" w:eastAsia="楷体" w:cs="楷体"/>
          <w:b/>
          <w:bCs/>
          <w:color w:val="212121"/>
          <w:kern w:val="0"/>
          <w:sz w:val="32"/>
          <w:szCs w:val="32"/>
          <w:lang w:eastAsia="zh-CN"/>
        </w:rPr>
        <w:t>（一）</w:t>
      </w:r>
      <w:r>
        <w:rPr>
          <w:rFonts w:hint="eastAsia" w:ascii="楷体" w:hAnsi="楷体" w:eastAsia="楷体" w:cs="楷体"/>
          <w:b/>
          <w:bCs/>
          <w:color w:val="212121"/>
          <w:kern w:val="0"/>
          <w:sz w:val="32"/>
          <w:szCs w:val="32"/>
        </w:rPr>
        <w:t>部门职能与机构设置</w:t>
      </w:r>
    </w:p>
    <w:p>
      <w:pPr>
        <w:widowControl/>
        <w:shd w:val="clear" w:color="auto" w:fill="FFFFFF"/>
        <w:spacing w:line="315" w:lineRule="atLeast"/>
        <w:ind w:firstLine="636"/>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辰溪县计划生育协会（以下简称</w:t>
      </w:r>
      <w:r>
        <w:rPr>
          <w:rFonts w:hint="eastAsia" w:ascii="仿宋" w:hAnsi="仿宋" w:eastAsia="仿宋" w:cs="仿宋"/>
          <w:color w:val="212121"/>
          <w:kern w:val="0"/>
          <w:sz w:val="32"/>
          <w:szCs w:val="32"/>
          <w:lang w:eastAsia="zh-CN"/>
        </w:rPr>
        <w:t>县</w:t>
      </w:r>
      <w:r>
        <w:rPr>
          <w:rFonts w:hint="eastAsia" w:ascii="仿宋" w:hAnsi="仿宋" w:eastAsia="仿宋" w:cs="仿宋"/>
          <w:color w:val="212121"/>
          <w:kern w:val="0"/>
          <w:sz w:val="32"/>
          <w:szCs w:val="32"/>
        </w:rPr>
        <w:t>计生协）是</w:t>
      </w:r>
      <w:r>
        <w:rPr>
          <w:rFonts w:hint="eastAsia" w:ascii="仿宋" w:hAnsi="仿宋" w:eastAsia="仿宋" w:cs="仿宋"/>
          <w:color w:val="212121"/>
          <w:kern w:val="0"/>
          <w:sz w:val="32"/>
          <w:szCs w:val="32"/>
          <w:lang w:eastAsia="zh-CN"/>
        </w:rPr>
        <w:t>中共</w:t>
      </w:r>
      <w:r>
        <w:rPr>
          <w:rFonts w:hint="eastAsia" w:ascii="仿宋" w:hAnsi="仿宋" w:eastAsia="仿宋" w:cs="仿宋"/>
          <w:color w:val="212121"/>
          <w:kern w:val="0"/>
          <w:sz w:val="32"/>
          <w:szCs w:val="32"/>
        </w:rPr>
        <w:t>辰溪县委领导下的协助党委和政府做好人口和计划生育工作的群众团体，是党委政府联系广大育龄群众的桥梁和纽带。</w:t>
      </w:r>
    </w:p>
    <w:p>
      <w:pPr>
        <w:widowControl/>
        <w:shd w:val="clear" w:color="auto" w:fill="FFFFFF"/>
        <w:spacing w:line="315" w:lineRule="atLeast"/>
        <w:ind w:firstLine="636"/>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1、宣传贯彻落实国家、省有关卫生和计划生育法律、法规和政策，协助政府有关部门推动卫生和计划生育工作。</w:t>
      </w:r>
    </w:p>
    <w:p>
      <w:pPr>
        <w:widowControl/>
        <w:shd w:val="clear" w:color="auto" w:fill="FFFFFF"/>
        <w:spacing w:line="630" w:lineRule="atLeast"/>
        <w:ind w:firstLine="664"/>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2、开展群众性计划生育宣传工作，广泛普及有关性与生殖健康、计划生育、避孕节育和预防艾滋病等科学知识。</w:t>
      </w:r>
    </w:p>
    <w:p>
      <w:pPr>
        <w:widowControl/>
        <w:shd w:val="clear" w:color="auto" w:fill="FFFFFF"/>
        <w:spacing w:line="630" w:lineRule="atLeast"/>
        <w:ind w:firstLine="664"/>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3、组织会员发挥带头、宣传、服务、监督和交流的作用，开展计划生育“三结合”、幸福工程等项目和生育关怀行动，动员组织计生协会员和志愿者，为育龄群众提供生育、生活、生产服务和优生、优育、优教服务，争取上级组织和社会力量支持，帮助群众解决实行计划生育的实际困难和后顾之忧。</w:t>
      </w:r>
    </w:p>
    <w:p>
      <w:pPr>
        <w:widowControl/>
        <w:shd w:val="clear" w:color="auto" w:fill="FFFFFF"/>
        <w:spacing w:line="630" w:lineRule="atLeast"/>
        <w:ind w:firstLine="664"/>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4、指导开展计生基层群众自治，组织和发动会员依法参与基层计划生育工作民主决策、民主管理、民主监督；反映会员诉求、维护会员及所联系的广大育龄群众的合法权益。</w:t>
      </w:r>
    </w:p>
    <w:p>
      <w:pPr>
        <w:widowControl/>
        <w:shd w:val="clear" w:color="auto" w:fill="FFFFFF"/>
        <w:spacing w:line="630" w:lineRule="atLeast"/>
        <w:ind w:firstLine="664"/>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5、负责在流动人口聚居区建立流动人口计划生育协会组织，充分发挥计划生育协会在流动人口服务管理中的积极作用，为流动育龄群众提供生产、生活、生育、维权等多方面的指导与服务。</w:t>
      </w:r>
    </w:p>
    <w:p>
      <w:pPr>
        <w:widowControl/>
        <w:shd w:val="clear" w:color="auto" w:fill="FFFFFF"/>
        <w:spacing w:line="630" w:lineRule="atLeast"/>
        <w:ind w:firstLine="664"/>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6、负责指导全县各级计划生育协会的组织建设和业务工作，指导基层计划生育协会依据有关法律法规和《中国计划生育协会章程》开展具有自身特点的服务活动。</w:t>
      </w:r>
    </w:p>
    <w:p>
      <w:pPr>
        <w:widowControl/>
        <w:shd w:val="clear" w:color="auto" w:fill="FFFFFF"/>
        <w:spacing w:line="630" w:lineRule="atLeast"/>
        <w:ind w:firstLine="664"/>
        <w:jc w:val="left"/>
        <w:rPr>
          <w:rFonts w:hint="eastAsia" w:ascii="仿宋" w:hAnsi="仿宋" w:eastAsia="仿宋" w:cs="仿宋"/>
          <w:color w:val="212121"/>
          <w:kern w:val="0"/>
          <w:sz w:val="32"/>
          <w:szCs w:val="32"/>
        </w:rPr>
      </w:pPr>
      <w:r>
        <w:rPr>
          <w:rFonts w:hint="eastAsia" w:ascii="仿宋" w:hAnsi="仿宋" w:eastAsia="仿宋" w:cs="仿宋"/>
          <w:color w:val="212121"/>
          <w:spacing w:val="6"/>
          <w:kern w:val="0"/>
          <w:sz w:val="32"/>
          <w:szCs w:val="32"/>
        </w:rPr>
        <w:t>7、承办县委、县政府和卫健局交办的其他工作。</w:t>
      </w:r>
    </w:p>
    <w:p>
      <w:pPr>
        <w:widowControl/>
        <w:shd w:val="clear" w:color="auto" w:fill="FFFFFF"/>
        <w:spacing w:line="315" w:lineRule="atLeast"/>
        <w:ind w:firstLine="643"/>
        <w:rPr>
          <w:rFonts w:hint="eastAsia" w:ascii="楷体" w:hAnsi="楷体" w:eastAsia="楷体" w:cs="楷体"/>
          <w:b/>
          <w:bCs/>
          <w:color w:val="212121"/>
          <w:kern w:val="0"/>
          <w:sz w:val="32"/>
          <w:szCs w:val="32"/>
        </w:rPr>
      </w:pPr>
      <w:r>
        <w:rPr>
          <w:rFonts w:hint="eastAsia" w:ascii="楷体" w:hAnsi="楷体" w:eastAsia="楷体" w:cs="楷体"/>
          <w:b/>
          <w:bCs/>
          <w:color w:val="212121"/>
          <w:kern w:val="0"/>
          <w:sz w:val="32"/>
          <w:szCs w:val="32"/>
          <w:lang w:eastAsia="zh-CN"/>
        </w:rPr>
        <w:t>（二）</w:t>
      </w:r>
      <w:r>
        <w:rPr>
          <w:rFonts w:hint="eastAsia" w:ascii="楷体" w:hAnsi="楷体" w:eastAsia="楷体" w:cs="楷体"/>
          <w:b/>
          <w:bCs/>
          <w:color w:val="212121"/>
          <w:kern w:val="0"/>
          <w:sz w:val="32"/>
          <w:szCs w:val="32"/>
        </w:rPr>
        <w:t>人员构成情况</w:t>
      </w:r>
    </w:p>
    <w:p>
      <w:pPr>
        <w:widowControl/>
        <w:shd w:val="clear" w:color="auto" w:fill="FFFFFF"/>
        <w:spacing w:line="315" w:lineRule="atLeast"/>
        <w:ind w:firstLine="640"/>
        <w:rPr>
          <w:rFonts w:hint="eastAsia" w:ascii="仿宋" w:hAnsi="仿宋" w:eastAsia="仿宋" w:cs="仿宋"/>
          <w:color w:val="212121"/>
          <w:kern w:val="0"/>
          <w:sz w:val="32"/>
          <w:szCs w:val="32"/>
          <w:lang w:val="en-US" w:eastAsia="zh-CN"/>
        </w:rPr>
      </w:pPr>
      <w:r>
        <w:rPr>
          <w:rFonts w:hint="eastAsia" w:ascii="仿宋" w:hAnsi="仿宋" w:eastAsia="仿宋" w:cs="仿宋"/>
          <w:color w:val="212121"/>
          <w:kern w:val="0"/>
          <w:sz w:val="32"/>
          <w:szCs w:val="32"/>
          <w:lang w:eastAsia="zh-CN"/>
        </w:rPr>
        <w:t>县</w:t>
      </w:r>
      <w:r>
        <w:rPr>
          <w:rFonts w:hint="eastAsia" w:ascii="仿宋" w:hAnsi="仿宋" w:eastAsia="仿宋" w:cs="仿宋"/>
          <w:color w:val="212121"/>
          <w:kern w:val="0"/>
          <w:sz w:val="32"/>
          <w:szCs w:val="32"/>
        </w:rPr>
        <w:t>计生协</w:t>
      </w:r>
      <w:r>
        <w:rPr>
          <w:rFonts w:hint="eastAsia" w:ascii="仿宋" w:hAnsi="仿宋" w:eastAsia="仿宋" w:cs="仿宋"/>
          <w:color w:val="212121"/>
          <w:kern w:val="0"/>
          <w:sz w:val="32"/>
          <w:szCs w:val="32"/>
          <w:lang w:eastAsia="zh-CN"/>
        </w:rPr>
        <w:t>现有</w:t>
      </w:r>
      <w:r>
        <w:rPr>
          <w:rFonts w:hint="eastAsia" w:ascii="仿宋" w:hAnsi="仿宋" w:eastAsia="仿宋" w:cs="仿宋"/>
          <w:color w:val="212121"/>
          <w:kern w:val="0"/>
          <w:sz w:val="32"/>
          <w:szCs w:val="32"/>
        </w:rPr>
        <w:t>参公事业编</w:t>
      </w:r>
      <w:r>
        <w:rPr>
          <w:rFonts w:hint="eastAsia" w:ascii="仿宋" w:hAnsi="仿宋" w:eastAsia="仿宋" w:cs="仿宋"/>
          <w:color w:val="212121"/>
          <w:kern w:val="0"/>
          <w:sz w:val="32"/>
          <w:szCs w:val="32"/>
          <w:lang w:val="en-US" w:eastAsia="zh-CN"/>
        </w:rPr>
        <w:t>7</w:t>
      </w:r>
      <w:r>
        <w:rPr>
          <w:rFonts w:hint="eastAsia" w:ascii="仿宋" w:hAnsi="仿宋" w:eastAsia="仿宋" w:cs="仿宋"/>
          <w:color w:val="212121"/>
          <w:kern w:val="0"/>
          <w:sz w:val="32"/>
          <w:szCs w:val="32"/>
        </w:rPr>
        <w:t>人，在职干部职工</w:t>
      </w:r>
      <w:r>
        <w:rPr>
          <w:rFonts w:hint="eastAsia" w:ascii="仿宋" w:hAnsi="仿宋" w:eastAsia="仿宋" w:cs="仿宋"/>
          <w:color w:val="212121"/>
          <w:kern w:val="0"/>
          <w:sz w:val="32"/>
          <w:szCs w:val="32"/>
          <w:lang w:val="en-US" w:eastAsia="zh-CN"/>
        </w:rPr>
        <w:t>6</w:t>
      </w:r>
      <w:r>
        <w:rPr>
          <w:rFonts w:hint="eastAsia" w:ascii="仿宋" w:hAnsi="仿宋" w:eastAsia="仿宋" w:cs="仿宋"/>
          <w:color w:val="212121"/>
          <w:kern w:val="0"/>
          <w:sz w:val="32"/>
          <w:szCs w:val="32"/>
        </w:rPr>
        <w:t>人</w:t>
      </w:r>
      <w:r>
        <w:rPr>
          <w:rFonts w:hint="eastAsia" w:ascii="仿宋" w:hAnsi="仿宋" w:eastAsia="仿宋" w:cs="仿宋"/>
          <w:color w:val="212121"/>
          <w:kern w:val="0"/>
          <w:sz w:val="32"/>
          <w:szCs w:val="32"/>
          <w:lang w:eastAsia="zh-CN"/>
        </w:rPr>
        <w:t>，</w:t>
      </w:r>
      <w:r>
        <w:rPr>
          <w:rFonts w:hint="eastAsia" w:ascii="仿宋" w:hAnsi="仿宋" w:eastAsia="仿宋" w:cs="仿宋"/>
          <w:color w:val="212121"/>
          <w:kern w:val="0"/>
          <w:sz w:val="32"/>
          <w:szCs w:val="32"/>
          <w:lang w:val="en-US" w:eastAsia="zh-CN"/>
        </w:rPr>
        <w:t>本年度外调1人。</w:t>
      </w:r>
    </w:p>
    <w:p>
      <w:pPr>
        <w:widowControl/>
        <w:numPr>
          <w:ilvl w:val="0"/>
          <w:numId w:val="0"/>
        </w:numPr>
        <w:shd w:val="clear" w:color="auto" w:fill="FFFFFF"/>
        <w:spacing w:line="315" w:lineRule="atLeast"/>
        <w:rPr>
          <w:rFonts w:hint="eastAsia" w:ascii="楷体" w:hAnsi="楷体" w:eastAsia="楷体" w:cs="楷体"/>
          <w:b/>
          <w:bCs/>
          <w:color w:val="auto"/>
          <w:kern w:val="0"/>
          <w:sz w:val="32"/>
          <w:szCs w:val="32"/>
          <w:lang w:val="en-US" w:eastAsia="zh-CN" w:bidi="ar-SA"/>
        </w:rPr>
      </w:pPr>
      <w:r>
        <w:rPr>
          <w:rFonts w:hint="eastAsia" w:ascii="楷体" w:hAnsi="楷体" w:eastAsia="楷体" w:cs="楷体"/>
          <w:b/>
          <w:bCs/>
          <w:color w:val="auto"/>
          <w:kern w:val="0"/>
          <w:sz w:val="32"/>
          <w:szCs w:val="32"/>
          <w:lang w:val="en-US" w:eastAsia="zh-CN" w:bidi="ar-SA"/>
        </w:rPr>
        <w:t>　　（三）辰溪县计生协2022年度重点工作</w:t>
      </w:r>
    </w:p>
    <w:p>
      <w:pPr>
        <w:widowControl/>
        <w:numPr>
          <w:ilvl w:val="0"/>
          <w:numId w:val="0"/>
        </w:numPr>
        <w:shd w:val="clear" w:color="auto" w:fill="FFFFFF"/>
        <w:spacing w:line="315" w:lineRule="atLeas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rPr>
        <w:t>加强党对计生协的领导</w:t>
      </w:r>
      <w:r>
        <w:rPr>
          <w:rFonts w:hint="eastAsia" w:ascii="仿宋" w:hAnsi="仿宋" w:eastAsia="仿宋" w:cs="仿宋"/>
          <w:b/>
          <w:bCs/>
          <w:sz w:val="32"/>
          <w:szCs w:val="32"/>
          <w:lang w:eastAsia="zh-CN"/>
        </w:rPr>
        <w:t>。</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各级计生协</w:t>
      </w:r>
      <w:r>
        <w:rPr>
          <w:rFonts w:hint="eastAsia" w:ascii="仿宋" w:hAnsi="仿宋" w:eastAsia="仿宋" w:cs="仿宋"/>
          <w:sz w:val="32"/>
          <w:szCs w:val="32"/>
          <w:lang w:eastAsia="zh-CN"/>
        </w:rPr>
        <w:t>要</w:t>
      </w:r>
      <w:r>
        <w:rPr>
          <w:rFonts w:hint="eastAsia" w:ascii="仿宋" w:hAnsi="仿宋" w:eastAsia="仿宋" w:cs="仿宋"/>
          <w:sz w:val="32"/>
          <w:szCs w:val="32"/>
        </w:rPr>
        <w:t>认真落实习近平总书记在中国计生协第八次全国会员代表大会上的重要指示精神，切实做好“六项重点工作”。进一步争取党委政府加强对计生协工作的领导，争取县卫生健康局党委重视支持，将计生协工作纳入党的群团组织建设和卫生健康工作总体规划，建立计生协工作的专题会议制度。</w:t>
      </w:r>
    </w:p>
    <w:p>
      <w:pPr>
        <w:numPr>
          <w:ilvl w:val="0"/>
          <w:numId w:val="0"/>
        </w:numPr>
        <w:autoSpaceDE w:val="0"/>
        <w:spacing w:line="580" w:lineRule="exac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加快推进我县计生协改革落地</w:t>
      </w:r>
      <w:r>
        <w:rPr>
          <w:rFonts w:hint="eastAsia" w:ascii="仿宋" w:hAnsi="仿宋" w:eastAsia="仿宋" w:cs="仿宋"/>
          <w:b/>
          <w:bCs/>
          <w:sz w:val="32"/>
          <w:szCs w:val="32"/>
          <w:lang w:eastAsia="zh-CN"/>
        </w:rPr>
        <w:t>。</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全面贯彻落实省、市计生协改革方案，推动计生协改革任务落地落实，，优化职责职能，建立健全管理体制和运行机制，县计生协</w:t>
      </w:r>
      <w:r>
        <w:rPr>
          <w:rFonts w:hint="eastAsia" w:ascii="仿宋" w:hAnsi="仿宋" w:eastAsia="仿宋" w:cs="仿宋"/>
          <w:sz w:val="32"/>
          <w:szCs w:val="32"/>
          <w:lang w:eastAsia="zh-CN"/>
        </w:rPr>
        <w:t>在</w:t>
      </w:r>
      <w:r>
        <w:rPr>
          <w:rFonts w:hint="eastAsia" w:ascii="仿宋" w:hAnsi="仿宋" w:eastAsia="仿宋" w:cs="仿宋"/>
          <w:sz w:val="32"/>
          <w:szCs w:val="32"/>
        </w:rPr>
        <w:t>2022年4月底前出台改革方案。选优配强计生协领导班子，建强理事队伍、志愿者队伍和会员队伍。继续扩大计生协在学校、医院、企业、两新组织等的组织覆盖和工作覆盖，切实为计生群众和婚育家庭做好宣传服务工作。加强各级能力建设，定期开展培训，提高队伍素质。</w:t>
      </w:r>
    </w:p>
    <w:p>
      <w:pPr>
        <w:numPr>
          <w:ilvl w:val="0"/>
          <w:numId w:val="0"/>
        </w:numPr>
        <w:autoSpaceDE w:val="0"/>
        <w:spacing w:line="580" w:lineRule="exac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助力常态化疫情防控</w:t>
      </w:r>
      <w:r>
        <w:rPr>
          <w:rFonts w:hint="eastAsia" w:ascii="仿宋" w:hAnsi="仿宋" w:eastAsia="仿宋" w:cs="仿宋"/>
          <w:b/>
          <w:bCs/>
          <w:sz w:val="32"/>
          <w:szCs w:val="32"/>
          <w:lang w:eastAsia="zh-CN"/>
        </w:rPr>
        <w:t>。</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把常态化疫情防控作为一项重要政治任务，协助党委、政府和卫健部门，继续组织动员广大计生协会员主动落实各项防控措施，以村（社区网格）为单位建立会员微信宣传服务群，加强防疫健康知识宣传和工作调配部署，构筑群防群治坚固防线，推动“外防输入、内防反弹”、“动态清零”的防控策略落地见效。</w:t>
      </w:r>
    </w:p>
    <w:p>
      <w:pPr>
        <w:numPr>
          <w:ilvl w:val="0"/>
          <w:numId w:val="0"/>
        </w:numPr>
        <w:autoSpaceDE w:val="0"/>
        <w:spacing w:line="580" w:lineRule="exac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积极参与健康辰溪建设</w:t>
      </w:r>
      <w:r>
        <w:rPr>
          <w:rFonts w:hint="eastAsia" w:ascii="仿宋" w:hAnsi="仿宋" w:eastAsia="仿宋" w:cs="仿宋"/>
          <w:b/>
          <w:bCs/>
          <w:sz w:val="32"/>
          <w:szCs w:val="32"/>
          <w:lang w:eastAsia="zh-CN"/>
        </w:rPr>
        <w:t>。</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深入开展家庭健康促进行动，加强健康知识宣传，发挥基层计生协工作者、骨干会员、志愿者作用，做群众身边的健康指导员。进一步抓好县卫健委、县农业农村局、县计生协印发《服务乡村振兴促进家庭健康行动的实施方案》落实，加强部门协同合作，整合资源力量。扎实推进青春健康教育工作，继续开展青春健康教育服务进学校、进企业、进家庭、进社区、进乡村活动，继续加强与各部门的协作，建立青春健康教育基地。</w:t>
      </w:r>
    </w:p>
    <w:p>
      <w:pPr>
        <w:numPr>
          <w:ilvl w:val="0"/>
          <w:numId w:val="1"/>
        </w:numPr>
        <w:autoSpaceDE w:val="0"/>
        <w:spacing w:line="580" w:lineRule="exac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rPr>
        <w:t>深入开展生育关怀行动</w:t>
      </w:r>
      <w:r>
        <w:rPr>
          <w:rFonts w:hint="eastAsia" w:ascii="仿宋" w:hAnsi="仿宋" w:eastAsia="仿宋" w:cs="仿宋"/>
          <w:b/>
          <w:bCs/>
          <w:sz w:val="32"/>
          <w:szCs w:val="32"/>
          <w:lang w:eastAsia="zh-CN"/>
        </w:rPr>
        <w:t>。</w:t>
      </w:r>
    </w:p>
    <w:p>
      <w:pPr>
        <w:numPr>
          <w:ilvl w:val="0"/>
          <w:numId w:val="0"/>
        </w:numPr>
        <w:autoSpaceDE w:val="0"/>
        <w:spacing w:line="580" w:lineRule="exact"/>
        <w:rPr>
          <w:rFonts w:hint="eastAsia" w:ascii="仿宋" w:hAnsi="仿宋" w:eastAsia="仿宋" w:cs="仿宋"/>
          <w:sz w:val="32"/>
          <w:szCs w:val="32"/>
        </w:rPr>
      </w:pPr>
      <w:r>
        <w:rPr>
          <w:rFonts w:hint="eastAsia" w:ascii="仿宋" w:hAnsi="仿宋" w:eastAsia="仿宋" w:cs="仿宋"/>
          <w:sz w:val="32"/>
          <w:szCs w:val="32"/>
          <w:lang w:eastAsia="zh-CN"/>
        </w:rPr>
        <w:t>　　</w:t>
      </w:r>
      <w:r>
        <w:rPr>
          <w:rFonts w:hint="eastAsia" w:ascii="仿宋" w:hAnsi="仿宋" w:eastAsia="仿宋" w:cs="仿宋"/>
          <w:sz w:val="32"/>
          <w:szCs w:val="32"/>
        </w:rPr>
        <w:t>聚焦计生特殊家庭帮扶，全面落实“精神慰藉、走访慰问、志愿服务、保险保障”四项制度，推动落实双岗联系人、就医绿色通道、家庭医生签约“三个全覆盖”，推进计生特殊家庭帮扶工作常态化、制度化、规范化。要建设一个县级“暖心家园”项目点，做到管理规范化、服务常态化、工作精细化。认真实施好省级计生特殊家庭住院护理补贴、健康保险，计生“三结合”，创业贷款贴息等项目。完善全县计生协项目库，加强项目资金监督管理，严格落实惠民项目资金“一卡通”制度。加大计生家庭保险倡导和服务力度，切实增强计生家庭抵御风险能力。积极组织开展全县卫生健康系统“小善举·大爱心”活动。</w:t>
      </w:r>
    </w:p>
    <w:p>
      <w:pPr>
        <w:autoSpaceDE w:val="0"/>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6、</w:t>
      </w:r>
      <w:r>
        <w:rPr>
          <w:rFonts w:hint="eastAsia" w:ascii="仿宋" w:hAnsi="仿宋" w:eastAsia="仿宋" w:cs="仿宋"/>
          <w:b/>
          <w:bCs/>
          <w:sz w:val="32"/>
          <w:szCs w:val="32"/>
        </w:rPr>
        <w:t>大力开展优生优育指导</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广泛开展“优生优育进万家”活动。争取上级计生协“向日葵”计划项目，扩大农村婴幼儿早期发展服务。开展婴幼儿照护服务宣传教育、社会监督工作，鼓励有条件的地方建设托育服务示范项目点。在上级计生协指导下推动开展“疫苗卫士保障计划”、“分娩无忧保障计划”等保险赠送活动。</w:t>
      </w:r>
    </w:p>
    <w:p>
      <w:pPr>
        <w:numPr>
          <w:ilvl w:val="0"/>
          <w:numId w:val="0"/>
        </w:numPr>
        <w:autoSpaceDE w:val="0"/>
        <w:spacing w:line="580" w:lineRule="exact"/>
        <w:ind w:left="640" w:leftChars="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积极参与社会治理</w:t>
      </w:r>
      <w:r>
        <w:rPr>
          <w:rFonts w:hint="eastAsia" w:ascii="仿宋" w:hAnsi="仿宋" w:eastAsia="仿宋" w:cs="仿宋"/>
          <w:b/>
          <w:bCs/>
          <w:sz w:val="32"/>
          <w:szCs w:val="32"/>
          <w:lang w:eastAsia="zh-CN"/>
        </w:rPr>
        <w:t>。</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继续贯彻落实《湖南省计划生育基层群众自治指导意见》和《示范创建工作实施方案》，完善村规民约，开展基层计生群众自治争先创优活动。加强党建引领群建，积极参与和推广“幸福基金”和积分管理等新机制，不断创新基层群众自治方式。鼓励各地探索“行业+协会”“单位+协会”“支部+协会”等工作模式，拓展新职能。</w:t>
      </w:r>
    </w:p>
    <w:p>
      <w:pPr>
        <w:autoSpaceDE w:val="0"/>
        <w:spacing w:line="580" w:lineRule="exact"/>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8</w:t>
      </w:r>
      <w:r>
        <w:rPr>
          <w:rFonts w:hint="eastAsia" w:ascii="仿宋" w:hAnsi="仿宋" w:eastAsia="仿宋" w:cs="仿宋"/>
          <w:b/>
          <w:bCs/>
          <w:sz w:val="32"/>
          <w:szCs w:val="32"/>
        </w:rPr>
        <w:t>、切实加强宣传倡导</w:t>
      </w:r>
      <w:r>
        <w:rPr>
          <w:rFonts w:hint="eastAsia" w:ascii="仿宋" w:hAnsi="仿宋" w:eastAsia="仿宋" w:cs="仿宋"/>
          <w:b/>
          <w:bCs/>
          <w:sz w:val="32"/>
          <w:szCs w:val="32"/>
          <w:lang w:eastAsia="zh-CN"/>
        </w:rPr>
        <w:t>。</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大力宣传中共中央、国务院《关于优化生育政策促进人口长期均衡发展的决定》和新修订《中华人民共和国人口与计划生育法》《湖南省人口与计划生育工作条例》等政策法规，倡导新型婚育观念，助力构建生育友好型社会，鼓励育龄群众按政策生育三孩。大力开展“5.29”主题宣传服务月等活动。发挥“会员之家”作用，加强宣传服务队伍和阵地建设，建立计生协宣传员队伍。开展“健康幸福家庭”“协会先进个人”“优秀协会志愿者”等评选表彰活动。发挥会刊作用，持续开展“学《人生》、用《人生》”活动。</w:t>
      </w:r>
    </w:p>
    <w:p>
      <w:pPr>
        <w:adjustRightInd w:val="0"/>
        <w:snapToGrid w:val="0"/>
        <w:spacing w:line="540" w:lineRule="atLeast"/>
        <w:ind w:firstLine="640" w:firstLineChars="200"/>
        <w:rPr>
          <w:rFonts w:hint="eastAsia" w:ascii="黑体" w:hAnsi="黑体" w:eastAsia="黑体" w:cs="黑体"/>
          <w:color w:val="212121"/>
          <w:kern w:val="0"/>
          <w:sz w:val="32"/>
          <w:szCs w:val="32"/>
        </w:rPr>
      </w:pPr>
      <w:r>
        <w:rPr>
          <w:rFonts w:hint="eastAsia" w:ascii="黑体" w:hAnsi="黑体" w:eastAsia="黑体" w:cs="黑体"/>
          <w:color w:val="212121"/>
          <w:kern w:val="0"/>
          <w:sz w:val="32"/>
          <w:szCs w:val="32"/>
        </w:rPr>
        <w:t>二、部门整体支出管理及使用情况</w:t>
      </w:r>
    </w:p>
    <w:p>
      <w:pPr>
        <w:widowControl/>
        <w:numPr>
          <w:ilvl w:val="0"/>
          <w:numId w:val="0"/>
        </w:numPr>
        <w:shd w:val="clear" w:color="auto" w:fill="FFFFFF"/>
        <w:spacing w:line="315" w:lineRule="atLeast"/>
        <w:ind w:firstLine="643" w:firstLineChars="200"/>
        <w:jc w:val="left"/>
        <w:rPr>
          <w:rFonts w:hint="eastAsia" w:ascii="楷体" w:hAnsi="楷体" w:eastAsia="楷体" w:cs="楷体"/>
          <w:b/>
          <w:bCs/>
          <w:color w:val="212121"/>
          <w:spacing w:val="6"/>
          <w:kern w:val="0"/>
          <w:sz w:val="32"/>
          <w:szCs w:val="32"/>
          <w:lang w:eastAsia="zh-CN"/>
        </w:rPr>
      </w:pPr>
      <w:r>
        <w:rPr>
          <w:rFonts w:hint="eastAsia" w:ascii="楷体" w:hAnsi="楷体" w:eastAsia="楷体" w:cs="楷体"/>
          <w:b/>
          <w:bCs/>
          <w:color w:val="212121"/>
          <w:kern w:val="0"/>
          <w:sz w:val="32"/>
          <w:szCs w:val="32"/>
          <w:lang w:eastAsia="zh-CN"/>
        </w:rPr>
        <w:t>（一）</w:t>
      </w:r>
      <w:r>
        <w:rPr>
          <w:rFonts w:hint="eastAsia" w:ascii="楷体" w:hAnsi="楷体" w:eastAsia="楷体" w:cs="楷体"/>
          <w:b/>
          <w:bCs/>
          <w:color w:val="212121"/>
          <w:spacing w:val="6"/>
          <w:kern w:val="0"/>
          <w:sz w:val="32"/>
          <w:szCs w:val="32"/>
        </w:rPr>
        <w:t>部门年度整体收支情况</w:t>
      </w:r>
    </w:p>
    <w:p>
      <w:pPr>
        <w:autoSpaceDE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22</w:t>
      </w:r>
      <w:r>
        <w:rPr>
          <w:rFonts w:hint="eastAsia" w:ascii="仿宋" w:hAnsi="仿宋" w:eastAsia="仿宋" w:cs="仿宋"/>
          <w:sz w:val="32"/>
          <w:szCs w:val="32"/>
        </w:rPr>
        <w:t>年总收入</w:t>
      </w:r>
      <w:r>
        <w:rPr>
          <w:rFonts w:hint="eastAsia" w:ascii="仿宋" w:hAnsi="仿宋" w:eastAsia="仿宋" w:cs="仿宋"/>
          <w:sz w:val="32"/>
          <w:szCs w:val="32"/>
          <w:lang w:val="en-US" w:eastAsia="zh-CN"/>
        </w:rPr>
        <w:t>132.42</w:t>
      </w:r>
      <w:r>
        <w:rPr>
          <w:rFonts w:hint="eastAsia" w:ascii="仿宋" w:hAnsi="仿宋" w:eastAsia="仿宋" w:cs="仿宋"/>
          <w:sz w:val="32"/>
          <w:szCs w:val="32"/>
        </w:rPr>
        <w:t>万元，其中财政拨入</w:t>
      </w:r>
      <w:r>
        <w:rPr>
          <w:rFonts w:hint="eastAsia" w:ascii="仿宋" w:hAnsi="仿宋" w:eastAsia="仿宋" w:cs="仿宋"/>
          <w:sz w:val="32"/>
          <w:szCs w:val="32"/>
          <w:lang w:val="en-US" w:eastAsia="zh-CN"/>
        </w:rPr>
        <w:t>132.42</w:t>
      </w:r>
      <w:r>
        <w:rPr>
          <w:rFonts w:hint="eastAsia" w:ascii="仿宋" w:hAnsi="仿宋" w:eastAsia="仿宋" w:cs="仿宋"/>
          <w:sz w:val="32"/>
          <w:szCs w:val="32"/>
        </w:rPr>
        <w:t>万元，年初结转结余</w:t>
      </w:r>
      <w:r>
        <w:rPr>
          <w:rFonts w:hint="eastAsia" w:ascii="仿宋" w:hAnsi="仿宋" w:eastAsia="仿宋" w:cs="仿宋"/>
          <w:sz w:val="32"/>
          <w:szCs w:val="32"/>
          <w:lang w:val="en-US" w:eastAsia="zh-CN"/>
        </w:rPr>
        <w:t>4.83</w:t>
      </w:r>
      <w:r>
        <w:rPr>
          <w:rFonts w:hint="eastAsia" w:ascii="仿宋" w:hAnsi="仿宋" w:eastAsia="仿宋" w:cs="仿宋"/>
          <w:sz w:val="32"/>
          <w:szCs w:val="32"/>
        </w:rPr>
        <w:t>万元。基本支出</w:t>
      </w:r>
      <w:r>
        <w:rPr>
          <w:rFonts w:hint="eastAsia" w:ascii="仿宋" w:hAnsi="仿宋" w:eastAsia="仿宋" w:cs="仿宋"/>
          <w:sz w:val="32"/>
          <w:szCs w:val="32"/>
          <w:lang w:val="en-US" w:eastAsia="zh-CN"/>
        </w:rPr>
        <w:t>137.25</w:t>
      </w:r>
      <w:r>
        <w:rPr>
          <w:rFonts w:hint="eastAsia" w:ascii="仿宋" w:hAnsi="仿宋" w:eastAsia="仿宋" w:cs="仿宋"/>
          <w:sz w:val="32"/>
          <w:szCs w:val="32"/>
        </w:rPr>
        <w:t>万元，其中其中：人员经费</w:t>
      </w:r>
      <w:r>
        <w:rPr>
          <w:rFonts w:hint="eastAsia" w:ascii="仿宋" w:hAnsi="仿宋" w:eastAsia="仿宋" w:cs="仿宋"/>
          <w:sz w:val="32"/>
          <w:szCs w:val="32"/>
          <w:lang w:val="en-US" w:eastAsia="zh-CN"/>
        </w:rPr>
        <w:t>85.39</w:t>
      </w:r>
      <w:r>
        <w:rPr>
          <w:rFonts w:hint="eastAsia" w:ascii="仿宋" w:hAnsi="仿宋" w:eastAsia="仿宋" w:cs="仿宋"/>
          <w:sz w:val="32"/>
          <w:szCs w:val="32"/>
        </w:rPr>
        <w:t>万元，占基本支出的</w:t>
      </w:r>
      <w:r>
        <w:rPr>
          <w:rFonts w:hint="eastAsia" w:ascii="仿宋" w:hAnsi="仿宋" w:eastAsia="仿宋" w:cs="仿宋"/>
          <w:sz w:val="32"/>
          <w:szCs w:val="32"/>
          <w:lang w:val="en-US" w:eastAsia="zh-CN"/>
        </w:rPr>
        <w:t>62.21</w:t>
      </w:r>
      <w:r>
        <w:rPr>
          <w:rFonts w:hint="eastAsia" w:ascii="仿宋" w:hAnsi="仿宋" w:eastAsia="仿宋" w:cs="仿宋"/>
          <w:sz w:val="32"/>
          <w:szCs w:val="32"/>
        </w:rPr>
        <w:t>%,主要包括基本工资、津贴补贴、奖金、伙食补助费</w:t>
      </w:r>
      <w:r>
        <w:rPr>
          <w:rFonts w:hint="eastAsia" w:ascii="仿宋" w:hAnsi="仿宋" w:eastAsia="仿宋" w:cs="仿宋"/>
          <w:sz w:val="32"/>
          <w:szCs w:val="32"/>
          <w:lang w:eastAsia="zh-CN"/>
        </w:rPr>
        <w:t>、其他对个人和家庭的补助</w:t>
      </w:r>
      <w:r>
        <w:rPr>
          <w:rFonts w:hint="eastAsia" w:ascii="仿宋" w:hAnsi="仿宋" w:eastAsia="仿宋" w:cs="仿宋"/>
          <w:sz w:val="32"/>
          <w:szCs w:val="32"/>
          <w:lang w:val="en-US" w:eastAsia="zh-CN"/>
        </w:rPr>
        <w:t>等</w:t>
      </w:r>
      <w:r>
        <w:rPr>
          <w:rFonts w:hint="eastAsia" w:ascii="仿宋" w:hAnsi="仿宋" w:eastAsia="仿宋" w:cs="仿宋"/>
          <w:sz w:val="32"/>
          <w:szCs w:val="32"/>
        </w:rPr>
        <w:t>；公用经费</w:t>
      </w:r>
      <w:r>
        <w:rPr>
          <w:rFonts w:hint="eastAsia" w:ascii="仿宋" w:hAnsi="仿宋" w:eastAsia="仿宋" w:cs="仿宋"/>
          <w:sz w:val="32"/>
          <w:szCs w:val="32"/>
          <w:lang w:val="en-US" w:eastAsia="zh-CN"/>
        </w:rPr>
        <w:t>51.86</w:t>
      </w:r>
      <w:r>
        <w:rPr>
          <w:rFonts w:hint="eastAsia" w:ascii="仿宋" w:hAnsi="仿宋" w:eastAsia="仿宋" w:cs="仿宋"/>
          <w:sz w:val="32"/>
          <w:szCs w:val="32"/>
        </w:rPr>
        <w:t>万元，占基本支出的</w:t>
      </w:r>
      <w:r>
        <w:rPr>
          <w:rFonts w:hint="eastAsia" w:ascii="仿宋" w:hAnsi="仿宋" w:eastAsia="仿宋" w:cs="仿宋"/>
          <w:sz w:val="32"/>
          <w:szCs w:val="32"/>
          <w:lang w:val="en-US" w:eastAsia="zh-CN"/>
        </w:rPr>
        <w:t>37.79</w:t>
      </w:r>
      <w:r>
        <w:rPr>
          <w:rFonts w:hint="eastAsia" w:ascii="仿宋" w:hAnsi="仿宋" w:eastAsia="仿宋" w:cs="仿宋"/>
          <w:sz w:val="32"/>
          <w:szCs w:val="32"/>
        </w:rPr>
        <w:t>%，主要包括办公费、印刷费、咨询费、手续费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工会经费等</w:t>
      </w:r>
      <w:r>
        <w:rPr>
          <w:rFonts w:hint="eastAsia" w:ascii="仿宋" w:hAnsi="仿宋" w:eastAsia="仿宋" w:cs="仿宋"/>
          <w:sz w:val="32"/>
          <w:szCs w:val="32"/>
        </w:rPr>
        <w:t>。20</w:t>
      </w:r>
      <w:r>
        <w:rPr>
          <w:rFonts w:hint="eastAsia" w:ascii="仿宋" w:hAnsi="仿宋" w:eastAsia="仿宋" w:cs="仿宋"/>
          <w:sz w:val="32"/>
          <w:szCs w:val="32"/>
          <w:lang w:val="en-US" w:eastAsia="zh-CN"/>
        </w:rPr>
        <w:t>22</w:t>
      </w:r>
      <w:r>
        <w:rPr>
          <w:rFonts w:hint="eastAsia" w:ascii="仿宋" w:hAnsi="仿宋" w:eastAsia="仿宋" w:cs="仿宋"/>
          <w:sz w:val="32"/>
          <w:szCs w:val="32"/>
        </w:rPr>
        <w:t>年末结余</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widowControl/>
        <w:numPr>
          <w:ilvl w:val="0"/>
          <w:numId w:val="0"/>
        </w:numPr>
        <w:shd w:val="clear" w:color="auto" w:fill="FFFFFF"/>
        <w:spacing w:line="315" w:lineRule="atLeast"/>
        <w:jc w:val="left"/>
        <w:rPr>
          <w:rFonts w:hint="eastAsia" w:ascii="楷体" w:hAnsi="楷体" w:eastAsia="楷体" w:cs="楷体"/>
          <w:color w:val="auto"/>
          <w:spacing w:val="-2"/>
          <w:sz w:val="32"/>
          <w:szCs w:val="32"/>
          <w:lang w:val="en-US" w:eastAsia="zh-CN"/>
        </w:rPr>
      </w:pPr>
      <w:r>
        <w:rPr>
          <w:rFonts w:hint="eastAsia" w:ascii="楷体" w:hAnsi="楷体" w:eastAsia="楷体" w:cs="楷体"/>
          <w:b/>
          <w:bCs/>
          <w:color w:val="auto"/>
          <w:spacing w:val="6"/>
          <w:kern w:val="0"/>
          <w:sz w:val="32"/>
          <w:szCs w:val="32"/>
          <w:lang w:eastAsia="zh-CN"/>
        </w:rPr>
        <w:t>　　（二）专项支出</w:t>
      </w:r>
    </w:p>
    <w:p>
      <w:pPr>
        <w:widowControl/>
        <w:numPr>
          <w:ilvl w:val="0"/>
          <w:numId w:val="0"/>
        </w:numPr>
        <w:shd w:val="clear" w:color="auto" w:fill="FFFFFF"/>
        <w:spacing w:line="315" w:lineRule="atLeast"/>
        <w:ind w:firstLine="632"/>
        <w:jc w:val="left"/>
        <w:rPr>
          <w:rFonts w:hint="eastAsia" w:ascii="仿宋" w:hAnsi="仿宋" w:eastAsia="仿宋" w:cs="仿宋"/>
          <w:b/>
          <w:bCs/>
          <w:color w:val="auto"/>
          <w:spacing w:val="-2"/>
          <w:sz w:val="32"/>
          <w:szCs w:val="32"/>
          <w:lang w:eastAsia="zh-CN"/>
        </w:rPr>
      </w:pPr>
      <w:r>
        <w:rPr>
          <w:rFonts w:hint="eastAsia" w:ascii="仿宋" w:hAnsi="仿宋" w:eastAsia="仿宋" w:cs="仿宋"/>
          <w:b/>
          <w:bCs/>
          <w:color w:val="auto"/>
          <w:spacing w:val="-2"/>
          <w:sz w:val="32"/>
          <w:szCs w:val="32"/>
          <w:lang w:val="en-US" w:eastAsia="zh-CN"/>
        </w:rPr>
        <w:t>1、</w:t>
      </w:r>
      <w:r>
        <w:rPr>
          <w:rFonts w:hint="eastAsia" w:ascii="仿宋" w:hAnsi="仿宋" w:eastAsia="仿宋" w:cs="仿宋"/>
          <w:b/>
          <w:bCs/>
          <w:color w:val="auto"/>
          <w:spacing w:val="-2"/>
          <w:sz w:val="32"/>
          <w:szCs w:val="32"/>
        </w:rPr>
        <w:t>专项资金（包括财政资金、自筹资金等）安排落实、总投入等情况分析</w:t>
      </w:r>
      <w:r>
        <w:rPr>
          <w:rFonts w:hint="eastAsia" w:ascii="仿宋" w:hAnsi="仿宋" w:eastAsia="仿宋" w:cs="仿宋"/>
          <w:b/>
          <w:bCs/>
          <w:color w:val="auto"/>
          <w:spacing w:val="-2"/>
          <w:sz w:val="32"/>
          <w:szCs w:val="32"/>
          <w:lang w:eastAsia="zh-CN"/>
        </w:rPr>
        <w:t>。</w:t>
      </w:r>
    </w:p>
    <w:p>
      <w:pPr>
        <w:widowControl/>
        <w:numPr>
          <w:ilvl w:val="0"/>
          <w:numId w:val="0"/>
        </w:numPr>
        <w:shd w:val="clear" w:color="auto" w:fill="FFFFFF"/>
        <w:spacing w:line="315" w:lineRule="atLeast"/>
        <w:ind w:firstLine="632"/>
        <w:jc w:val="left"/>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val="en-US" w:eastAsia="zh-CN"/>
        </w:rPr>
        <w:t>2022年县财政安排计生协专项资金有：宣传教育培训经费7万元，生育关怀行动经费14万元。财政安排落实宣传教育培训经费7万元，生育关怀行动经费14万元。</w:t>
      </w:r>
    </w:p>
    <w:p>
      <w:pPr>
        <w:widowControl/>
        <w:shd w:val="clear" w:color="auto" w:fill="FFFFFF"/>
        <w:spacing w:line="600" w:lineRule="atLeast"/>
        <w:ind w:firstLine="640"/>
        <w:rPr>
          <w:rFonts w:hint="eastAsia" w:ascii="仿宋" w:hAnsi="仿宋" w:eastAsia="仿宋" w:cs="仿宋"/>
          <w:b/>
          <w:bCs/>
          <w:color w:val="auto"/>
          <w:spacing w:val="-2"/>
          <w:sz w:val="32"/>
          <w:szCs w:val="32"/>
        </w:rPr>
      </w:pPr>
      <w:r>
        <w:rPr>
          <w:rFonts w:hint="eastAsia" w:ascii="仿宋" w:hAnsi="仿宋" w:eastAsia="仿宋" w:cs="仿宋"/>
          <w:b/>
          <w:bCs/>
          <w:color w:val="auto"/>
          <w:spacing w:val="-2"/>
          <w:sz w:val="32"/>
          <w:szCs w:val="32"/>
        </w:rPr>
        <w:t>2、专项资金（主要指财政资金）实际使用情况分析。</w:t>
      </w:r>
    </w:p>
    <w:p>
      <w:pPr>
        <w:widowControl/>
        <w:shd w:val="clear" w:color="auto" w:fill="FFFFFF"/>
        <w:spacing w:line="600" w:lineRule="atLeast"/>
        <w:ind w:firstLine="640"/>
        <w:rPr>
          <w:rFonts w:hint="eastAsia" w:ascii="仿宋" w:hAnsi="仿宋" w:eastAsia="仿宋" w:cs="仿宋"/>
          <w:color w:val="auto"/>
          <w:spacing w:val="-2"/>
          <w:sz w:val="32"/>
          <w:szCs w:val="32"/>
          <w:lang w:val="en-US" w:eastAsia="zh-CN"/>
        </w:rPr>
      </w:pPr>
      <w:r>
        <w:rPr>
          <w:rFonts w:hint="eastAsia" w:ascii="仿宋" w:hAnsi="仿宋" w:eastAsia="仿宋" w:cs="仿宋"/>
          <w:color w:val="auto"/>
          <w:spacing w:val="-2"/>
          <w:sz w:val="32"/>
          <w:szCs w:val="32"/>
          <w:lang w:val="en-US" w:eastAsia="zh-CN"/>
        </w:rPr>
        <w:t>2022年县财政下拨宣传教育培训经费7万元，实际使用7万元。主要用于落实计生协的“宣传、带头、服务、监督、交流”职能，引导群众实行优生优育、鼓励生育，开展家庭健康教育服务，普及群众健康生活，对各级计生协和育龄人群进行教育培训。一是开展各类宣传活动，开展“5.29会员活动日”、“7.11世界人口日”等宣传活动,完成至少4场大型宣传活动 ；二是开展计生协会能力建设培训，对乡村干部、乡村计生协会人员进行业务培训，增强基层协会业务水平和工作能力；三是强化流动人口计生协组织建设,建设2个流动人口协会组织。</w:t>
      </w:r>
    </w:p>
    <w:p>
      <w:pPr>
        <w:widowControl/>
        <w:shd w:val="clear" w:color="auto" w:fill="FFFFFF"/>
        <w:spacing w:line="600" w:lineRule="atLeast"/>
        <w:ind w:firstLine="640"/>
        <w:rPr>
          <w:rFonts w:hint="eastAsia" w:ascii="仿宋" w:hAnsi="仿宋" w:eastAsia="仿宋" w:cs="仿宋"/>
          <w:color w:val="auto"/>
          <w:sz w:val="32"/>
          <w:szCs w:val="32"/>
          <w:lang w:val="en-US" w:eastAsia="zh-CN"/>
        </w:rPr>
      </w:pPr>
      <w:r>
        <w:rPr>
          <w:rFonts w:hint="eastAsia" w:ascii="仿宋" w:hAnsi="仿宋" w:eastAsia="仿宋" w:cs="仿宋"/>
          <w:color w:val="auto"/>
          <w:spacing w:val="-2"/>
          <w:sz w:val="32"/>
          <w:szCs w:val="32"/>
          <w:lang w:val="en-US" w:eastAsia="zh-CN"/>
        </w:rPr>
        <w:t>2022年县财政下拨生育关怀经费14万元，实际使用14万元。主要用于关怀计生特殊家庭（失独、独生子女伤残、手术并发症等）、关怀计生困难家庭、关怀育龄群众生殖健康、关怀独生子女、关怀女孩健康成长、关怀基层协会工作者。开展各类生育关怀活动：一是利用节假日上户走访广大计生家庭特别是计生特殊家庭、计生困难家庭开展生育关怀服务；二是利用各类宣传培训活动对广大计生协会会员和计生协会工作者同步开展生育关怀服务。</w:t>
      </w:r>
    </w:p>
    <w:p>
      <w:pPr>
        <w:widowControl/>
        <w:numPr>
          <w:ilvl w:val="0"/>
          <w:numId w:val="2"/>
        </w:numPr>
        <w:shd w:val="clear" w:color="auto" w:fill="FFFFFF"/>
        <w:spacing w:line="600" w:lineRule="atLeast"/>
        <w:ind w:firstLine="640"/>
        <w:rPr>
          <w:rFonts w:hint="eastAsia" w:ascii="仿宋" w:hAnsi="仿宋" w:eastAsia="仿宋" w:cs="仿宋"/>
          <w:b/>
          <w:bCs/>
          <w:color w:val="auto"/>
          <w:spacing w:val="-2"/>
          <w:sz w:val="32"/>
          <w:szCs w:val="32"/>
        </w:rPr>
      </w:pPr>
      <w:r>
        <w:rPr>
          <w:rFonts w:hint="eastAsia" w:ascii="仿宋" w:hAnsi="仿宋" w:eastAsia="仿宋" w:cs="仿宋"/>
          <w:b/>
          <w:bCs/>
          <w:color w:val="auto"/>
          <w:spacing w:val="-2"/>
          <w:sz w:val="32"/>
          <w:szCs w:val="32"/>
        </w:rPr>
        <w:t>专项资金管理情况分析，主要包括管理制度、办法的制订及执行情况。</w:t>
      </w:r>
    </w:p>
    <w:p>
      <w:pPr>
        <w:widowControl/>
        <w:numPr>
          <w:ilvl w:val="0"/>
          <w:numId w:val="0"/>
        </w:numPr>
        <w:shd w:val="clear" w:color="auto" w:fill="FFFFFF"/>
        <w:spacing w:line="600" w:lineRule="atLeast"/>
        <w:rPr>
          <w:rFonts w:hint="eastAsia" w:ascii="仿宋" w:hAnsi="仿宋" w:eastAsia="仿宋" w:cs="仿宋"/>
          <w:sz w:val="32"/>
          <w:szCs w:val="32"/>
        </w:rPr>
      </w:pPr>
      <w:r>
        <w:rPr>
          <w:rFonts w:hint="eastAsia" w:ascii="仿宋" w:hAnsi="仿宋" w:eastAsia="仿宋" w:cs="仿宋"/>
          <w:color w:val="auto"/>
          <w:sz w:val="32"/>
          <w:szCs w:val="32"/>
          <w:lang w:val="en-US" w:eastAsia="zh-CN"/>
        </w:rPr>
        <w:t>　　一是在预算执行方面。严格落实《预算法》和预算管理相关规定，各项支出按照批准的预算审核列支，支出总额控制在预算总额以内，支出的范围和标准符合相关规定。保障了单位的正常运转和工作任务的完成。二是在预算管理方面。部门整体支出基本能有效按照预算要求执行，预算支出范围合理，资金使用正确合理，做到了有预算才有支出。三是在资金管理方面。严格执行国家财经法规和本单位财务管理制度规定</w:t>
      </w:r>
      <w:r>
        <w:rPr>
          <w:rFonts w:hint="eastAsia" w:ascii="仿宋" w:hAnsi="仿宋" w:eastAsia="仿宋" w:cs="仿宋"/>
          <w:sz w:val="32"/>
          <w:szCs w:val="32"/>
          <w:lang w:val="en-US" w:eastAsia="zh-CN"/>
        </w:rPr>
        <w:t>以及有关专项资金管理办法，有计划地安排、使用资金，严格财务审批制度，资金支出有完整的审批程序和手续，保证资金使用合法合规，同时资金使用无截留、挤占、挪用、虚列支出等情况。四是在内部控制方面。认真贯彻落实党中央八项规定和《党政机关厉行节约反对浪费条例》，制定了相应的内部控制制定和管理措施，从严从紧控制公务开支，2022年“三公”经费支出为0。</w:t>
      </w:r>
    </w:p>
    <w:p>
      <w:pPr>
        <w:widowControl/>
        <w:numPr>
          <w:ilvl w:val="0"/>
          <w:numId w:val="0"/>
        </w:numPr>
        <w:shd w:val="clear" w:color="auto" w:fill="FFFFFF"/>
        <w:spacing w:line="315" w:lineRule="atLeas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color w:val="212121"/>
          <w:kern w:val="0"/>
          <w:sz w:val="32"/>
          <w:szCs w:val="32"/>
          <w:lang w:val="en-US" w:eastAsia="zh-CN"/>
        </w:rPr>
        <w:t>三</w:t>
      </w:r>
      <w:r>
        <w:rPr>
          <w:rFonts w:hint="eastAsia" w:ascii="黑体" w:hAnsi="黑体" w:eastAsia="黑体" w:cs="黑体"/>
          <w:b w:val="0"/>
          <w:bCs w:val="0"/>
          <w:color w:val="212121"/>
          <w:kern w:val="0"/>
          <w:sz w:val="32"/>
          <w:szCs w:val="32"/>
        </w:rPr>
        <w:t>、辰溪县计生协整体支出绩效情况</w:t>
      </w:r>
    </w:p>
    <w:p>
      <w:pPr>
        <w:widowControl/>
        <w:shd w:val="clear" w:color="auto" w:fill="FFFFFF"/>
        <w:spacing w:line="315" w:lineRule="atLeast"/>
        <w:ind w:firstLine="640"/>
        <w:jc w:val="left"/>
        <w:rPr>
          <w:rFonts w:hint="eastAsia" w:ascii="楷体" w:hAnsi="楷体" w:eastAsia="楷体" w:cs="楷体"/>
          <w:b/>
          <w:bCs/>
          <w:color w:val="212121"/>
          <w:kern w:val="0"/>
          <w:sz w:val="32"/>
          <w:szCs w:val="32"/>
        </w:rPr>
      </w:pPr>
      <w:r>
        <w:rPr>
          <w:rFonts w:hint="eastAsia" w:ascii="楷体" w:hAnsi="楷体" w:eastAsia="楷体" w:cs="楷体"/>
          <w:b/>
          <w:bCs/>
          <w:color w:val="212121"/>
          <w:kern w:val="0"/>
          <w:sz w:val="32"/>
          <w:szCs w:val="32"/>
          <w:lang w:eastAsia="zh-CN"/>
        </w:rPr>
        <w:t>（一）</w:t>
      </w:r>
      <w:r>
        <w:rPr>
          <w:rFonts w:hint="eastAsia" w:ascii="楷体" w:hAnsi="楷体" w:eastAsia="楷体" w:cs="楷体"/>
          <w:b/>
          <w:bCs/>
          <w:color w:val="212121"/>
          <w:kern w:val="0"/>
          <w:sz w:val="32"/>
          <w:szCs w:val="32"/>
        </w:rPr>
        <w:t>202</w:t>
      </w:r>
      <w:r>
        <w:rPr>
          <w:rFonts w:hint="eastAsia" w:ascii="楷体" w:hAnsi="楷体" w:eastAsia="楷体" w:cs="楷体"/>
          <w:b/>
          <w:bCs/>
          <w:color w:val="212121"/>
          <w:kern w:val="0"/>
          <w:sz w:val="32"/>
          <w:szCs w:val="32"/>
          <w:lang w:val="en-US" w:eastAsia="zh-CN"/>
        </w:rPr>
        <w:t>2</w:t>
      </w:r>
      <w:r>
        <w:rPr>
          <w:rFonts w:hint="eastAsia" w:ascii="楷体" w:hAnsi="楷体" w:eastAsia="楷体" w:cs="楷体"/>
          <w:b/>
          <w:bCs/>
          <w:color w:val="212121"/>
          <w:kern w:val="0"/>
          <w:sz w:val="32"/>
          <w:szCs w:val="32"/>
        </w:rPr>
        <w:t>年辰溪县计生协整体支出绩效目标设定及指标设置情况</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目标1：开展</w:t>
      </w:r>
      <w:r>
        <w:rPr>
          <w:rFonts w:hint="eastAsia" w:ascii="仿宋" w:hAnsi="仿宋" w:eastAsia="仿宋" w:cs="仿宋"/>
          <w:color w:val="212121"/>
          <w:kern w:val="0"/>
          <w:sz w:val="32"/>
          <w:szCs w:val="32"/>
          <w:lang w:eastAsia="zh-CN"/>
        </w:rPr>
        <w:t>各类宣传教育活动，如</w:t>
      </w:r>
      <w:r>
        <w:rPr>
          <w:rFonts w:hint="eastAsia" w:ascii="仿宋" w:hAnsi="仿宋" w:eastAsia="仿宋" w:cs="仿宋"/>
          <w:color w:val="212121"/>
          <w:kern w:val="0"/>
          <w:sz w:val="32"/>
          <w:szCs w:val="32"/>
        </w:rPr>
        <w:t>“5.29会员活动日”、“7.11世界人口日”等宣传活动,完成至少4场大型宣传活动。</w:t>
      </w:r>
    </w:p>
    <w:p>
      <w:pPr>
        <w:widowControl/>
        <w:shd w:val="clear" w:color="auto" w:fill="FFFFFF"/>
        <w:spacing w:line="315" w:lineRule="atLeast"/>
        <w:ind w:firstLine="640"/>
        <w:jc w:val="left"/>
        <w:rPr>
          <w:rFonts w:hint="eastAsia" w:ascii="仿宋" w:hAnsi="仿宋" w:eastAsia="仿宋" w:cs="仿宋"/>
          <w:color w:val="212121"/>
          <w:kern w:val="0"/>
          <w:sz w:val="32"/>
          <w:szCs w:val="32"/>
          <w:lang w:val="en-US" w:eastAsia="zh-CN"/>
        </w:rPr>
      </w:pPr>
      <w:r>
        <w:rPr>
          <w:rFonts w:hint="eastAsia" w:ascii="仿宋" w:hAnsi="仿宋" w:eastAsia="仿宋" w:cs="仿宋"/>
          <w:color w:val="212121"/>
          <w:kern w:val="0"/>
          <w:sz w:val="32"/>
          <w:szCs w:val="32"/>
        </w:rPr>
        <w:t>目标2：</w:t>
      </w:r>
      <w:r>
        <w:rPr>
          <w:rFonts w:hint="eastAsia" w:ascii="仿宋" w:hAnsi="仿宋" w:eastAsia="仿宋" w:cs="仿宋"/>
          <w:color w:val="212121"/>
          <w:kern w:val="0"/>
          <w:sz w:val="32"/>
          <w:szCs w:val="32"/>
          <w:lang w:eastAsia="zh-CN"/>
        </w:rPr>
        <w:t>加强</w:t>
      </w:r>
      <w:r>
        <w:rPr>
          <w:rFonts w:hint="eastAsia" w:ascii="仿宋" w:hAnsi="仿宋" w:eastAsia="仿宋" w:cs="仿宋"/>
          <w:color w:val="212121"/>
          <w:kern w:val="0"/>
          <w:sz w:val="32"/>
          <w:szCs w:val="32"/>
        </w:rPr>
        <w:t>基层群众阵地建设</w:t>
      </w:r>
      <w:r>
        <w:rPr>
          <w:rFonts w:hint="eastAsia" w:ascii="仿宋" w:hAnsi="仿宋" w:eastAsia="仿宋" w:cs="仿宋"/>
          <w:color w:val="212121"/>
          <w:kern w:val="0"/>
          <w:sz w:val="32"/>
          <w:szCs w:val="32"/>
          <w:lang w:eastAsia="zh-CN"/>
        </w:rPr>
        <w:t>，</w:t>
      </w:r>
      <w:r>
        <w:rPr>
          <w:rFonts w:hint="eastAsia" w:ascii="仿宋" w:hAnsi="仿宋" w:eastAsia="仿宋" w:cs="仿宋"/>
          <w:color w:val="212121"/>
          <w:kern w:val="0"/>
          <w:sz w:val="32"/>
          <w:szCs w:val="32"/>
        </w:rPr>
        <w:t>建设3个村高标准群众阵地建设</w:t>
      </w:r>
      <w:r>
        <w:rPr>
          <w:rFonts w:hint="eastAsia" w:ascii="仿宋" w:hAnsi="仿宋" w:eastAsia="仿宋" w:cs="仿宋"/>
          <w:color w:val="212121"/>
          <w:kern w:val="0"/>
          <w:sz w:val="32"/>
          <w:szCs w:val="32"/>
          <w:lang w:eastAsia="zh-CN"/>
        </w:rPr>
        <w:t>和</w:t>
      </w:r>
      <w:r>
        <w:rPr>
          <w:rFonts w:hint="eastAsia" w:ascii="仿宋" w:hAnsi="仿宋" w:eastAsia="仿宋" w:cs="仿宋"/>
          <w:color w:val="212121"/>
          <w:kern w:val="0"/>
          <w:sz w:val="32"/>
          <w:szCs w:val="32"/>
          <w:lang w:val="en-US" w:eastAsia="zh-CN"/>
        </w:rPr>
        <w:t>1个“暧心家园”项目建设。</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目标3：</w:t>
      </w:r>
      <w:r>
        <w:rPr>
          <w:rFonts w:hint="eastAsia" w:ascii="仿宋" w:hAnsi="仿宋" w:eastAsia="仿宋" w:cs="仿宋"/>
          <w:color w:val="212121"/>
          <w:kern w:val="0"/>
          <w:sz w:val="32"/>
          <w:szCs w:val="32"/>
          <w:lang w:eastAsia="zh-CN"/>
        </w:rPr>
        <w:t>开展</w:t>
      </w:r>
      <w:r>
        <w:rPr>
          <w:rFonts w:hint="eastAsia" w:ascii="仿宋" w:hAnsi="仿宋" w:eastAsia="仿宋" w:cs="仿宋"/>
          <w:color w:val="212121"/>
          <w:kern w:val="0"/>
          <w:sz w:val="32"/>
          <w:szCs w:val="32"/>
        </w:rPr>
        <w:t>生育关怀活动</w:t>
      </w:r>
      <w:r>
        <w:rPr>
          <w:rFonts w:hint="eastAsia" w:ascii="仿宋" w:hAnsi="仿宋" w:eastAsia="仿宋" w:cs="仿宋"/>
          <w:color w:val="212121"/>
          <w:kern w:val="0"/>
          <w:sz w:val="32"/>
          <w:szCs w:val="32"/>
          <w:lang w:eastAsia="zh-CN"/>
        </w:rPr>
        <w:t>，</w:t>
      </w:r>
      <w:r>
        <w:rPr>
          <w:rFonts w:hint="eastAsia" w:ascii="仿宋" w:hAnsi="仿宋" w:eastAsia="仿宋" w:cs="仿宋"/>
          <w:color w:val="212121"/>
          <w:kern w:val="0"/>
          <w:sz w:val="32"/>
          <w:szCs w:val="32"/>
        </w:rPr>
        <w:t>完成400多个计生特殊对象（失独、独生子女伤残及手术并发症）的节日走访慰问,对120个计生困难家庭进行救助。</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目标4：</w:t>
      </w:r>
      <w:r>
        <w:rPr>
          <w:rFonts w:hint="eastAsia" w:ascii="仿宋" w:hAnsi="仿宋" w:eastAsia="仿宋" w:cs="仿宋"/>
          <w:color w:val="212121"/>
          <w:kern w:val="0"/>
          <w:sz w:val="32"/>
          <w:szCs w:val="32"/>
          <w:lang w:eastAsia="zh-CN"/>
        </w:rPr>
        <w:t>加强计生</w:t>
      </w:r>
      <w:r>
        <w:rPr>
          <w:rFonts w:hint="eastAsia" w:ascii="仿宋" w:hAnsi="仿宋" w:eastAsia="仿宋" w:cs="仿宋"/>
          <w:color w:val="212121"/>
          <w:kern w:val="0"/>
          <w:sz w:val="32"/>
          <w:szCs w:val="32"/>
        </w:rPr>
        <w:t>业务培训</w:t>
      </w:r>
      <w:r>
        <w:rPr>
          <w:rFonts w:hint="eastAsia" w:ascii="仿宋" w:hAnsi="仿宋" w:eastAsia="仿宋" w:cs="仿宋"/>
          <w:color w:val="212121"/>
          <w:kern w:val="0"/>
          <w:sz w:val="32"/>
          <w:szCs w:val="32"/>
          <w:lang w:eastAsia="zh-CN"/>
        </w:rPr>
        <w:t>，</w:t>
      </w:r>
      <w:r>
        <w:rPr>
          <w:rFonts w:hint="eastAsia" w:ascii="仿宋" w:hAnsi="仿宋" w:eastAsia="仿宋" w:cs="仿宋"/>
          <w:color w:val="212121"/>
          <w:kern w:val="0"/>
          <w:sz w:val="32"/>
          <w:szCs w:val="32"/>
        </w:rPr>
        <w:t>对乡村90人次进行了计生协业务培训。</w:t>
      </w:r>
    </w:p>
    <w:p>
      <w:pPr>
        <w:widowControl/>
        <w:shd w:val="clear" w:color="auto" w:fill="FFFFFF"/>
        <w:spacing w:line="315" w:lineRule="atLeast"/>
        <w:ind w:firstLine="640"/>
        <w:jc w:val="left"/>
        <w:rPr>
          <w:rFonts w:hint="eastAsia" w:ascii="仿宋" w:hAnsi="仿宋" w:eastAsia="仿宋" w:cs="仿宋"/>
          <w:sz w:val="32"/>
          <w:szCs w:val="32"/>
        </w:rPr>
      </w:pPr>
      <w:r>
        <w:rPr>
          <w:rFonts w:hint="eastAsia" w:ascii="仿宋" w:hAnsi="仿宋" w:eastAsia="仿宋" w:cs="仿宋"/>
          <w:color w:val="212121"/>
          <w:kern w:val="0"/>
          <w:sz w:val="32"/>
          <w:szCs w:val="32"/>
        </w:rPr>
        <w:t>目标5：强化流动人口计生协组织建设,建设2个流动人口协会组织。</w:t>
      </w:r>
    </w:p>
    <w:p>
      <w:pPr>
        <w:widowControl/>
        <w:shd w:val="clear" w:color="auto" w:fill="FFFFFF"/>
        <w:spacing w:line="315" w:lineRule="atLeast"/>
        <w:ind w:firstLine="640"/>
        <w:jc w:val="left"/>
        <w:rPr>
          <w:rFonts w:hint="eastAsia" w:ascii="仿宋" w:hAnsi="仿宋" w:eastAsia="仿宋" w:cs="仿宋"/>
          <w:color w:val="212121"/>
          <w:kern w:val="0"/>
          <w:sz w:val="32"/>
          <w:szCs w:val="32"/>
          <w:lang w:val="en-US" w:eastAsia="zh-CN"/>
        </w:rPr>
      </w:pPr>
      <w:r>
        <w:rPr>
          <w:rFonts w:hint="eastAsia" w:ascii="仿宋" w:hAnsi="仿宋" w:eastAsia="仿宋" w:cs="仿宋"/>
          <w:color w:val="212121"/>
          <w:kern w:val="0"/>
          <w:sz w:val="32"/>
          <w:szCs w:val="32"/>
          <w:lang w:eastAsia="zh-CN"/>
        </w:rPr>
        <w:t>目标</w:t>
      </w:r>
      <w:r>
        <w:rPr>
          <w:rFonts w:hint="eastAsia" w:ascii="仿宋" w:hAnsi="仿宋" w:eastAsia="仿宋" w:cs="仿宋"/>
          <w:color w:val="212121"/>
          <w:kern w:val="0"/>
          <w:sz w:val="32"/>
          <w:szCs w:val="32"/>
          <w:lang w:val="en-US" w:eastAsia="zh-CN"/>
        </w:rPr>
        <w:t>6：完成县计生协改革任务。</w:t>
      </w:r>
    </w:p>
    <w:p>
      <w:pPr>
        <w:widowControl/>
        <w:shd w:val="clear" w:color="auto" w:fill="FFFFFF"/>
        <w:spacing w:line="315" w:lineRule="atLeast"/>
        <w:ind w:firstLine="640"/>
        <w:jc w:val="left"/>
        <w:rPr>
          <w:rFonts w:hint="eastAsia" w:ascii="楷体" w:hAnsi="楷体" w:eastAsia="楷体" w:cs="楷体"/>
          <w:b/>
          <w:bCs/>
          <w:color w:val="212121"/>
          <w:kern w:val="0"/>
          <w:sz w:val="32"/>
          <w:szCs w:val="32"/>
        </w:rPr>
      </w:pPr>
      <w:r>
        <w:rPr>
          <w:rFonts w:hint="eastAsia" w:ascii="楷体" w:hAnsi="楷体" w:eastAsia="楷体" w:cs="楷体"/>
          <w:b/>
          <w:bCs/>
          <w:color w:val="212121"/>
          <w:kern w:val="0"/>
          <w:sz w:val="32"/>
          <w:szCs w:val="32"/>
          <w:lang w:eastAsia="zh-CN"/>
        </w:rPr>
        <w:t>（</w:t>
      </w:r>
      <w:r>
        <w:rPr>
          <w:rFonts w:hint="eastAsia" w:ascii="楷体" w:hAnsi="楷体" w:eastAsia="楷体" w:cs="楷体"/>
          <w:b/>
          <w:bCs/>
          <w:color w:val="212121"/>
          <w:kern w:val="0"/>
          <w:sz w:val="32"/>
          <w:szCs w:val="32"/>
        </w:rPr>
        <w:t>二</w:t>
      </w:r>
      <w:r>
        <w:rPr>
          <w:rFonts w:hint="eastAsia" w:ascii="楷体" w:hAnsi="楷体" w:eastAsia="楷体" w:cs="楷体"/>
          <w:b/>
          <w:bCs/>
          <w:color w:val="212121"/>
          <w:kern w:val="0"/>
          <w:sz w:val="32"/>
          <w:szCs w:val="32"/>
          <w:lang w:eastAsia="zh-CN"/>
        </w:rPr>
        <w:t>）</w:t>
      </w:r>
      <w:r>
        <w:rPr>
          <w:rFonts w:hint="eastAsia" w:ascii="楷体" w:hAnsi="楷体" w:eastAsia="楷体" w:cs="楷体"/>
          <w:b/>
          <w:bCs/>
          <w:color w:val="212121"/>
          <w:kern w:val="0"/>
          <w:sz w:val="32"/>
          <w:szCs w:val="32"/>
        </w:rPr>
        <w:t>202</w:t>
      </w:r>
      <w:r>
        <w:rPr>
          <w:rFonts w:hint="eastAsia" w:ascii="楷体" w:hAnsi="楷体" w:eastAsia="楷体" w:cs="楷体"/>
          <w:b/>
          <w:bCs/>
          <w:color w:val="212121"/>
          <w:kern w:val="0"/>
          <w:sz w:val="32"/>
          <w:szCs w:val="32"/>
          <w:lang w:val="en-US" w:eastAsia="zh-CN"/>
        </w:rPr>
        <w:t>2</w:t>
      </w:r>
      <w:r>
        <w:rPr>
          <w:rFonts w:hint="eastAsia" w:ascii="楷体" w:hAnsi="楷体" w:eastAsia="楷体" w:cs="楷体"/>
          <w:b/>
          <w:bCs/>
          <w:color w:val="212121"/>
          <w:kern w:val="0"/>
          <w:sz w:val="32"/>
          <w:szCs w:val="32"/>
        </w:rPr>
        <w:t>年辰溪县计生协支出绩效目标实现情况和指标完成情况</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202</w:t>
      </w:r>
      <w:r>
        <w:rPr>
          <w:rFonts w:hint="eastAsia" w:ascii="仿宋" w:hAnsi="仿宋" w:eastAsia="仿宋" w:cs="仿宋"/>
          <w:color w:val="212121"/>
          <w:kern w:val="0"/>
          <w:sz w:val="32"/>
          <w:szCs w:val="32"/>
          <w:lang w:val="en-US" w:eastAsia="zh-CN"/>
        </w:rPr>
        <w:t>2</w:t>
      </w:r>
      <w:r>
        <w:rPr>
          <w:rFonts w:hint="eastAsia" w:ascii="仿宋" w:hAnsi="仿宋" w:eastAsia="仿宋" w:cs="仿宋"/>
          <w:color w:val="212121"/>
          <w:kern w:val="0"/>
          <w:sz w:val="32"/>
          <w:szCs w:val="32"/>
        </w:rPr>
        <w:t>年，辰溪县计生协在收支预算内，完成了以下整体目标：</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完成目标1：开展“5.29会员活动日”、“7.11世界人口日”等一系列活动，群众的健康生活意识得到了明显提高。</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完成目标2：基层群众阵地建设，是开展示范村（居）创建活动。修溪镇被评为省级先进乡进，柿溪乡溪口村等2个村被评为省级先进村，全县计生基层群众自治合格村（居）比例达到了90%以上。</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完成目标3：生育关怀</w:t>
      </w:r>
      <w:r>
        <w:rPr>
          <w:rFonts w:hint="eastAsia" w:ascii="仿宋" w:hAnsi="仿宋" w:eastAsia="仿宋" w:cs="仿宋"/>
          <w:color w:val="212121"/>
          <w:kern w:val="0"/>
          <w:sz w:val="32"/>
          <w:szCs w:val="32"/>
          <w:lang w:eastAsia="zh-CN"/>
        </w:rPr>
        <w:t>成效显著</w:t>
      </w:r>
      <w:r>
        <w:rPr>
          <w:rFonts w:hint="eastAsia" w:ascii="仿宋" w:hAnsi="仿宋" w:eastAsia="仿宋" w:cs="仿宋"/>
          <w:color w:val="212121"/>
          <w:kern w:val="0"/>
          <w:sz w:val="32"/>
          <w:szCs w:val="32"/>
        </w:rPr>
        <w:t>。加大对计划生育特别家庭扶助</w:t>
      </w:r>
      <w:r>
        <w:rPr>
          <w:rFonts w:hint="eastAsia" w:ascii="仿宋" w:hAnsi="仿宋" w:eastAsia="仿宋" w:cs="仿宋"/>
          <w:color w:val="212121"/>
          <w:kern w:val="0"/>
          <w:sz w:val="32"/>
          <w:szCs w:val="32"/>
          <w:lang w:eastAsia="zh-CN"/>
        </w:rPr>
        <w:t>，</w:t>
      </w:r>
      <w:r>
        <w:rPr>
          <w:rFonts w:hint="eastAsia" w:ascii="仿宋" w:hAnsi="仿宋" w:eastAsia="仿宋" w:cs="仿宋"/>
          <w:color w:val="212121"/>
          <w:kern w:val="0"/>
          <w:sz w:val="32"/>
          <w:szCs w:val="32"/>
        </w:rPr>
        <w:t>制定《辰溪县计划生育特殊家庭重病大病住院护理补贴实施方案》。全县202</w:t>
      </w:r>
      <w:r>
        <w:rPr>
          <w:rFonts w:hint="eastAsia" w:ascii="仿宋" w:hAnsi="仿宋" w:eastAsia="仿宋" w:cs="仿宋"/>
          <w:color w:val="212121"/>
          <w:kern w:val="0"/>
          <w:sz w:val="32"/>
          <w:szCs w:val="32"/>
          <w:lang w:val="en-US" w:eastAsia="zh-CN"/>
        </w:rPr>
        <w:t>2</w:t>
      </w:r>
      <w:r>
        <w:rPr>
          <w:rFonts w:hint="eastAsia" w:ascii="仿宋" w:hAnsi="仿宋" w:eastAsia="仿宋" w:cs="仿宋"/>
          <w:color w:val="212121"/>
          <w:kern w:val="0"/>
          <w:sz w:val="32"/>
          <w:szCs w:val="32"/>
        </w:rPr>
        <w:t>年共为</w:t>
      </w:r>
      <w:r>
        <w:rPr>
          <w:rFonts w:hint="eastAsia" w:ascii="仿宋" w:hAnsi="仿宋" w:eastAsia="仿宋" w:cs="仿宋"/>
          <w:color w:val="212121"/>
          <w:kern w:val="0"/>
          <w:sz w:val="32"/>
          <w:szCs w:val="32"/>
          <w:lang w:val="en-US" w:eastAsia="zh-CN"/>
        </w:rPr>
        <w:t>90人次</w:t>
      </w:r>
      <w:r>
        <w:rPr>
          <w:rFonts w:hint="eastAsia" w:ascii="仿宋" w:hAnsi="仿宋" w:eastAsia="仿宋" w:cs="仿宋"/>
          <w:color w:val="212121"/>
          <w:kern w:val="0"/>
          <w:sz w:val="32"/>
          <w:szCs w:val="32"/>
        </w:rPr>
        <w:t>计生特殊家庭发放住院护理补贴</w:t>
      </w:r>
      <w:r>
        <w:rPr>
          <w:rFonts w:hint="eastAsia" w:ascii="仿宋" w:hAnsi="仿宋" w:eastAsia="仿宋" w:cs="仿宋"/>
          <w:color w:val="212121"/>
          <w:kern w:val="0"/>
          <w:sz w:val="32"/>
          <w:szCs w:val="32"/>
          <w:lang w:val="en-US" w:eastAsia="zh-CN"/>
        </w:rPr>
        <w:t>7.74</w:t>
      </w:r>
      <w:r>
        <w:rPr>
          <w:rFonts w:hint="eastAsia" w:ascii="仿宋" w:hAnsi="仿宋" w:eastAsia="仿宋" w:cs="仿宋"/>
          <w:color w:val="212121"/>
          <w:kern w:val="0"/>
          <w:sz w:val="32"/>
          <w:szCs w:val="32"/>
        </w:rPr>
        <w:t>万元。为</w:t>
      </w:r>
      <w:r>
        <w:rPr>
          <w:rFonts w:hint="eastAsia" w:ascii="仿宋" w:hAnsi="仿宋" w:eastAsia="仿宋" w:cs="仿宋"/>
          <w:color w:val="212121"/>
          <w:kern w:val="0"/>
          <w:sz w:val="32"/>
          <w:szCs w:val="32"/>
          <w:lang w:val="en-US" w:eastAsia="zh-CN"/>
        </w:rPr>
        <w:t>564人</w:t>
      </w:r>
      <w:r>
        <w:rPr>
          <w:rFonts w:hint="eastAsia" w:ascii="仿宋" w:hAnsi="仿宋" w:eastAsia="仿宋" w:cs="仿宋"/>
          <w:color w:val="212121"/>
          <w:kern w:val="0"/>
          <w:sz w:val="32"/>
          <w:szCs w:val="32"/>
        </w:rPr>
        <w:t>计生特殊家庭</w:t>
      </w:r>
      <w:r>
        <w:rPr>
          <w:rFonts w:hint="eastAsia" w:ascii="仿宋" w:hAnsi="仿宋" w:eastAsia="仿宋" w:cs="仿宋"/>
          <w:color w:val="212121"/>
          <w:kern w:val="0"/>
          <w:sz w:val="32"/>
          <w:szCs w:val="32"/>
          <w:lang w:eastAsia="zh-CN"/>
        </w:rPr>
        <w:t>人口</w:t>
      </w:r>
      <w:r>
        <w:rPr>
          <w:rFonts w:hint="eastAsia" w:ascii="仿宋" w:hAnsi="仿宋" w:eastAsia="仿宋" w:cs="仿宋"/>
          <w:color w:val="212121"/>
          <w:kern w:val="0"/>
          <w:sz w:val="32"/>
          <w:szCs w:val="32"/>
        </w:rPr>
        <w:t>提供150元一份的健康综合保险，金额达</w:t>
      </w:r>
      <w:r>
        <w:rPr>
          <w:rFonts w:hint="eastAsia" w:ascii="仿宋" w:hAnsi="仿宋" w:eastAsia="仿宋" w:cs="仿宋"/>
          <w:color w:val="212121"/>
          <w:kern w:val="0"/>
          <w:sz w:val="32"/>
          <w:szCs w:val="32"/>
          <w:lang w:val="en-US" w:eastAsia="zh-CN"/>
        </w:rPr>
        <w:t>8.49</w:t>
      </w:r>
      <w:r>
        <w:rPr>
          <w:rFonts w:hint="eastAsia" w:ascii="仿宋" w:hAnsi="仿宋" w:eastAsia="仿宋" w:cs="仿宋"/>
          <w:color w:val="212121"/>
          <w:kern w:val="0"/>
          <w:sz w:val="32"/>
          <w:szCs w:val="32"/>
        </w:rPr>
        <w:t>万元。</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完成目标4：对乡、村四级计生协进行业务培训,邀请省计生协和市内有关方面的专家授课，培训效果良好，通过培训，提高队伍素质。</w:t>
      </w:r>
    </w:p>
    <w:p>
      <w:pPr>
        <w:widowControl/>
        <w:shd w:val="clear" w:color="auto" w:fill="FFFFFF"/>
        <w:spacing w:line="560" w:lineRule="atLeast"/>
        <w:ind w:firstLine="640"/>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完成目标5：强化流动人口计生协组织建设，因地制宜，各具特色地建立了一批流动人口计生协。在外出务工较多的深圳</w:t>
      </w:r>
      <w:r>
        <w:rPr>
          <w:rFonts w:hint="eastAsia" w:ascii="仿宋" w:hAnsi="仿宋" w:eastAsia="仿宋" w:cs="仿宋"/>
          <w:color w:val="212121"/>
          <w:kern w:val="0"/>
          <w:sz w:val="32"/>
          <w:szCs w:val="32"/>
          <w:lang w:eastAsia="zh-CN"/>
        </w:rPr>
        <w:t>福建</w:t>
      </w:r>
      <w:r>
        <w:rPr>
          <w:rFonts w:hint="eastAsia" w:ascii="仿宋" w:hAnsi="仿宋" w:eastAsia="仿宋" w:cs="仿宋"/>
          <w:color w:val="212121"/>
          <w:kern w:val="0"/>
          <w:sz w:val="32"/>
          <w:szCs w:val="32"/>
        </w:rPr>
        <w:t>等地分别组建了一批流出人口计生协，有力促进了流动人口计生服务管理工作的落实。</w:t>
      </w:r>
    </w:p>
    <w:p>
      <w:pPr>
        <w:widowControl/>
        <w:shd w:val="clear" w:color="auto" w:fill="FFFFFF"/>
        <w:spacing w:line="315" w:lineRule="atLeast"/>
        <w:ind w:firstLine="640"/>
        <w:jc w:val="left"/>
        <w:rPr>
          <w:rFonts w:hint="eastAsia" w:ascii="仿宋" w:hAnsi="仿宋" w:eastAsia="仿宋" w:cs="仿宋"/>
          <w:color w:val="212121"/>
          <w:kern w:val="0"/>
          <w:sz w:val="32"/>
          <w:szCs w:val="32"/>
          <w:lang w:val="en-US" w:eastAsia="zh-CN"/>
        </w:rPr>
      </w:pPr>
      <w:r>
        <w:rPr>
          <w:rFonts w:hint="eastAsia" w:ascii="仿宋" w:hAnsi="仿宋" w:eastAsia="仿宋" w:cs="仿宋"/>
          <w:color w:val="212121"/>
          <w:kern w:val="0"/>
          <w:sz w:val="32"/>
          <w:szCs w:val="32"/>
          <w:lang w:eastAsia="zh-CN"/>
        </w:rPr>
        <w:t>完成目标</w:t>
      </w:r>
      <w:r>
        <w:rPr>
          <w:rFonts w:hint="eastAsia" w:ascii="仿宋" w:hAnsi="仿宋" w:eastAsia="仿宋" w:cs="仿宋"/>
          <w:color w:val="212121"/>
          <w:kern w:val="0"/>
          <w:sz w:val="32"/>
          <w:szCs w:val="32"/>
          <w:lang w:val="en-US" w:eastAsia="zh-CN"/>
        </w:rPr>
        <w:t>6：经过征求意见、方案起草、方案审定、会议通过、文件印发，初步完成了县计生协改革任务。</w:t>
      </w:r>
    </w:p>
    <w:p>
      <w:pPr>
        <w:widowControl/>
        <w:shd w:val="clear" w:color="auto" w:fill="FFFFFF"/>
        <w:spacing w:line="315" w:lineRule="atLeast"/>
        <w:ind w:firstLine="640"/>
        <w:jc w:val="left"/>
        <w:rPr>
          <w:rFonts w:hint="eastAsia" w:ascii="楷体" w:hAnsi="楷体" w:eastAsia="楷体" w:cs="楷体"/>
          <w:b/>
          <w:bCs/>
          <w:color w:val="212121"/>
          <w:kern w:val="0"/>
          <w:sz w:val="32"/>
          <w:szCs w:val="32"/>
          <w:lang w:eastAsia="zh-CN"/>
        </w:rPr>
      </w:pPr>
      <w:r>
        <w:rPr>
          <w:rFonts w:hint="eastAsia" w:ascii="楷体" w:hAnsi="楷体" w:eastAsia="楷体" w:cs="楷体"/>
          <w:b/>
          <w:bCs/>
          <w:color w:val="212121"/>
          <w:kern w:val="0"/>
          <w:sz w:val="32"/>
          <w:szCs w:val="32"/>
          <w:lang w:eastAsia="zh-CN"/>
        </w:rPr>
        <w:t>（</w:t>
      </w:r>
      <w:r>
        <w:rPr>
          <w:rFonts w:hint="eastAsia" w:ascii="楷体" w:hAnsi="楷体" w:eastAsia="楷体" w:cs="楷体"/>
          <w:b/>
          <w:bCs/>
          <w:color w:val="212121"/>
          <w:kern w:val="0"/>
          <w:sz w:val="32"/>
          <w:szCs w:val="32"/>
        </w:rPr>
        <w:t>三</w:t>
      </w:r>
      <w:r>
        <w:rPr>
          <w:rFonts w:hint="eastAsia" w:ascii="楷体" w:hAnsi="楷体" w:eastAsia="楷体" w:cs="楷体"/>
          <w:b/>
          <w:bCs/>
          <w:color w:val="212121"/>
          <w:kern w:val="0"/>
          <w:sz w:val="32"/>
          <w:szCs w:val="32"/>
          <w:lang w:eastAsia="zh-CN"/>
        </w:rPr>
        <w:t>）</w:t>
      </w:r>
      <w:r>
        <w:rPr>
          <w:rFonts w:hint="eastAsia" w:ascii="楷体" w:hAnsi="楷体" w:eastAsia="楷体" w:cs="楷体"/>
          <w:b/>
          <w:bCs/>
          <w:color w:val="212121"/>
          <w:kern w:val="0"/>
          <w:sz w:val="32"/>
          <w:szCs w:val="32"/>
        </w:rPr>
        <w:t>未实现既定绩效目标或未完成指标任务的分析说明</w:t>
      </w:r>
      <w:r>
        <w:rPr>
          <w:rFonts w:hint="eastAsia" w:ascii="楷体" w:hAnsi="楷体" w:eastAsia="楷体" w:cs="楷体"/>
          <w:b/>
          <w:bCs/>
          <w:color w:val="212121"/>
          <w:kern w:val="0"/>
          <w:sz w:val="32"/>
          <w:szCs w:val="32"/>
          <w:lang w:eastAsia="zh-CN"/>
        </w:rPr>
        <w:t>。</w:t>
      </w:r>
    </w:p>
    <w:p>
      <w:pPr>
        <w:widowControl/>
        <w:shd w:val="clear" w:color="auto" w:fill="FFFFFF"/>
        <w:spacing w:line="315" w:lineRule="atLeast"/>
        <w:ind w:firstLine="64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辰溪县计生协既定绩效目标均已完成。</w:t>
      </w:r>
    </w:p>
    <w:p>
      <w:pPr>
        <w:widowControl/>
        <w:shd w:val="clear" w:color="auto" w:fill="FFFFFF"/>
        <w:spacing w:line="315" w:lineRule="atLeast"/>
        <w:ind w:firstLine="640"/>
        <w:jc w:val="left"/>
        <w:rPr>
          <w:rFonts w:hint="eastAsia" w:ascii="黑体" w:hAnsi="黑体" w:eastAsia="黑体" w:cs="黑体"/>
          <w:b w:val="0"/>
          <w:bCs w:val="0"/>
          <w:color w:val="212121"/>
          <w:kern w:val="0"/>
          <w:sz w:val="32"/>
          <w:szCs w:val="32"/>
          <w:lang w:val="en-US" w:eastAsia="zh-CN" w:bidi="ar-SA"/>
        </w:rPr>
      </w:pPr>
      <w:r>
        <w:rPr>
          <w:rFonts w:hint="eastAsia" w:ascii="黑体" w:hAnsi="黑体" w:eastAsia="黑体" w:cs="黑体"/>
          <w:b w:val="0"/>
          <w:bCs w:val="0"/>
          <w:color w:val="212121"/>
          <w:kern w:val="0"/>
          <w:sz w:val="32"/>
          <w:szCs w:val="32"/>
          <w:lang w:val="en-US" w:eastAsia="zh-CN" w:bidi="ar-SA"/>
        </w:rPr>
        <w:t>四、资产管理情况</w:t>
      </w:r>
    </w:p>
    <w:p>
      <w:pPr>
        <w:widowControl/>
        <w:spacing w:line="600" w:lineRule="atLeast"/>
        <w:ind w:firstLine="640" w:firstLineChars="200"/>
        <w:jc w:val="left"/>
        <w:rPr>
          <w:rFonts w:hint="eastAsia" w:ascii="仿宋" w:hAnsi="仿宋" w:eastAsia="仿宋" w:cs="仿宋"/>
          <w:color w:val="212121"/>
          <w:kern w:val="0"/>
          <w:sz w:val="32"/>
          <w:szCs w:val="32"/>
        </w:rPr>
      </w:pPr>
      <w:r>
        <w:rPr>
          <w:rFonts w:hint="eastAsia" w:ascii="仿宋" w:hAnsi="仿宋" w:eastAsia="仿宋" w:cs="仿宋"/>
          <w:color w:val="212121"/>
          <w:kern w:val="0"/>
          <w:sz w:val="32"/>
          <w:szCs w:val="32"/>
        </w:rPr>
        <w:t>资产管理由</w:t>
      </w:r>
      <w:r>
        <w:rPr>
          <w:rFonts w:hint="eastAsia" w:ascii="仿宋" w:hAnsi="仿宋" w:eastAsia="仿宋" w:cs="仿宋"/>
          <w:color w:val="212121"/>
          <w:kern w:val="0"/>
          <w:sz w:val="32"/>
          <w:szCs w:val="32"/>
          <w:lang w:val="en-US" w:eastAsia="zh-CN"/>
        </w:rPr>
        <w:t>专人</w:t>
      </w:r>
      <w:r>
        <w:rPr>
          <w:rFonts w:hint="eastAsia" w:ascii="仿宋" w:hAnsi="仿宋" w:eastAsia="仿宋" w:cs="仿宋"/>
          <w:color w:val="212121"/>
          <w:kern w:val="0"/>
          <w:sz w:val="32"/>
          <w:szCs w:val="32"/>
        </w:rPr>
        <w:t>进行价值核算并设置专人进行资产实物卡片管理及使用情况监督。严格按照资产交付使用验收制度。资产采购应当根据合同、供应商发货单等对所购资产的品种、规格、数量、质量、技术要求及其他内容进行验收。未通过验收的不合格资产，不得接收，必须按照合同等有关规定办理退换货或其他弥补措施。信息化建设方面。资产管理按照行政事业单位资产管理信息系统严格管理资产卡片，正确、全面、及时地记录资产的增加、减少、使用等情况，保护资产资料安全完整。真实地反映和监督资产的增减变动和实际情况，建立健全了资产账簿体系。</w:t>
      </w:r>
    </w:p>
    <w:p>
      <w:pPr>
        <w:widowControl/>
        <w:spacing w:line="600" w:lineRule="atLeast"/>
        <w:ind w:firstLine="640" w:firstLineChars="200"/>
        <w:jc w:val="left"/>
        <w:rPr>
          <w:rFonts w:hint="eastAsia" w:ascii="黑体" w:hAnsi="黑体" w:eastAsia="黑体" w:cs="黑体"/>
          <w:b w:val="0"/>
          <w:bCs w:val="0"/>
          <w:color w:val="212121"/>
          <w:kern w:val="0"/>
          <w:sz w:val="32"/>
          <w:szCs w:val="32"/>
          <w:lang w:val="en-US" w:eastAsia="zh-CN" w:bidi="ar-SA"/>
        </w:rPr>
      </w:pPr>
      <w:r>
        <w:rPr>
          <w:rFonts w:hint="eastAsia" w:ascii="黑体" w:hAnsi="黑体" w:eastAsia="黑体" w:cs="黑体"/>
          <w:b w:val="0"/>
          <w:bCs w:val="0"/>
          <w:color w:val="212121"/>
          <w:kern w:val="0"/>
          <w:sz w:val="32"/>
          <w:szCs w:val="32"/>
          <w:lang w:val="en-US" w:eastAsia="zh-CN" w:bidi="ar-SA"/>
        </w:rPr>
        <w:t>五、部门整体支出绩效评价分析</w:t>
      </w:r>
    </w:p>
    <w:p>
      <w:pPr>
        <w:widowControl/>
        <w:spacing w:line="600" w:lineRule="atLeast"/>
        <w:ind w:firstLine="560"/>
        <w:jc w:val="left"/>
        <w:rPr>
          <w:rFonts w:hint="eastAsia" w:ascii="仿宋" w:hAnsi="仿宋" w:eastAsia="仿宋" w:cs="仿宋"/>
          <w:color w:val="212121"/>
          <w:kern w:val="0"/>
          <w:sz w:val="32"/>
          <w:szCs w:val="32"/>
        </w:rPr>
      </w:pPr>
      <w:r>
        <w:rPr>
          <w:rFonts w:hint="eastAsia" w:ascii="楷体" w:hAnsi="楷体" w:eastAsia="楷体" w:cs="楷体"/>
          <w:b/>
          <w:bCs w:val="0"/>
          <w:kern w:val="0"/>
          <w:sz w:val="32"/>
          <w:szCs w:val="32"/>
        </w:rPr>
        <w:t>（一）</w:t>
      </w:r>
      <w:r>
        <w:rPr>
          <w:rFonts w:hint="eastAsia" w:ascii="楷体" w:hAnsi="楷体" w:eastAsia="楷体" w:cs="楷体"/>
          <w:b/>
          <w:bCs w:val="0"/>
          <w:color w:val="333333"/>
          <w:kern w:val="0"/>
          <w:sz w:val="32"/>
          <w:szCs w:val="32"/>
        </w:rPr>
        <w:t>绩效评价目的。</w:t>
      </w:r>
      <w:r>
        <w:rPr>
          <w:rFonts w:hint="eastAsia" w:ascii="仿宋" w:hAnsi="仿宋" w:eastAsia="仿宋" w:cs="仿宋"/>
          <w:color w:val="212121"/>
          <w:kern w:val="0"/>
          <w:sz w:val="32"/>
          <w:szCs w:val="32"/>
        </w:rPr>
        <w:t>全面分析和综合评价</w:t>
      </w:r>
      <w:r>
        <w:rPr>
          <w:rFonts w:hint="eastAsia" w:ascii="仿宋" w:hAnsi="仿宋" w:eastAsia="仿宋" w:cs="仿宋"/>
          <w:color w:val="212121"/>
          <w:kern w:val="0"/>
          <w:sz w:val="32"/>
          <w:szCs w:val="32"/>
          <w:lang w:eastAsia="zh-CN"/>
        </w:rPr>
        <w:t>计生协</w:t>
      </w:r>
      <w:r>
        <w:rPr>
          <w:rFonts w:hint="eastAsia" w:ascii="仿宋" w:hAnsi="仿宋" w:eastAsia="仿宋" w:cs="仿宋"/>
          <w:color w:val="212121"/>
          <w:kern w:val="0"/>
          <w:sz w:val="32"/>
          <w:szCs w:val="32"/>
        </w:rPr>
        <w:t>预算资金的使用管理情况，强化预算支出的责任和效率提供参考依据。进一步规范财政资金管理，牢固树立预算绩效理念，强化部门支出责任，提高财政资金使用效益。</w:t>
      </w:r>
    </w:p>
    <w:p>
      <w:pPr>
        <w:widowControl/>
        <w:shd w:val="clear" w:color="auto" w:fill="FFFFFF"/>
        <w:spacing w:line="600" w:lineRule="atLeast"/>
        <w:ind w:firstLine="560"/>
        <w:jc w:val="left"/>
        <w:rPr>
          <w:rFonts w:hint="eastAsia" w:ascii="仿宋" w:hAnsi="仿宋" w:eastAsia="仿宋" w:cs="仿宋"/>
          <w:color w:val="212121"/>
          <w:kern w:val="0"/>
          <w:sz w:val="32"/>
          <w:szCs w:val="32"/>
        </w:rPr>
      </w:pPr>
      <w:r>
        <w:rPr>
          <w:rFonts w:hint="eastAsia" w:ascii="楷体" w:hAnsi="楷体" w:eastAsia="楷体" w:cs="楷体"/>
          <w:b/>
          <w:bCs/>
          <w:color w:val="333333"/>
          <w:kern w:val="0"/>
          <w:sz w:val="32"/>
          <w:szCs w:val="32"/>
        </w:rPr>
        <w:t>（二）绩效评价工作过程</w:t>
      </w:r>
      <w:r>
        <w:rPr>
          <w:rFonts w:hint="eastAsia" w:ascii="仿宋" w:hAnsi="仿宋" w:eastAsia="仿宋" w:cs="仿宋"/>
          <w:b/>
          <w:bCs/>
          <w:color w:val="333333"/>
          <w:kern w:val="0"/>
          <w:sz w:val="32"/>
          <w:szCs w:val="32"/>
        </w:rPr>
        <w:t>。</w:t>
      </w:r>
      <w:r>
        <w:rPr>
          <w:rFonts w:hint="eastAsia" w:ascii="仿宋" w:hAnsi="仿宋" w:eastAsia="仿宋" w:cs="仿宋"/>
          <w:color w:val="212121"/>
          <w:kern w:val="0"/>
          <w:sz w:val="32"/>
          <w:szCs w:val="32"/>
        </w:rPr>
        <w:t>成立了绩效评价工作小组，负责本部门绩效自评工作的组织领导和具体实施，明确了工作职责和分工。采取座谈、发放问卷、查看资料、实地核查等方式，对资金的拨付、管理使用，取得的工作成效、经济效益、社会效益、群众满意等形式，按照目标任务、绩效指标进行自评，并形成了自评结论。</w:t>
      </w:r>
    </w:p>
    <w:p>
      <w:pPr>
        <w:widowControl/>
        <w:shd w:val="clear" w:color="auto" w:fill="FFFFFF"/>
        <w:spacing w:line="480" w:lineRule="auto"/>
        <w:ind w:firstLine="480"/>
        <w:rPr>
          <w:rFonts w:hint="eastAsia" w:ascii="仿宋" w:hAnsi="仿宋" w:eastAsia="仿宋" w:cs="仿宋"/>
          <w:color w:val="212121"/>
          <w:kern w:val="0"/>
          <w:sz w:val="32"/>
          <w:szCs w:val="32"/>
        </w:rPr>
      </w:pPr>
      <w:r>
        <w:rPr>
          <w:rFonts w:hint="eastAsia" w:ascii="楷体" w:hAnsi="楷体" w:eastAsia="楷体" w:cs="楷体"/>
          <w:b/>
          <w:bCs/>
          <w:color w:val="333333"/>
          <w:kern w:val="0"/>
          <w:sz w:val="32"/>
          <w:szCs w:val="32"/>
        </w:rPr>
        <w:t>（三）绩效评价结果。</w:t>
      </w:r>
      <w:r>
        <w:rPr>
          <w:rFonts w:hint="eastAsia" w:ascii="仿宋" w:hAnsi="仿宋" w:eastAsia="仿宋" w:cs="仿宋"/>
          <w:color w:val="212121"/>
          <w:kern w:val="0"/>
          <w:sz w:val="32"/>
          <w:szCs w:val="32"/>
        </w:rPr>
        <w:t>通过对部门整体支出情况的概述和实际支出情况的分析，20</w:t>
      </w:r>
      <w:r>
        <w:rPr>
          <w:rFonts w:hint="eastAsia" w:ascii="仿宋" w:hAnsi="仿宋" w:eastAsia="仿宋" w:cs="仿宋"/>
          <w:color w:val="212121"/>
          <w:kern w:val="0"/>
          <w:sz w:val="32"/>
          <w:szCs w:val="32"/>
          <w:lang w:val="en-US" w:eastAsia="zh-CN"/>
        </w:rPr>
        <w:t>22</w:t>
      </w:r>
      <w:r>
        <w:rPr>
          <w:rFonts w:hint="eastAsia" w:ascii="仿宋" w:hAnsi="仿宋" w:eastAsia="仿宋" w:cs="仿宋"/>
          <w:color w:val="212121"/>
          <w:kern w:val="0"/>
          <w:sz w:val="32"/>
          <w:szCs w:val="32"/>
        </w:rPr>
        <w:t>年度</w:t>
      </w:r>
      <w:r>
        <w:rPr>
          <w:rFonts w:hint="eastAsia" w:ascii="仿宋" w:hAnsi="仿宋" w:eastAsia="仿宋" w:cs="仿宋"/>
          <w:color w:val="212121"/>
          <w:kern w:val="0"/>
          <w:sz w:val="32"/>
          <w:szCs w:val="32"/>
          <w:lang w:eastAsia="zh-CN"/>
        </w:rPr>
        <w:t>计生协</w:t>
      </w:r>
      <w:r>
        <w:rPr>
          <w:rFonts w:hint="eastAsia" w:ascii="仿宋" w:hAnsi="仿宋" w:eastAsia="仿宋" w:cs="仿宋"/>
          <w:color w:val="212121"/>
          <w:kern w:val="0"/>
          <w:sz w:val="32"/>
          <w:szCs w:val="32"/>
        </w:rPr>
        <w:t>部门整体支出绩效自评分值为9</w:t>
      </w:r>
      <w:r>
        <w:rPr>
          <w:rFonts w:hint="eastAsia" w:ascii="仿宋" w:hAnsi="仿宋" w:eastAsia="仿宋" w:cs="仿宋"/>
          <w:color w:val="212121"/>
          <w:kern w:val="0"/>
          <w:sz w:val="32"/>
          <w:szCs w:val="32"/>
          <w:lang w:val="en-US" w:eastAsia="zh-CN"/>
        </w:rPr>
        <w:t>4</w:t>
      </w:r>
      <w:r>
        <w:rPr>
          <w:rFonts w:hint="eastAsia" w:ascii="仿宋" w:hAnsi="仿宋" w:eastAsia="仿宋" w:cs="仿宋"/>
          <w:color w:val="212121"/>
          <w:kern w:val="0"/>
          <w:sz w:val="32"/>
          <w:szCs w:val="32"/>
        </w:rPr>
        <w:t>分。</w:t>
      </w:r>
    </w:p>
    <w:p>
      <w:pPr>
        <w:widowControl/>
        <w:shd w:val="clear" w:color="auto" w:fill="FFFFFF"/>
        <w:spacing w:line="480" w:lineRule="auto"/>
        <w:rPr>
          <w:rFonts w:hint="eastAsia" w:ascii="仿宋" w:hAnsi="仿宋" w:eastAsia="仿宋" w:cs="仿宋"/>
          <w:b/>
          <w:bCs/>
          <w:color w:val="212121"/>
          <w:kern w:val="0"/>
          <w:sz w:val="32"/>
          <w:szCs w:val="32"/>
          <w:lang w:val="en-US" w:eastAsia="zh-CN" w:bidi="ar-SA"/>
        </w:rPr>
      </w:pPr>
      <w:r>
        <w:rPr>
          <w:rFonts w:hint="eastAsia" w:ascii="仿宋" w:hAnsi="仿宋" w:eastAsia="仿宋" w:cs="仿宋"/>
          <w:b/>
          <w:bCs/>
          <w:color w:val="212121"/>
          <w:kern w:val="0"/>
          <w:sz w:val="32"/>
          <w:szCs w:val="32"/>
          <w:lang w:val="en-US" w:eastAsia="zh-CN" w:bidi="ar-SA"/>
        </w:rPr>
        <w:t>　</w:t>
      </w:r>
      <w:r>
        <w:rPr>
          <w:rFonts w:hint="eastAsia" w:ascii="黑体" w:hAnsi="黑体" w:eastAsia="黑体" w:cs="黑体"/>
          <w:b/>
          <w:bCs/>
          <w:color w:val="212121"/>
          <w:kern w:val="0"/>
          <w:sz w:val="32"/>
          <w:szCs w:val="32"/>
          <w:lang w:val="en-US" w:eastAsia="zh-CN" w:bidi="ar-SA"/>
        </w:rPr>
        <w:t>　六、存在的问题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是没有配套资金。由于我县财政十分紧张，县计生协资金非常有限，因此只有省里的计划生育专项服务资金，而县、乡则没有相应的配套资金，以致使项目的辐射面和受益面不大。二是项目宣传力度不大。由于项目少，尤其是计生“三结合”项目，几年一个县才能分到一个，所以不敢大宣传，怕出现“僧多粥少”的局面。三是资金拨付不够及时。由于县级财政紧张，请求拨付专项资金时难以及时到位。</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七、整改措施和建议</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1、加大经费投入。</w:t>
      </w:r>
      <w:r>
        <w:rPr>
          <w:rFonts w:hint="eastAsia" w:ascii="仿宋" w:hAnsi="仿宋" w:eastAsia="仿宋" w:cs="仿宋"/>
          <w:sz w:val="32"/>
          <w:szCs w:val="32"/>
        </w:rPr>
        <w:t>建议省、市级财政加大投入，</w:t>
      </w:r>
      <w:r>
        <w:rPr>
          <w:rFonts w:hint="eastAsia" w:ascii="仿宋" w:hAnsi="仿宋" w:eastAsia="仿宋" w:cs="仿宋"/>
          <w:b w:val="0"/>
          <w:bCs w:val="0"/>
          <w:sz w:val="32"/>
          <w:szCs w:val="32"/>
        </w:rPr>
        <w:t>提高补助标准让更多符合条件的人群能够享受到国家的惠</w:t>
      </w:r>
      <w:r>
        <w:rPr>
          <w:rFonts w:hint="eastAsia" w:ascii="仿宋" w:hAnsi="仿宋" w:eastAsia="仿宋" w:cs="仿宋"/>
          <w:sz w:val="32"/>
          <w:szCs w:val="32"/>
        </w:rPr>
        <w:t>民政策。</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2、加大项目宣传力度。</w:t>
      </w:r>
      <w:r>
        <w:rPr>
          <w:rFonts w:hint="eastAsia" w:ascii="仿宋" w:hAnsi="仿宋" w:eastAsia="仿宋" w:cs="仿宋"/>
          <w:sz w:val="32"/>
          <w:szCs w:val="32"/>
        </w:rPr>
        <w:t>要督促各级合作保险公司加大省补助计划生育特殊家庭购买健康综合保险项目的宣传力度，发放特定宣传资料，让被保险人知晓权利，便于及时申报理赔。</w:t>
      </w:r>
    </w:p>
    <w:p>
      <w:pPr>
        <w:ind w:firstLine="643" w:firstLineChars="200"/>
        <w:rPr>
          <w:rFonts w:hint="eastAsia" w:ascii="仿宋" w:hAnsi="仿宋" w:eastAsia="仿宋" w:cs="仿宋"/>
          <w:b w:val="0"/>
          <w:bCs w:val="0"/>
          <w:kern w:val="2"/>
          <w:sz w:val="32"/>
          <w:szCs w:val="32"/>
          <w:lang w:val="en-US" w:eastAsia="zh-CN" w:bidi="ar-SA"/>
        </w:rPr>
      </w:pPr>
      <w:r>
        <w:rPr>
          <w:rFonts w:hint="eastAsia" w:ascii="楷体" w:hAnsi="楷体" w:eastAsia="楷体" w:cs="楷体"/>
          <w:b/>
          <w:bCs/>
          <w:sz w:val="32"/>
          <w:szCs w:val="32"/>
        </w:rPr>
        <w:t>3、</w:t>
      </w:r>
      <w:r>
        <w:rPr>
          <w:rFonts w:hint="eastAsia" w:ascii="楷体" w:hAnsi="楷体" w:eastAsia="楷体" w:cs="楷体"/>
          <w:b/>
          <w:bCs/>
          <w:sz w:val="32"/>
          <w:szCs w:val="32"/>
          <w:lang w:eastAsia="zh-CN"/>
        </w:rPr>
        <w:t>加强业务培训。</w:t>
      </w:r>
      <w:r>
        <w:rPr>
          <w:rFonts w:hint="eastAsia" w:ascii="仿宋" w:hAnsi="仿宋" w:eastAsia="仿宋" w:cs="仿宋"/>
          <w:sz w:val="32"/>
          <w:szCs w:val="32"/>
        </w:rPr>
        <w:t>建议省市加强对基层计划生育协会相关工作业务培训，提高基层计生协会服务能力，充实生育关怀和阵地建设内涵。防止出现政策执行偏差，对出现政策执行偏差的进行及时整改。</w:t>
      </w:r>
    </w:p>
    <w:p/>
    <w:sectPr>
      <w:pgSz w:w="10641" w:h="17019"/>
      <w:pgMar w:top="1803" w:right="1440" w:bottom="1803" w:left="1440"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FC21C"/>
    <w:multiLevelType w:val="singleLevel"/>
    <w:tmpl w:val="E2FFC21C"/>
    <w:lvl w:ilvl="0" w:tentative="0">
      <w:start w:val="5"/>
      <w:numFmt w:val="decimal"/>
      <w:suff w:val="nothing"/>
      <w:lvlText w:val="%1、"/>
      <w:lvlJc w:val="left"/>
    </w:lvl>
  </w:abstractNum>
  <w:abstractNum w:abstractNumId="1">
    <w:nsid w:val="35A3C89F"/>
    <w:multiLevelType w:val="singleLevel"/>
    <w:tmpl w:val="35A3C89F"/>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3c685ba3-4679-4c51-88e4-e9ea64a0302d"/>
  </w:docVars>
  <w:rsids>
    <w:rsidRoot w:val="06BD4AC9"/>
    <w:rsid w:val="06BD4AC9"/>
    <w:rsid w:val="0D942D77"/>
    <w:rsid w:val="2AC740FC"/>
    <w:rsid w:val="6B082390"/>
    <w:rsid w:val="75900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2024-09-06T08:13:00Z</dcterms:created>
  <dc:creator>九月</dc:creator>
  <cp:lastModifiedBy>九月</cp:lastModifiedBy>
  <dcterms:modified xsi:type="dcterms:W3CDTF">2024-09-06T08:13:56Z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798582807E72410A85A4770388BC087C_11</vt:lpwstr>
  </property>
</Properties>
</file>