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jc w:val="both"/>
        <w:rPr>
          <w:rFonts w:eastAsia="方正小标宋_GBK"/>
          <w:bCs/>
          <w:sz w:val="36"/>
          <w:szCs w:val="36"/>
        </w:rPr>
      </w:pPr>
      <w:r>
        <w:rPr>
          <w:rFonts w:hint="eastAsia" w:eastAsia="方正小标宋_GBK"/>
          <w:bCs/>
          <w:sz w:val="36"/>
          <w:szCs w:val="36"/>
          <w:lang w:eastAsia="zh-CN"/>
        </w:rPr>
        <w:t>辰溪县应急管理局</w:t>
      </w:r>
      <w:r>
        <w:rPr>
          <w:rFonts w:hint="eastAsia" w:eastAsia="方正小标宋_GBK"/>
          <w:bCs/>
          <w:sz w:val="36"/>
          <w:szCs w:val="36"/>
        </w:rPr>
        <w:t>部门整体支出绩效评价共性指标架</w:t>
      </w:r>
    </w:p>
    <w:tbl>
      <w:tblPr>
        <w:tblStyle w:val="4"/>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2019</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ascii="仿宋_GB2312" w:eastAsia="仿宋_GB2312"/>
                <w:szCs w:val="21"/>
              </w:rPr>
            </w:pP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92</w:t>
            </w:r>
          </w:p>
        </w:tc>
      </w:tr>
    </w:tbl>
    <w:p/>
    <w:p>
      <w:pPr>
        <w:widowControl/>
        <w:jc w:val="left"/>
      </w:pPr>
      <w:r>
        <w:br w:type="page"/>
      </w:r>
    </w:p>
    <w:p>
      <w:pPr>
        <w:jc w:val="left"/>
        <w:rPr>
          <w:rFonts w:hint="eastAsia" w:ascii="黑体" w:hAnsi="黑体" w:eastAsia="黑体" w:cs="黑体"/>
          <w:b w:val="0"/>
          <w:bCs w:val="0"/>
          <w:sz w:val="32"/>
          <w:szCs w:val="32"/>
          <w:lang w:val="en-US" w:eastAsia="zh-CN"/>
        </w:rPr>
      </w:pPr>
    </w:p>
    <w:p>
      <w:pPr>
        <w:jc w:val="center"/>
        <w:rPr>
          <w:rFonts w:hint="eastAsia" w:ascii="仿宋" w:hAnsi="仿宋" w:eastAsia="仿宋"/>
          <w:b/>
          <w:bCs/>
          <w:sz w:val="44"/>
          <w:szCs w:val="44"/>
        </w:rPr>
      </w:pPr>
    </w:p>
    <w:p>
      <w:pPr>
        <w:jc w:val="center"/>
        <w:rPr>
          <w:rFonts w:ascii="仿宋" w:hAnsi="仿宋" w:eastAsia="仿宋"/>
          <w:b/>
          <w:bCs/>
          <w:sz w:val="44"/>
          <w:szCs w:val="44"/>
        </w:rPr>
      </w:pPr>
      <w:r>
        <w:rPr>
          <w:rFonts w:hint="eastAsia" w:ascii="仿宋" w:hAnsi="仿宋" w:eastAsia="仿宋"/>
          <w:b/>
          <w:bCs/>
          <w:sz w:val="44"/>
          <w:szCs w:val="44"/>
        </w:rPr>
        <w:t>部门整体支出绩效评价基础数据表</w:t>
      </w:r>
    </w:p>
    <w:p>
      <w:pPr>
        <w:rPr>
          <w:rFonts w:hint="eastAsia" w:ascii="仿宋" w:hAnsi="仿宋" w:eastAsia="仿宋"/>
          <w:lang w:val="en-US" w:eastAsia="zh-CN"/>
        </w:rPr>
      </w:pPr>
      <w:r>
        <w:rPr>
          <w:rFonts w:hint="eastAsia" w:ascii="仿宋" w:hAnsi="仿宋" w:eastAsia="仿宋"/>
        </w:rPr>
        <w:t>填报单位：</w:t>
      </w:r>
      <w:r>
        <w:rPr>
          <w:rFonts w:hint="eastAsia" w:ascii="仿宋" w:hAnsi="仿宋" w:eastAsia="仿宋"/>
          <w:lang w:eastAsia="zh-CN"/>
        </w:rPr>
        <w:t>辰溪县应急管理局</w:t>
      </w:r>
      <w:r>
        <w:rPr>
          <w:rFonts w:hint="eastAsia" w:ascii="仿宋" w:hAnsi="仿宋" w:eastAsia="仿宋"/>
          <w:lang w:val="en-US" w:eastAsia="zh-CN"/>
        </w:rPr>
        <w:t xml:space="preserve">                                           单位：万元</w:t>
      </w:r>
    </w:p>
    <w:tbl>
      <w:tblPr>
        <w:tblStyle w:val="4"/>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pPr>
              <w:spacing w:line="440" w:lineRule="exact"/>
              <w:jc w:val="center"/>
              <w:rPr>
                <w:rFonts w:ascii="仿宋" w:hAnsi="仿宋" w:eastAsia="仿宋"/>
              </w:rPr>
            </w:pPr>
            <w:r>
              <w:rPr>
                <w:rFonts w:hint="eastAsia" w:ascii="仿宋" w:hAnsi="仿宋" w:eastAsia="仿宋"/>
              </w:rPr>
              <w:t>财政供养人员情况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编制数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年实际在职人数</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pPr>
              <w:widowControl/>
              <w:spacing w:line="440" w:lineRule="exact"/>
              <w:jc w:val="left"/>
              <w:rPr>
                <w:rFonts w:ascii="仿宋" w:hAnsi="仿宋" w:eastAsia="仿宋"/>
              </w:rPr>
            </w:pPr>
          </w:p>
        </w:tc>
        <w:tc>
          <w:tcPr>
            <w:tcW w:w="2181"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124</w:t>
            </w:r>
          </w:p>
        </w:tc>
        <w:tc>
          <w:tcPr>
            <w:tcW w:w="2292"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119</w:t>
            </w:r>
          </w:p>
        </w:tc>
        <w:tc>
          <w:tcPr>
            <w:tcW w:w="2244"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经费控制情况</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2019</w:t>
            </w:r>
            <w:r>
              <w:rPr>
                <w:rFonts w:hint="eastAsia" w:ascii="仿宋" w:hAnsi="仿宋" w:eastAsia="仿宋"/>
              </w:rPr>
              <w:t>年决算数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年预算数</w:t>
            </w:r>
          </w:p>
        </w:tc>
        <w:tc>
          <w:tcPr>
            <w:tcW w:w="2244"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三公经费</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22.98</w:t>
            </w:r>
          </w:p>
        </w:tc>
        <w:tc>
          <w:tcPr>
            <w:tcW w:w="2292"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31.6</w:t>
            </w: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26.96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、公务用车购置和维护经费</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14.67</w:t>
            </w:r>
          </w:p>
        </w:tc>
        <w:tc>
          <w:tcPr>
            <w:tcW w:w="2292"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18.7</w:t>
            </w: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14.07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其中：公车购置</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公车运行维护</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14.67</w:t>
            </w:r>
          </w:p>
        </w:tc>
        <w:tc>
          <w:tcPr>
            <w:tcW w:w="2292"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18.7</w:t>
            </w: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14.07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、出国经费</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3</w:t>
            </w:r>
            <w:r>
              <w:rPr>
                <w:rFonts w:hint="eastAsia" w:ascii="仿宋" w:hAnsi="仿宋" w:eastAsia="仿宋"/>
              </w:rPr>
              <w:t>、公务接待</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8.31</w:t>
            </w:r>
          </w:p>
        </w:tc>
        <w:tc>
          <w:tcPr>
            <w:tcW w:w="2292"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12.9</w:t>
            </w: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12.89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项目支出：</w:t>
            </w:r>
          </w:p>
        </w:tc>
        <w:tc>
          <w:tcPr>
            <w:tcW w:w="2181" w:type="dxa"/>
            <w:tcBorders>
              <w:left w:val="nil"/>
            </w:tcBorders>
          </w:tcPr>
          <w:p>
            <w:pPr>
              <w:spacing w:line="440" w:lineRule="exact"/>
              <w:rPr>
                <w:rFonts w:hint="default" w:ascii="仿宋" w:hAnsi="仿宋" w:eastAsia="仿宋"/>
                <w:lang w:val="en-US" w:eastAsia="zh-CN"/>
              </w:rPr>
            </w:pPr>
          </w:p>
        </w:tc>
        <w:tc>
          <w:tcPr>
            <w:tcW w:w="2292"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280</w:t>
            </w: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275.27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、业务工作专项</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280</w:t>
            </w: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275.27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、运行维护专项</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w:t>
            </w:r>
            <w:r>
              <w:rPr>
                <w:rFonts w:ascii="宋体" w:cs="宋体"/>
              </w:rPr>
              <w:t> </w:t>
            </w:r>
            <w:r>
              <w:rPr>
                <w:rFonts w:hint="eastAsia" w:ascii="仿宋" w:hAnsi="仿宋" w:eastAsia="仿宋"/>
              </w:rPr>
              <w:t>…</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公用经费</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252.09</w:t>
            </w:r>
          </w:p>
        </w:tc>
        <w:tc>
          <w:tcPr>
            <w:tcW w:w="2292" w:type="dxa"/>
            <w:tcBorders>
              <w:left w:val="nil"/>
            </w:tcBorders>
          </w:tcPr>
          <w:p>
            <w:pPr>
              <w:spacing w:line="440" w:lineRule="exact"/>
              <w:rPr>
                <w:rFonts w:hint="eastAsia" w:ascii="仿宋" w:hAnsi="仿宋" w:eastAsia="仿宋"/>
                <w:lang w:val="en-US" w:eastAsia="zh-CN"/>
              </w:rPr>
            </w:pP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244.10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其中：办公经费</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55.27</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51.57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水费、电费、差旅费</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42.54</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46.15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会议费、培训费</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6.37</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5.20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政府采购金额</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部门整体支出预算调整</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rPr>
                <w:rFonts w:hint="eastAsia" w:ascii="仿宋" w:hAnsi="仿宋" w:eastAsia="仿宋"/>
              </w:rPr>
            </w:pPr>
          </w:p>
        </w:tc>
        <w:tc>
          <w:tcPr>
            <w:tcW w:w="2181" w:type="dxa"/>
            <w:tcBorders>
              <w:left w:val="nil"/>
            </w:tcBorders>
            <w:vAlign w:val="center"/>
          </w:tcPr>
          <w:p>
            <w:pPr>
              <w:spacing w:line="440" w:lineRule="exact"/>
              <w:jc w:val="center"/>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bl>
    <w:p>
      <w:pPr>
        <w:spacing w:line="400" w:lineRule="exact"/>
        <w:rPr>
          <w:rFonts w:ascii="仿宋" w:hAnsi="仿宋" w:eastAsia="仿宋"/>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p/>
    <w:p/>
    <w:p/>
    <w:p/>
    <w:p/>
    <w:p/>
    <w:p/>
    <w:p>
      <w:pPr>
        <w:widowControl/>
        <w:spacing w:line="600" w:lineRule="exact"/>
        <w:jc w:val="left"/>
        <w:rPr>
          <w:rFonts w:hint="eastAsia" w:eastAsia="黑体"/>
          <w:kern w:val="0"/>
          <w:sz w:val="32"/>
          <w:szCs w:val="32"/>
        </w:rPr>
      </w:pPr>
    </w:p>
    <w:p>
      <w:pPr>
        <w:ind w:firstLine="883" w:firstLineChars="200"/>
        <w:jc w:val="center"/>
        <w:rPr>
          <w:rFonts w:hint="eastAsia" w:asciiTheme="minorEastAsia" w:hAnsiTheme="minorEastAsia" w:eastAsiaTheme="minorEastAsia" w:cstheme="minorEastAsia"/>
          <w:b/>
          <w:color w:val="000000"/>
          <w:kern w:val="0"/>
          <w:sz w:val="44"/>
          <w:szCs w:val="44"/>
        </w:rPr>
      </w:pPr>
    </w:p>
    <w:p>
      <w:pPr>
        <w:ind w:firstLine="883" w:firstLineChars="200"/>
        <w:jc w:val="center"/>
        <w:rPr>
          <w:rFonts w:hint="eastAsia" w:asciiTheme="minorEastAsia" w:hAnsiTheme="minorEastAsia" w:eastAsiaTheme="minorEastAsia" w:cstheme="minorEastAsia"/>
          <w:b/>
          <w:color w:val="000000"/>
          <w:kern w:val="0"/>
          <w:sz w:val="44"/>
          <w:szCs w:val="44"/>
        </w:rPr>
      </w:pPr>
    </w:p>
    <w:p>
      <w:pPr>
        <w:ind w:firstLine="883" w:firstLineChars="200"/>
        <w:jc w:val="center"/>
        <w:rPr>
          <w:rFonts w:hint="eastAsia" w:asciiTheme="minorEastAsia" w:hAnsiTheme="minorEastAsia" w:eastAsiaTheme="minorEastAsia" w:cstheme="minorEastAsia"/>
          <w:b/>
          <w:color w:val="000000"/>
          <w:kern w:val="0"/>
          <w:sz w:val="44"/>
          <w:szCs w:val="44"/>
        </w:rPr>
      </w:pPr>
    </w:p>
    <w:p>
      <w:pPr>
        <w:ind w:firstLine="883" w:firstLineChars="200"/>
        <w:jc w:val="center"/>
        <w:rPr>
          <w:rFonts w:hint="eastAsia" w:asciiTheme="minorEastAsia" w:hAnsiTheme="minorEastAsia" w:eastAsiaTheme="minorEastAsia" w:cstheme="minorEastAsia"/>
          <w:b/>
          <w:color w:val="000000"/>
          <w:kern w:val="0"/>
          <w:sz w:val="44"/>
          <w:szCs w:val="44"/>
        </w:rPr>
      </w:pPr>
    </w:p>
    <w:p>
      <w:pPr>
        <w:ind w:firstLine="883" w:firstLineChars="200"/>
        <w:jc w:val="center"/>
        <w:rPr>
          <w:rFonts w:hint="eastAsia" w:ascii="黑体" w:hAnsi="黑体" w:eastAsia="黑体" w:cs="黑体"/>
          <w:b/>
          <w:color w:val="000000"/>
          <w:kern w:val="0"/>
          <w:sz w:val="44"/>
          <w:szCs w:val="44"/>
        </w:rPr>
      </w:pPr>
      <w:r>
        <w:rPr>
          <w:rFonts w:hint="eastAsia" w:ascii="黑体" w:hAnsi="黑体" w:eastAsia="黑体" w:cs="黑体"/>
          <w:b/>
          <w:color w:val="000000"/>
          <w:kern w:val="0"/>
          <w:sz w:val="44"/>
          <w:szCs w:val="44"/>
          <w:lang w:eastAsia="zh-CN"/>
        </w:rPr>
        <w:t>辰溪县应急管理局</w:t>
      </w:r>
      <w:r>
        <w:rPr>
          <w:rFonts w:hint="eastAsia" w:ascii="黑体" w:hAnsi="黑体" w:eastAsia="黑体" w:cs="黑体"/>
          <w:b/>
          <w:color w:val="000000"/>
          <w:kern w:val="0"/>
          <w:sz w:val="44"/>
          <w:szCs w:val="44"/>
        </w:rPr>
        <w:t>20</w:t>
      </w:r>
      <w:r>
        <w:rPr>
          <w:rFonts w:hint="eastAsia" w:ascii="黑体" w:hAnsi="黑体" w:eastAsia="黑体" w:cs="黑体"/>
          <w:b/>
          <w:color w:val="000000"/>
          <w:kern w:val="0"/>
          <w:sz w:val="44"/>
          <w:szCs w:val="44"/>
          <w:lang w:val="en-US" w:eastAsia="zh-CN"/>
        </w:rPr>
        <w:t>20</w:t>
      </w:r>
      <w:r>
        <w:rPr>
          <w:rFonts w:hint="eastAsia" w:ascii="黑体" w:hAnsi="黑体" w:eastAsia="黑体" w:cs="黑体"/>
          <w:b/>
          <w:color w:val="000000"/>
          <w:kern w:val="0"/>
          <w:sz w:val="44"/>
          <w:szCs w:val="44"/>
        </w:rPr>
        <w:t>年度部门整体支出绩效评价报告</w:t>
      </w:r>
    </w:p>
    <w:p>
      <w:pPr>
        <w:spacing w:line="600" w:lineRule="exact"/>
        <w:jc w:val="center"/>
        <w:rPr>
          <w:rFonts w:hint="eastAsia" w:asciiTheme="minorEastAsia" w:hAnsiTheme="minorEastAsia" w:eastAsiaTheme="minorEastAsia" w:cstheme="minorEastAsia"/>
          <w:b/>
          <w:bCs/>
          <w:sz w:val="44"/>
          <w:szCs w:val="44"/>
        </w:rPr>
      </w:pPr>
    </w:p>
    <w:p>
      <w:pPr>
        <w:spacing w:line="600" w:lineRule="exact"/>
        <w:jc w:val="center"/>
        <w:rPr>
          <w:rFonts w:hint="eastAsia" w:asciiTheme="minorEastAsia" w:hAnsiTheme="minorEastAsia" w:eastAsiaTheme="minorEastAsia" w:cstheme="minorEastAsia"/>
          <w:sz w:val="32"/>
          <w:szCs w:val="32"/>
        </w:rPr>
      </w:pPr>
    </w:p>
    <w:p>
      <w:pPr>
        <w:widowControl/>
        <w:numPr>
          <w:ilvl w:val="0"/>
          <w:numId w:val="0"/>
        </w:numPr>
        <w:tabs>
          <w:tab w:val="left" w:pos="564"/>
        </w:tabs>
        <w:spacing w:line="560" w:lineRule="exact"/>
        <w:jc w:val="left"/>
        <w:rPr>
          <w:rFonts w:hint="eastAsia" w:ascii="黑体" w:hAnsi="黑体" w:eastAsia="黑体" w:cs="黑体"/>
          <w:b/>
          <w:bCs/>
          <w:sz w:val="32"/>
          <w:szCs w:val="32"/>
        </w:rPr>
      </w:pPr>
      <w:r>
        <w:rPr>
          <w:rFonts w:hint="eastAsia" w:ascii="黑体" w:hAnsi="黑体" w:eastAsia="黑体" w:cs="黑体"/>
          <w:b/>
          <w:bCs/>
          <w:sz w:val="32"/>
          <w:szCs w:val="32"/>
          <w:lang w:eastAsia="zh-CN"/>
        </w:rPr>
        <w:t>一、</w:t>
      </w:r>
      <w:r>
        <w:rPr>
          <w:rFonts w:hint="eastAsia" w:ascii="黑体" w:hAnsi="黑体" w:eastAsia="黑体" w:cs="黑体"/>
          <w:b/>
          <w:bCs/>
          <w:sz w:val="32"/>
          <w:szCs w:val="32"/>
        </w:rPr>
        <w:t>部门、单位基本情况</w:t>
      </w:r>
    </w:p>
    <w:p>
      <w:pPr>
        <w:widowControl/>
        <w:numPr>
          <w:ilvl w:val="0"/>
          <w:numId w:val="0"/>
        </w:numPr>
        <w:spacing w:line="560" w:lineRule="exact"/>
        <w:jc w:val="left"/>
        <w:rPr>
          <w:rFonts w:hint="eastAsia" w:asciiTheme="minorEastAsia" w:hAnsiTheme="minorEastAsia" w:eastAsiaTheme="minorEastAsia" w:cstheme="minorEastAsia"/>
          <w:b/>
          <w:bCs/>
          <w:sz w:val="32"/>
          <w:szCs w:val="32"/>
          <w:lang w:eastAsia="zh-CN"/>
        </w:rPr>
      </w:pPr>
      <w:r>
        <w:rPr>
          <w:rFonts w:hint="eastAsia" w:asciiTheme="minorEastAsia" w:hAnsiTheme="minorEastAsia" w:eastAsiaTheme="minorEastAsia" w:cstheme="minorEastAsia"/>
          <w:b/>
          <w:bCs/>
          <w:sz w:val="32"/>
          <w:szCs w:val="32"/>
          <w:lang w:eastAsia="zh-CN"/>
        </w:rPr>
        <w:t>（一）部门职责</w:t>
      </w:r>
    </w:p>
    <w:p>
      <w:pPr>
        <w:widowControl/>
        <w:spacing w:line="560" w:lineRule="exact"/>
        <w:ind w:firstLine="627" w:firstLineChars="196"/>
        <w:jc w:val="left"/>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辰溪县应急管理局是县政府工作部门，为正科级全额拨款单位。主要职责是：</w:t>
      </w:r>
    </w:p>
    <w:p>
      <w:pPr>
        <w:widowControl/>
        <w:spacing w:line="560" w:lineRule="exact"/>
        <w:ind w:firstLine="627" w:firstLineChars="196"/>
        <w:jc w:val="left"/>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负责应急管理工作，指导全县各乡镇各部门应对安全生产类、自然灾害类等突发事件和综合防灾减灾救灾工作。负责全县安全生产综合监督管理和矿山、危险化学品、烟花爆竹行业安全生产监督管理工作。负责全县消防管理有关工作。贯彻实施相关法律法规、部门规章、规程和标准，组织编制县应急体系建设、安全生产和综合防灾减灾规划，组织起草相关规范性文件，组织拟订相关政策、规程和标准并监督实施。依法组织生产安全事故调查处理。承担县防汛抗旱指挥部日常工作。</w:t>
      </w:r>
    </w:p>
    <w:p>
      <w:pPr>
        <w:widowControl/>
        <w:spacing w:line="560" w:lineRule="exact"/>
        <w:ind w:left="0" w:leftChars="0" w:firstLine="218" w:firstLineChars="68"/>
        <w:jc w:val="left"/>
        <w:rPr>
          <w:rFonts w:hint="eastAsia" w:asciiTheme="minorEastAsia" w:hAnsiTheme="minorEastAsia" w:eastAsiaTheme="minorEastAsia" w:cstheme="minorEastAsia"/>
          <w:b/>
          <w:bCs/>
          <w:sz w:val="32"/>
          <w:szCs w:val="32"/>
          <w:lang w:eastAsia="zh-CN"/>
        </w:rPr>
      </w:pPr>
      <w:r>
        <w:rPr>
          <w:rFonts w:hint="eastAsia" w:asciiTheme="minorEastAsia" w:hAnsiTheme="minorEastAsia" w:eastAsiaTheme="minorEastAsia" w:cstheme="minorEastAsia"/>
          <w:b/>
          <w:bCs/>
          <w:sz w:val="32"/>
          <w:szCs w:val="32"/>
          <w:lang w:eastAsia="zh-CN"/>
        </w:rPr>
        <w:t>（二）机构设置情况</w:t>
      </w:r>
    </w:p>
    <w:p>
      <w:pPr>
        <w:keepNext w:val="0"/>
        <w:keepLines w:val="0"/>
        <w:pageBreakBefore w:val="0"/>
        <w:widowControl/>
        <w:kinsoku/>
        <w:wordWrap/>
        <w:overflowPunct/>
        <w:topLinePunct w:val="0"/>
        <w:autoSpaceDE/>
        <w:autoSpaceDN/>
        <w:bidi w:val="0"/>
        <w:adjustRightInd/>
        <w:snapToGrid/>
        <w:ind w:firstLine="627" w:firstLineChars="196"/>
        <w:jc w:val="both"/>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辰溪县应急管理局</w:t>
      </w:r>
      <w:r>
        <w:rPr>
          <w:rFonts w:hint="eastAsia" w:asciiTheme="minorEastAsia" w:hAnsiTheme="minorEastAsia" w:eastAsiaTheme="minorEastAsia" w:cstheme="minorEastAsia"/>
          <w:sz w:val="32"/>
          <w:szCs w:val="32"/>
          <w:lang w:eastAsia="zh-CN"/>
        </w:rPr>
        <w:t>为一级部门预算单位。</w:t>
      </w:r>
      <w:r>
        <w:rPr>
          <w:rFonts w:hint="eastAsia" w:asciiTheme="minorEastAsia" w:hAnsiTheme="minorEastAsia" w:eastAsiaTheme="minorEastAsia" w:cstheme="minorEastAsia"/>
          <w:sz w:val="32"/>
          <w:szCs w:val="32"/>
        </w:rPr>
        <w:t>据辰办（201</w:t>
      </w:r>
      <w:r>
        <w:rPr>
          <w:rFonts w:hint="eastAsia" w:asciiTheme="minorEastAsia" w:hAnsiTheme="minorEastAsia" w:eastAsiaTheme="minorEastAsia" w:cstheme="minorEastAsia"/>
          <w:sz w:val="32"/>
          <w:szCs w:val="32"/>
          <w:lang w:val="en-US" w:eastAsia="zh-CN"/>
        </w:rPr>
        <w:t>9</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val="en-US" w:eastAsia="zh-CN"/>
        </w:rPr>
        <w:t>14</w:t>
      </w:r>
      <w:r>
        <w:rPr>
          <w:rFonts w:hint="eastAsia" w:asciiTheme="minorEastAsia" w:hAnsiTheme="minorEastAsia" w:eastAsiaTheme="minorEastAsia" w:cstheme="minorEastAsia"/>
          <w:sz w:val="32"/>
          <w:szCs w:val="32"/>
        </w:rPr>
        <w:t>号文核定行政编制1</w:t>
      </w:r>
      <w:r>
        <w:rPr>
          <w:rFonts w:hint="eastAsia" w:asciiTheme="minorEastAsia" w:hAnsiTheme="minorEastAsia" w:eastAsiaTheme="minorEastAsia" w:cstheme="minorEastAsia"/>
          <w:sz w:val="32"/>
          <w:szCs w:val="32"/>
          <w:lang w:val="en-US" w:eastAsia="zh-CN"/>
        </w:rPr>
        <w:t>6</w:t>
      </w:r>
      <w:r>
        <w:rPr>
          <w:rFonts w:hint="eastAsia" w:asciiTheme="minorEastAsia" w:hAnsiTheme="minorEastAsia" w:eastAsiaTheme="minorEastAsia" w:cstheme="minorEastAsia"/>
          <w:sz w:val="32"/>
          <w:szCs w:val="32"/>
        </w:rPr>
        <w:t>名。</w:t>
      </w:r>
      <w:r>
        <w:rPr>
          <w:rFonts w:hint="eastAsia" w:asciiTheme="minorEastAsia" w:hAnsiTheme="minorEastAsia" w:eastAsiaTheme="minorEastAsia" w:cstheme="minorEastAsia"/>
          <w:sz w:val="32"/>
          <w:szCs w:val="32"/>
          <w:lang w:eastAsia="zh-CN"/>
        </w:rPr>
        <w:t>设</w:t>
      </w:r>
      <w:r>
        <w:rPr>
          <w:rFonts w:hint="eastAsia" w:asciiTheme="minorEastAsia" w:hAnsiTheme="minorEastAsia" w:eastAsiaTheme="minorEastAsia" w:cstheme="minorEastAsia"/>
          <w:sz w:val="32"/>
          <w:szCs w:val="32"/>
        </w:rPr>
        <w:t>局长1名，副局长3名，</w:t>
      </w:r>
      <w:r>
        <w:rPr>
          <w:rFonts w:hint="eastAsia" w:asciiTheme="minorEastAsia" w:hAnsiTheme="minorEastAsia" w:eastAsiaTheme="minorEastAsia" w:cstheme="minorEastAsia"/>
          <w:sz w:val="32"/>
          <w:szCs w:val="32"/>
          <w:lang w:eastAsia="zh-CN"/>
        </w:rPr>
        <w:t>暂保留</w:t>
      </w:r>
      <w:r>
        <w:rPr>
          <w:rFonts w:hint="eastAsia" w:asciiTheme="minorEastAsia" w:hAnsiTheme="minorEastAsia" w:eastAsiaTheme="minorEastAsia" w:cstheme="minorEastAsia"/>
          <w:sz w:val="32"/>
          <w:szCs w:val="32"/>
        </w:rPr>
        <w:t>总工程师1名</w:t>
      </w:r>
      <w:r>
        <w:rPr>
          <w:rFonts w:hint="eastAsia" w:asciiTheme="minorEastAsia" w:hAnsiTheme="minorEastAsia" w:eastAsiaTheme="minorEastAsia" w:cstheme="minorEastAsia"/>
          <w:sz w:val="32"/>
          <w:szCs w:val="32"/>
          <w:lang w:eastAsia="zh-CN"/>
        </w:rPr>
        <w:t>，政工室主任</w:t>
      </w:r>
      <w:r>
        <w:rPr>
          <w:rFonts w:hint="eastAsia" w:asciiTheme="minorEastAsia" w:hAnsiTheme="minorEastAsia" w:eastAsiaTheme="minorEastAsia" w:cstheme="minorEastAsia"/>
          <w:sz w:val="32"/>
          <w:szCs w:val="32"/>
          <w:lang w:val="en-US" w:eastAsia="zh-CN"/>
        </w:rPr>
        <w:t>1名。</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outlineLvl w:val="9"/>
        <w:rPr>
          <w:rFonts w:hint="eastAsia" w:asciiTheme="minorEastAsia" w:hAnsiTheme="minorEastAsia" w:eastAsiaTheme="minorEastAsia" w:cstheme="minorEastAsia"/>
          <w:bCs/>
          <w:kern w:val="0"/>
          <w:sz w:val="32"/>
          <w:szCs w:val="32"/>
        </w:rPr>
      </w:pPr>
      <w:r>
        <w:rPr>
          <w:rFonts w:hint="eastAsia" w:asciiTheme="minorEastAsia" w:hAnsiTheme="minorEastAsia" w:eastAsiaTheme="minorEastAsia" w:cstheme="minorEastAsia"/>
          <w:sz w:val="32"/>
          <w:szCs w:val="32"/>
          <w:lang w:eastAsia="zh-CN"/>
        </w:rPr>
        <w:t>设下列内设机构：</w:t>
      </w:r>
    </w:p>
    <w:p>
      <w:pPr>
        <w:keepNext w:val="0"/>
        <w:keepLines w:val="0"/>
        <w:pageBreakBefore w:val="0"/>
        <w:widowControl/>
        <w:numPr>
          <w:ilvl w:val="0"/>
          <w:numId w:val="1"/>
        </w:numPr>
        <w:kinsoku/>
        <w:wordWrap/>
        <w:overflowPunct/>
        <w:topLinePunct w:val="0"/>
        <w:autoSpaceDE/>
        <w:autoSpaceDN/>
        <w:bidi w:val="0"/>
        <w:adjustRightInd/>
        <w:snapToGrid/>
        <w:ind w:firstLine="640" w:firstLineChars="200"/>
        <w:jc w:val="both"/>
        <w:textAlignment w:val="auto"/>
        <w:outlineLvl w:val="9"/>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 xml:space="preserve">办公室 </w:t>
      </w:r>
      <w:r>
        <w:rPr>
          <w:rFonts w:hint="eastAsia" w:asciiTheme="minorEastAsia" w:hAnsiTheme="minorEastAsia" w:eastAsiaTheme="minorEastAsia" w:cstheme="minorEastAsia"/>
          <w:sz w:val="32"/>
          <w:szCs w:val="32"/>
          <w:lang w:eastAsia="zh-CN"/>
        </w:rPr>
        <w:t>（人事财务股）。</w:t>
      </w:r>
      <w:r>
        <w:rPr>
          <w:rFonts w:hint="eastAsia" w:asciiTheme="minorEastAsia" w:hAnsiTheme="minorEastAsia" w:eastAsiaTheme="minorEastAsia" w:cstheme="minorEastAsia"/>
          <w:sz w:val="32"/>
          <w:szCs w:val="32"/>
        </w:rPr>
        <w:t xml:space="preserve"> </w:t>
      </w:r>
      <w:r>
        <w:rPr>
          <w:rFonts w:hint="eastAsia" w:asciiTheme="minorEastAsia" w:hAnsiTheme="minorEastAsia" w:eastAsiaTheme="minorEastAsia" w:cstheme="minorEastAsia"/>
          <w:sz w:val="32"/>
          <w:szCs w:val="32"/>
          <w:lang w:eastAsia="zh-CN"/>
        </w:rPr>
        <w:t>拟订机关各项工作规则和制度；</w:t>
      </w:r>
      <w:r>
        <w:rPr>
          <w:rFonts w:hint="eastAsia" w:asciiTheme="minorEastAsia" w:hAnsiTheme="minorEastAsia" w:eastAsiaTheme="minorEastAsia" w:cstheme="minorEastAsia"/>
          <w:sz w:val="32"/>
          <w:szCs w:val="32"/>
        </w:rPr>
        <w:t>负责文电、会务、保密、档案、信访、综治维稳、计划生育、车辆管理、后勤保障等日常事务管理工作，</w:t>
      </w:r>
      <w:r>
        <w:rPr>
          <w:rFonts w:hint="eastAsia" w:asciiTheme="minorEastAsia" w:hAnsiTheme="minorEastAsia" w:eastAsiaTheme="minorEastAsia" w:cstheme="minorEastAsia"/>
          <w:sz w:val="32"/>
          <w:szCs w:val="32"/>
          <w:lang w:eastAsia="zh-CN"/>
        </w:rPr>
        <w:t>组织开展应急管理对外交流与合作，负责机关干部职工人事方面工作；负责部门预决算、财务、装备和资产管理、内部审计工作。</w:t>
      </w:r>
    </w:p>
    <w:p>
      <w:pPr>
        <w:keepNext w:val="0"/>
        <w:keepLines w:val="0"/>
        <w:pageBreakBefore w:val="0"/>
        <w:widowControl/>
        <w:numPr>
          <w:ilvl w:val="0"/>
          <w:numId w:val="0"/>
        </w:numPr>
        <w:kinsoku/>
        <w:wordWrap/>
        <w:overflowPunct/>
        <w:topLinePunct w:val="0"/>
        <w:autoSpaceDE/>
        <w:autoSpaceDN/>
        <w:bidi w:val="0"/>
        <w:adjustRightInd/>
        <w:snapToGrid/>
        <w:ind w:firstLine="640" w:firstLineChars="200"/>
        <w:jc w:val="both"/>
        <w:textAlignment w:val="auto"/>
        <w:outlineLvl w:val="9"/>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eastAsiaTheme="minorEastAsia" w:cstheme="minorEastAsia"/>
          <w:sz w:val="32"/>
          <w:szCs w:val="32"/>
          <w:lang w:eastAsia="zh-CN"/>
        </w:rPr>
        <w:t>应急指挥中心。承担应急值守、机关政务值班等工作，拟订事故灾难和自然灾害分级应对制度，发布预警和灾情信息，拟订有关科技规划、计划并组织实施，组织指导应急管理、安全生产的科学技术研究、推广应用工作。</w:t>
      </w:r>
    </w:p>
    <w:p>
      <w:pPr>
        <w:keepNext w:val="0"/>
        <w:keepLines w:val="0"/>
        <w:pageBreakBefore w:val="0"/>
        <w:widowControl/>
        <w:numPr>
          <w:ilvl w:val="0"/>
          <w:numId w:val="0"/>
        </w:numPr>
        <w:kinsoku/>
        <w:wordWrap/>
        <w:overflowPunct/>
        <w:topLinePunct w:val="0"/>
        <w:autoSpaceDE/>
        <w:autoSpaceDN/>
        <w:bidi w:val="0"/>
        <w:adjustRightInd/>
        <w:snapToGrid/>
        <w:ind w:left="420" w:leftChars="200" w:firstLine="217" w:firstLineChars="68"/>
        <w:jc w:val="both"/>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w:t>
      </w:r>
      <w:r>
        <w:rPr>
          <w:rFonts w:hint="eastAsia" w:asciiTheme="minorEastAsia" w:hAnsiTheme="minorEastAsia" w:eastAsiaTheme="minorEastAsia" w:cstheme="minorEastAsia"/>
          <w:sz w:val="32"/>
          <w:szCs w:val="32"/>
          <w:lang w:eastAsia="zh-CN"/>
        </w:rPr>
        <w:t>风险监测和综合减灾</w:t>
      </w:r>
      <w:r>
        <w:rPr>
          <w:rFonts w:hint="eastAsia" w:asciiTheme="minorEastAsia" w:hAnsiTheme="minorEastAsia" w:eastAsiaTheme="minorEastAsia" w:cstheme="minorEastAsia"/>
          <w:sz w:val="32"/>
          <w:szCs w:val="32"/>
        </w:rPr>
        <w:t>股</w:t>
      </w:r>
      <w:r>
        <w:rPr>
          <w:rFonts w:hint="eastAsia" w:asciiTheme="minorEastAsia" w:hAnsiTheme="minorEastAsia" w:eastAsiaTheme="minorEastAsia" w:cstheme="minorEastAsia"/>
          <w:sz w:val="32"/>
          <w:szCs w:val="32"/>
          <w:lang w:eastAsia="zh-CN"/>
        </w:rPr>
        <w:t>。建立重大安全生产风险监测预警和评估论证机制，承担自然灾害综合监测预警工作。</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outlineLvl w:val="9"/>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rPr>
        <w:t>4、</w:t>
      </w:r>
      <w:r>
        <w:rPr>
          <w:rFonts w:hint="eastAsia" w:asciiTheme="minorEastAsia" w:hAnsiTheme="minorEastAsia" w:eastAsiaTheme="minorEastAsia" w:cstheme="minorEastAsia"/>
          <w:sz w:val="32"/>
          <w:szCs w:val="32"/>
          <w:lang w:eastAsia="zh-CN"/>
        </w:rPr>
        <w:t>救援协调和预案</w:t>
      </w:r>
      <w:r>
        <w:rPr>
          <w:rFonts w:hint="eastAsia" w:asciiTheme="minorEastAsia" w:hAnsiTheme="minorEastAsia" w:eastAsiaTheme="minorEastAsia" w:cstheme="minorEastAsia"/>
          <w:sz w:val="32"/>
          <w:szCs w:val="32"/>
        </w:rPr>
        <w:t>管理股</w:t>
      </w:r>
      <w:r>
        <w:rPr>
          <w:rFonts w:hint="eastAsia" w:asciiTheme="minorEastAsia" w:hAnsiTheme="minorEastAsia" w:eastAsiaTheme="minorEastAsia" w:cstheme="minorEastAsia"/>
          <w:sz w:val="32"/>
          <w:szCs w:val="32"/>
          <w:lang w:eastAsia="zh-CN"/>
        </w:rPr>
        <w:t>。统筹全县应急预案体系建设，承担预案演练的组织实施和指导监督工作，指导各</w:t>
      </w:r>
      <w:r>
        <w:rPr>
          <w:rFonts w:hint="eastAsia" w:asciiTheme="minorEastAsia" w:hAnsiTheme="minorEastAsia" w:eastAsiaTheme="minorEastAsia" w:cstheme="minorEastAsia"/>
          <w:sz w:val="32"/>
          <w:szCs w:val="32"/>
          <w:lang w:val="en-US" w:eastAsia="zh-CN"/>
        </w:rPr>
        <w:t>乡镇及社会应急救援力量建设。</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outlineLvl w:val="9"/>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5、</w:t>
      </w:r>
      <w:r>
        <w:rPr>
          <w:rFonts w:hint="eastAsia" w:asciiTheme="minorEastAsia" w:hAnsiTheme="minorEastAsia" w:eastAsiaTheme="minorEastAsia" w:cstheme="minorEastAsia"/>
          <w:sz w:val="32"/>
          <w:szCs w:val="32"/>
          <w:lang w:eastAsia="zh-CN"/>
        </w:rPr>
        <w:t>火灾防治</w:t>
      </w:r>
      <w:r>
        <w:rPr>
          <w:rFonts w:hint="eastAsia" w:asciiTheme="minorEastAsia" w:hAnsiTheme="minorEastAsia" w:eastAsiaTheme="minorEastAsia" w:cstheme="minorEastAsia"/>
          <w:sz w:val="32"/>
          <w:szCs w:val="32"/>
        </w:rPr>
        <w:t>管理股</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 xml:space="preserve"> </w:t>
      </w:r>
      <w:r>
        <w:rPr>
          <w:rFonts w:hint="eastAsia" w:asciiTheme="minorEastAsia" w:hAnsiTheme="minorEastAsia" w:eastAsiaTheme="minorEastAsia" w:cstheme="minorEastAsia"/>
          <w:sz w:val="32"/>
          <w:szCs w:val="32"/>
          <w:lang w:eastAsia="zh-CN"/>
        </w:rPr>
        <w:t>组织拟订消防规范性文件并监督实施，指导各乡镇火灾预防和火灾扑救工作。承担县森林防火指挥部办公室日常工作。</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6、</w:t>
      </w:r>
      <w:r>
        <w:rPr>
          <w:rFonts w:hint="eastAsia" w:asciiTheme="minorEastAsia" w:hAnsiTheme="minorEastAsia" w:eastAsiaTheme="minorEastAsia" w:cstheme="minorEastAsia"/>
          <w:sz w:val="32"/>
          <w:szCs w:val="32"/>
          <w:lang w:eastAsia="zh-CN"/>
        </w:rPr>
        <w:t>防汛抗旱</w:t>
      </w:r>
      <w:r>
        <w:rPr>
          <w:rFonts w:hint="eastAsia" w:asciiTheme="minorEastAsia" w:hAnsiTheme="minorEastAsia" w:eastAsiaTheme="minorEastAsia" w:cstheme="minorEastAsia"/>
          <w:sz w:val="32"/>
          <w:szCs w:val="32"/>
        </w:rPr>
        <w:t>股</w:t>
      </w:r>
      <w:r>
        <w:rPr>
          <w:rFonts w:hint="eastAsia" w:asciiTheme="minorEastAsia" w:hAnsiTheme="minorEastAsia" w:eastAsiaTheme="minorEastAsia" w:cstheme="minorEastAsia"/>
          <w:sz w:val="32"/>
          <w:szCs w:val="32"/>
          <w:lang w:eastAsia="zh-CN"/>
        </w:rPr>
        <w:t>。组织协调水旱灾害应急救援工作，组织协调台风防御工作。承担县防汛抗旱指挥部办公室的日常工作。</w:t>
      </w:r>
      <w:r>
        <w:rPr>
          <w:rFonts w:hint="eastAsia" w:asciiTheme="minorEastAsia" w:hAnsiTheme="minorEastAsia" w:eastAsiaTheme="minorEastAsia" w:cstheme="minorEastAsia"/>
          <w:sz w:val="32"/>
          <w:szCs w:val="32"/>
        </w:rPr>
        <w:t xml:space="preserve">  </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7、</w:t>
      </w:r>
      <w:r>
        <w:rPr>
          <w:rFonts w:hint="eastAsia" w:asciiTheme="minorEastAsia" w:hAnsiTheme="minorEastAsia" w:eastAsiaTheme="minorEastAsia" w:cstheme="minorEastAsia"/>
          <w:sz w:val="32"/>
          <w:szCs w:val="32"/>
          <w:lang w:eastAsia="zh-CN"/>
        </w:rPr>
        <w:t>地震和地质灾害救援</w:t>
      </w:r>
      <w:r>
        <w:rPr>
          <w:rFonts w:hint="eastAsia" w:asciiTheme="minorEastAsia" w:hAnsiTheme="minorEastAsia" w:eastAsiaTheme="minorEastAsia" w:cstheme="minorEastAsia"/>
          <w:sz w:val="32"/>
          <w:szCs w:val="32"/>
        </w:rPr>
        <w:t>股</w:t>
      </w:r>
      <w:r>
        <w:rPr>
          <w:rFonts w:hint="eastAsia" w:asciiTheme="minorEastAsia" w:hAnsiTheme="minorEastAsia" w:eastAsiaTheme="minorEastAsia" w:cstheme="minorEastAsia"/>
          <w:sz w:val="32"/>
          <w:szCs w:val="32"/>
          <w:lang w:eastAsia="zh-CN"/>
        </w:rPr>
        <w:t>。组织协调地震应急救援工作，指导协调地质灾害防治相关工作，组织重大地质灾害应急救援。</w:t>
      </w:r>
      <w:r>
        <w:rPr>
          <w:rFonts w:hint="eastAsia" w:asciiTheme="minorEastAsia" w:hAnsiTheme="minorEastAsia" w:eastAsiaTheme="minorEastAsia" w:cstheme="minorEastAsia"/>
          <w:sz w:val="32"/>
          <w:szCs w:val="32"/>
        </w:rPr>
        <w:t xml:space="preserve"> </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8、矿山和工贸行业安全监督管理股。负责矿山尾矿库等行业安全生产监督管理工作；负责冶金、有色、建材、机械、轻功、纺织、烟草、商贸等行业安全生产监督管理工作。</w:t>
      </w:r>
      <w:r>
        <w:rPr>
          <w:rFonts w:hint="eastAsia" w:asciiTheme="minorEastAsia" w:hAnsiTheme="minorEastAsia" w:eastAsiaTheme="minorEastAsia" w:cstheme="minorEastAsia"/>
          <w:sz w:val="32"/>
          <w:szCs w:val="32"/>
        </w:rPr>
        <w:t xml:space="preserve"> </w:t>
      </w:r>
      <w:r>
        <w:rPr>
          <w:rFonts w:hint="eastAsia" w:asciiTheme="minorEastAsia" w:hAnsiTheme="minorEastAsia" w:eastAsiaTheme="minorEastAsia" w:cstheme="minorEastAsia"/>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9、</w:t>
      </w:r>
      <w:r>
        <w:rPr>
          <w:rFonts w:hint="eastAsia" w:asciiTheme="minorEastAsia" w:hAnsiTheme="minorEastAsia" w:eastAsiaTheme="minorEastAsia" w:cstheme="minorEastAsia"/>
          <w:sz w:val="32"/>
          <w:szCs w:val="32"/>
          <w:lang w:eastAsia="zh-CN"/>
        </w:rPr>
        <w:t>危险化学品和烟花爆竹安全</w:t>
      </w:r>
      <w:r>
        <w:rPr>
          <w:rFonts w:hint="eastAsia" w:asciiTheme="minorEastAsia" w:hAnsiTheme="minorEastAsia" w:eastAsiaTheme="minorEastAsia" w:cstheme="minorEastAsia"/>
          <w:sz w:val="32"/>
          <w:szCs w:val="32"/>
        </w:rPr>
        <w:t>监督管理股</w:t>
      </w:r>
      <w:r>
        <w:rPr>
          <w:rFonts w:hint="eastAsia" w:asciiTheme="minorEastAsia" w:hAnsiTheme="minorEastAsia" w:eastAsiaTheme="minorEastAsia" w:cstheme="minorEastAsia"/>
          <w:sz w:val="32"/>
          <w:szCs w:val="32"/>
          <w:lang w:eastAsia="zh-CN"/>
        </w:rPr>
        <w:t>。负责危险化学品和烟花爆竹安全生产监督管理工作，依法监督检查相关行业生产经营单位贯彻落实安全生产法律法规和标准情况。</w:t>
      </w:r>
      <w:r>
        <w:rPr>
          <w:rFonts w:hint="eastAsia" w:asciiTheme="minorEastAsia" w:hAnsiTheme="minorEastAsia" w:eastAsiaTheme="minorEastAsia" w:cstheme="minorEastAsia"/>
          <w:sz w:val="32"/>
          <w:szCs w:val="32"/>
        </w:rPr>
        <w:t xml:space="preserve">  </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outlineLvl w:val="9"/>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10、</w:t>
      </w:r>
      <w:r>
        <w:rPr>
          <w:rFonts w:hint="eastAsia" w:asciiTheme="minorEastAsia" w:hAnsiTheme="minorEastAsia" w:eastAsiaTheme="minorEastAsia" w:cstheme="minorEastAsia"/>
          <w:sz w:val="32"/>
          <w:szCs w:val="32"/>
          <w:lang w:eastAsia="zh-CN"/>
        </w:rPr>
        <w:t>安全生产</w:t>
      </w:r>
      <w:r>
        <w:rPr>
          <w:rFonts w:hint="eastAsia" w:asciiTheme="minorEastAsia" w:hAnsiTheme="minorEastAsia" w:eastAsiaTheme="minorEastAsia" w:cstheme="minorEastAsia"/>
          <w:sz w:val="32"/>
          <w:szCs w:val="32"/>
        </w:rPr>
        <w:t>综合协调股</w:t>
      </w:r>
      <w:r>
        <w:rPr>
          <w:rFonts w:hint="eastAsia" w:asciiTheme="minorEastAsia" w:hAnsiTheme="minorEastAsia" w:eastAsiaTheme="minorEastAsia" w:cstheme="minorEastAsia"/>
          <w:sz w:val="32"/>
          <w:szCs w:val="32"/>
          <w:lang w:eastAsia="zh-CN"/>
        </w:rPr>
        <w:t>（调查评估和统计股）。</w:t>
      </w:r>
      <w:r>
        <w:rPr>
          <w:rFonts w:hint="eastAsia" w:asciiTheme="minorEastAsia" w:hAnsiTheme="minorEastAsia" w:eastAsiaTheme="minorEastAsia" w:cstheme="minorEastAsia"/>
          <w:sz w:val="32"/>
          <w:szCs w:val="32"/>
        </w:rPr>
        <w:t xml:space="preserve"> </w:t>
      </w:r>
      <w:r>
        <w:rPr>
          <w:rFonts w:hint="eastAsia" w:asciiTheme="minorEastAsia" w:hAnsiTheme="minorEastAsia" w:eastAsiaTheme="minorEastAsia" w:cstheme="minorEastAsia"/>
          <w:sz w:val="32"/>
          <w:szCs w:val="32"/>
          <w:lang w:eastAsia="zh-CN"/>
        </w:rPr>
        <w:t>依法依规</w:t>
      </w:r>
      <w:r>
        <w:rPr>
          <w:rFonts w:hint="eastAsia" w:asciiTheme="minorEastAsia" w:hAnsiTheme="minorEastAsia" w:eastAsiaTheme="minorEastAsia" w:cstheme="minorEastAsia"/>
          <w:sz w:val="32"/>
          <w:szCs w:val="32"/>
        </w:rPr>
        <w:t>指导协调</w:t>
      </w:r>
      <w:r>
        <w:rPr>
          <w:rFonts w:hint="eastAsia" w:asciiTheme="minorEastAsia" w:hAnsiTheme="minorEastAsia" w:eastAsiaTheme="minorEastAsia" w:cstheme="minorEastAsia"/>
          <w:sz w:val="32"/>
          <w:szCs w:val="32"/>
          <w:lang w:eastAsia="zh-CN"/>
        </w:rPr>
        <w:t>和监督有专门安全生产主管部门的行业和领域安全生产监督管理工作，组织协调全县安全生产检查以及专项督查、专项整治等工作。承担县安全生产委员会办公室日常工作。</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outlineLvl w:val="9"/>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11、救灾和物资保障股。承担灾情核查、损失评估、灾情报告、救灾捐赠等灾害救助工作，拟订应急物资储备规划和需求计划。</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outlineLvl w:val="9"/>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12、政策法规和行政审批股。组织起草相关规范性文件，组织拟订相关政策、规程和标准，承担重大政策研究工作；负责安全生产执法综合性工作。</w:t>
      </w:r>
    </w:p>
    <w:p>
      <w:pPr>
        <w:rPr>
          <w:rFonts w:hint="eastAsia" w:asciiTheme="minorEastAsia" w:hAnsiTheme="minorEastAsia" w:eastAsiaTheme="minorEastAsia" w:cstheme="minorEastAsia"/>
          <w:sz w:val="32"/>
          <w:szCs w:val="32"/>
        </w:rPr>
      </w:pPr>
    </w:p>
    <w:p>
      <w:pPr>
        <w:rPr>
          <w:rFonts w:hint="eastAsia" w:ascii="黑体" w:hAnsi="黑体" w:eastAsia="黑体" w:cs="黑体"/>
          <w:b/>
          <w:bCs/>
          <w:sz w:val="32"/>
          <w:szCs w:val="32"/>
        </w:rPr>
      </w:pPr>
      <w:r>
        <w:rPr>
          <w:rFonts w:hint="eastAsia" w:ascii="黑体" w:hAnsi="黑体" w:eastAsia="黑体" w:cs="黑体"/>
          <w:b/>
          <w:bCs/>
          <w:sz w:val="32"/>
          <w:szCs w:val="32"/>
        </w:rPr>
        <w:t>二、</w:t>
      </w:r>
      <w:r>
        <w:rPr>
          <w:rFonts w:hint="eastAsia" w:ascii="黑体" w:hAnsi="黑体" w:eastAsia="黑体" w:cs="黑体"/>
          <w:b/>
          <w:bCs/>
          <w:sz w:val="32"/>
          <w:szCs w:val="32"/>
          <w:lang w:eastAsia="zh-CN"/>
        </w:rPr>
        <w:t>部门整体</w:t>
      </w:r>
      <w:r>
        <w:rPr>
          <w:rFonts w:hint="eastAsia" w:ascii="黑体" w:hAnsi="黑体" w:eastAsia="黑体" w:cs="黑体"/>
          <w:b/>
          <w:bCs/>
          <w:sz w:val="32"/>
          <w:szCs w:val="32"/>
        </w:rPr>
        <w:t>支出情况</w:t>
      </w:r>
    </w:p>
    <w:p>
      <w:pPr>
        <w:pStyle w:val="9"/>
        <w:rPr>
          <w:rFonts w:hint="eastAsia" w:ascii="黑体" w:hAnsi="黑体" w:eastAsia="黑体" w:cs="黑体"/>
          <w:b/>
          <w:bCs/>
          <w:sz w:val="32"/>
          <w:szCs w:val="32"/>
        </w:rPr>
      </w:pPr>
      <w:r>
        <w:rPr>
          <w:rFonts w:hint="eastAsia" w:ascii="黑体" w:hAnsi="黑体" w:eastAsia="黑体" w:cs="黑体"/>
          <w:b/>
          <w:bCs/>
          <w:sz w:val="32"/>
          <w:szCs w:val="32"/>
        </w:rPr>
        <w:t>（一）</w:t>
      </w:r>
      <w:r>
        <w:rPr>
          <w:rFonts w:hint="eastAsia" w:ascii="黑体" w:hAnsi="黑体" w:eastAsia="黑体" w:cs="黑体"/>
          <w:b/>
          <w:bCs/>
          <w:sz w:val="32"/>
          <w:szCs w:val="32"/>
          <w:lang w:eastAsia="zh-CN"/>
        </w:rPr>
        <w:t>部门整体</w:t>
      </w:r>
      <w:r>
        <w:rPr>
          <w:rFonts w:hint="eastAsia" w:ascii="黑体" w:hAnsi="黑体" w:eastAsia="黑体" w:cs="黑体"/>
          <w:b/>
          <w:bCs/>
          <w:sz w:val="32"/>
          <w:szCs w:val="32"/>
        </w:rPr>
        <w:t>支出情况</w:t>
      </w:r>
    </w:p>
    <w:p>
      <w:pPr>
        <w:pStyle w:val="9"/>
        <w:ind w:firstLine="640" w:firstLineChars="200"/>
        <w:rPr>
          <w:rFonts w:hint="eastAsia" w:asciiTheme="minorEastAsia" w:hAnsiTheme="minorEastAsia" w:eastAsiaTheme="minorEastAsia" w:cstheme="minorEastAsia"/>
          <w:b w:val="0"/>
          <w:bCs w:val="0"/>
          <w:kern w:val="0"/>
          <w:sz w:val="32"/>
          <w:szCs w:val="32"/>
          <w:lang w:val="en-US" w:eastAsia="zh-CN"/>
        </w:rPr>
      </w:pPr>
      <w:r>
        <w:rPr>
          <w:rFonts w:hint="eastAsia" w:asciiTheme="minorEastAsia" w:hAnsiTheme="minorEastAsia" w:eastAsiaTheme="minorEastAsia" w:cstheme="minorEastAsia"/>
          <w:sz w:val="32"/>
          <w:szCs w:val="32"/>
          <w:lang w:val="en-US" w:eastAsia="zh-CN"/>
        </w:rPr>
        <w:t>2020年部门整体</w:t>
      </w:r>
      <w:r>
        <w:rPr>
          <w:rFonts w:hint="eastAsia" w:asciiTheme="minorEastAsia" w:hAnsiTheme="minorEastAsia" w:eastAsiaTheme="minorEastAsia" w:cstheme="minorEastAsia"/>
          <w:sz w:val="32"/>
          <w:szCs w:val="32"/>
        </w:rPr>
        <w:t>支出</w:t>
      </w:r>
      <w:r>
        <w:rPr>
          <w:rFonts w:hint="eastAsia" w:asciiTheme="minorEastAsia" w:hAnsiTheme="minorEastAsia" w:eastAsiaTheme="minorEastAsia" w:cstheme="minorEastAsia"/>
          <w:sz w:val="32"/>
          <w:szCs w:val="32"/>
          <w:lang w:eastAsia="zh-CN"/>
        </w:rPr>
        <w:t>总</w:t>
      </w:r>
      <w:r>
        <w:rPr>
          <w:rFonts w:hint="eastAsia" w:asciiTheme="minorEastAsia" w:hAnsiTheme="minorEastAsia" w:eastAsiaTheme="minorEastAsia" w:cstheme="minorEastAsia"/>
          <w:sz w:val="32"/>
          <w:szCs w:val="32"/>
        </w:rPr>
        <w:t>计</w:t>
      </w:r>
      <w:r>
        <w:rPr>
          <w:rFonts w:hint="eastAsia" w:asciiTheme="minorEastAsia" w:hAnsiTheme="minorEastAsia" w:eastAsiaTheme="minorEastAsia" w:cstheme="minorEastAsia"/>
          <w:sz w:val="32"/>
          <w:szCs w:val="32"/>
          <w:lang w:val="en-US" w:eastAsia="zh-CN"/>
        </w:rPr>
        <w:t>3325.79</w:t>
      </w:r>
      <w:r>
        <w:rPr>
          <w:rFonts w:hint="eastAsia" w:asciiTheme="minorEastAsia" w:hAnsiTheme="minorEastAsia" w:eastAsiaTheme="minorEastAsia" w:cstheme="minorEastAsia"/>
          <w:sz w:val="32"/>
          <w:szCs w:val="32"/>
        </w:rPr>
        <w:t>万元，其中：基本支出</w:t>
      </w:r>
      <w:r>
        <w:rPr>
          <w:rFonts w:hint="eastAsia" w:asciiTheme="minorEastAsia" w:hAnsiTheme="minorEastAsia" w:eastAsiaTheme="minorEastAsia" w:cstheme="minorEastAsia"/>
          <w:sz w:val="32"/>
          <w:szCs w:val="32"/>
          <w:lang w:val="en-US" w:eastAsia="zh-CN"/>
        </w:rPr>
        <w:t>3050.51</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91.72</w:t>
      </w:r>
      <w:r>
        <w:rPr>
          <w:rFonts w:hint="eastAsia" w:asciiTheme="minorEastAsia" w:hAnsiTheme="minorEastAsia" w:eastAsiaTheme="minorEastAsia" w:cstheme="minorEastAsia"/>
          <w:sz w:val="32"/>
          <w:szCs w:val="32"/>
        </w:rPr>
        <w:t>%；项目支出</w:t>
      </w:r>
      <w:r>
        <w:rPr>
          <w:rFonts w:hint="eastAsia" w:asciiTheme="minorEastAsia" w:hAnsiTheme="minorEastAsia" w:eastAsiaTheme="minorEastAsia" w:cstheme="minorEastAsia"/>
          <w:sz w:val="32"/>
          <w:szCs w:val="32"/>
          <w:lang w:val="en-US" w:eastAsia="zh-CN"/>
        </w:rPr>
        <w:t>275.27</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8.28</w:t>
      </w:r>
      <w:r>
        <w:rPr>
          <w:rFonts w:hint="eastAsia" w:asciiTheme="minorEastAsia" w:hAnsiTheme="minorEastAsia" w:eastAsiaTheme="minorEastAsia" w:cstheme="minorEastAsia"/>
          <w:sz w:val="32"/>
          <w:szCs w:val="32"/>
        </w:rPr>
        <w:t>%；上缴上级支出</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%；经营支出</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%；对附属单位补助支出</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%。与201</w:t>
      </w:r>
      <w:r>
        <w:rPr>
          <w:rFonts w:hint="eastAsia" w:asciiTheme="minorEastAsia" w:hAnsiTheme="minorEastAsia" w:eastAsiaTheme="minorEastAsia" w:cstheme="minorEastAsia"/>
          <w:sz w:val="32"/>
          <w:szCs w:val="32"/>
          <w:lang w:val="en-US" w:eastAsia="zh-CN"/>
        </w:rPr>
        <w:t>9</w:t>
      </w:r>
      <w:r>
        <w:rPr>
          <w:rFonts w:hint="eastAsia" w:asciiTheme="minorEastAsia" w:hAnsiTheme="minorEastAsia" w:eastAsiaTheme="minorEastAsia" w:cstheme="minorEastAsia"/>
          <w:sz w:val="32"/>
          <w:szCs w:val="32"/>
        </w:rPr>
        <w:t>年相比，</w:t>
      </w:r>
      <w:r>
        <w:rPr>
          <w:rFonts w:hint="eastAsia" w:asciiTheme="minorEastAsia" w:hAnsiTheme="minorEastAsia" w:eastAsiaTheme="minorEastAsia" w:cstheme="minorEastAsia"/>
          <w:sz w:val="32"/>
          <w:szCs w:val="32"/>
          <w:lang w:eastAsia="zh-CN"/>
        </w:rPr>
        <w:t>部门整体支出</w:t>
      </w:r>
      <w:r>
        <w:rPr>
          <w:rFonts w:hint="eastAsia" w:asciiTheme="minorEastAsia" w:hAnsiTheme="minorEastAsia" w:eastAsiaTheme="minorEastAsia" w:cstheme="minorEastAsia"/>
          <w:sz w:val="32"/>
          <w:szCs w:val="32"/>
        </w:rPr>
        <w:t>增加</w:t>
      </w:r>
      <w:r>
        <w:rPr>
          <w:rFonts w:hint="eastAsia" w:asciiTheme="minorEastAsia" w:hAnsiTheme="minorEastAsia" w:eastAsiaTheme="minorEastAsia" w:cstheme="minorEastAsia"/>
          <w:sz w:val="32"/>
          <w:szCs w:val="32"/>
          <w:lang w:val="en-US" w:eastAsia="zh-CN"/>
        </w:rPr>
        <w:t>1421.32</w:t>
      </w:r>
      <w:r>
        <w:rPr>
          <w:rFonts w:hint="eastAsia" w:asciiTheme="minorEastAsia" w:hAnsiTheme="minorEastAsia" w:eastAsiaTheme="minorEastAsia" w:cstheme="minorEastAsia"/>
          <w:sz w:val="32"/>
          <w:szCs w:val="32"/>
        </w:rPr>
        <w:t>万元，增长</w:t>
      </w:r>
      <w:r>
        <w:rPr>
          <w:rFonts w:hint="eastAsia" w:asciiTheme="minorEastAsia" w:hAnsiTheme="minorEastAsia" w:eastAsiaTheme="minorEastAsia" w:cstheme="minorEastAsia"/>
          <w:sz w:val="32"/>
          <w:szCs w:val="32"/>
          <w:lang w:val="en-US" w:eastAsia="zh-CN"/>
        </w:rPr>
        <w:t>74.63</w:t>
      </w:r>
      <w:r>
        <w:rPr>
          <w:rFonts w:hint="eastAsia" w:asciiTheme="minorEastAsia" w:hAnsiTheme="minorEastAsia" w:eastAsiaTheme="minorEastAsia" w:cstheme="minorEastAsia"/>
          <w:sz w:val="32"/>
          <w:szCs w:val="32"/>
        </w:rPr>
        <w:t>%，主要是因为</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sz w:val="32"/>
          <w:szCs w:val="32"/>
          <w:lang w:val="en-US" w:eastAsia="zh-CN"/>
        </w:rPr>
        <w:t>2020年度追加了疫情防控资金、中央自然灾害救灾资金经费预，</w:t>
      </w:r>
      <w:r>
        <w:rPr>
          <w:rFonts w:hint="eastAsia" w:asciiTheme="minorEastAsia" w:hAnsiTheme="minorEastAsia" w:eastAsiaTheme="minorEastAsia" w:cstheme="minorEastAsia"/>
          <w:b w:val="0"/>
          <w:bCs w:val="0"/>
          <w:sz w:val="32"/>
          <w:szCs w:val="32"/>
          <w:lang w:val="en-US" w:eastAsia="zh-CN"/>
        </w:rPr>
        <w:t>相应增加了疫情防控，应急管理开支。</w:t>
      </w:r>
    </w:p>
    <w:p>
      <w:pPr>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20</w:t>
      </w:r>
      <w:r>
        <w:rPr>
          <w:rFonts w:hint="eastAsia" w:asciiTheme="minorEastAsia" w:hAnsiTheme="minorEastAsia" w:cstheme="minorEastAsia"/>
          <w:sz w:val="32"/>
          <w:szCs w:val="32"/>
          <w:lang w:val="en-US" w:eastAsia="zh-CN"/>
        </w:rPr>
        <w:t>20</w:t>
      </w:r>
      <w:r>
        <w:rPr>
          <w:rFonts w:hint="eastAsia" w:asciiTheme="minorEastAsia" w:hAnsiTheme="minorEastAsia" w:eastAsiaTheme="minorEastAsia" w:cstheme="minorEastAsia"/>
          <w:sz w:val="32"/>
          <w:szCs w:val="32"/>
          <w:lang w:val="en-US" w:eastAsia="zh-CN"/>
        </w:rPr>
        <w:t>年总</w:t>
      </w:r>
      <w:r>
        <w:rPr>
          <w:rFonts w:hint="eastAsia" w:asciiTheme="minorEastAsia" w:hAnsiTheme="minorEastAsia" w:eastAsiaTheme="minorEastAsia" w:cstheme="minorEastAsia"/>
          <w:sz w:val="32"/>
          <w:szCs w:val="32"/>
        </w:rPr>
        <w:t>支出合计</w:t>
      </w:r>
      <w:r>
        <w:rPr>
          <w:rFonts w:hint="eastAsia" w:asciiTheme="minorEastAsia" w:hAnsiTheme="minorEastAsia" w:cstheme="minorEastAsia"/>
          <w:sz w:val="32"/>
          <w:szCs w:val="32"/>
          <w:lang w:val="en-US" w:eastAsia="zh-CN"/>
        </w:rPr>
        <w:t>3325.79</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全部为一般公共预算财政拨款支出。</w:t>
      </w:r>
      <w:r>
        <w:rPr>
          <w:rFonts w:hint="eastAsia" w:asciiTheme="minorEastAsia" w:hAnsiTheme="minorEastAsia" w:eastAsiaTheme="minorEastAsia" w:cstheme="minorEastAsia"/>
          <w:sz w:val="32"/>
          <w:szCs w:val="32"/>
        </w:rPr>
        <w:t>其中：</w:t>
      </w:r>
    </w:p>
    <w:p>
      <w:pPr>
        <w:numPr>
          <w:ilvl w:val="0"/>
          <w:numId w:val="2"/>
        </w:numPr>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人员经费</w:t>
      </w:r>
      <w:r>
        <w:rPr>
          <w:rFonts w:hint="eastAsia" w:asciiTheme="minorEastAsia" w:hAnsiTheme="minorEastAsia" w:cstheme="minorEastAsia"/>
          <w:sz w:val="32"/>
          <w:szCs w:val="32"/>
          <w:lang w:val="en-US" w:eastAsia="zh-CN"/>
        </w:rPr>
        <w:t>2806.42</w:t>
      </w:r>
      <w:r>
        <w:rPr>
          <w:rFonts w:hint="eastAsia" w:asciiTheme="minorEastAsia" w:hAnsiTheme="minorEastAsia" w:eastAsiaTheme="minorEastAsia" w:cstheme="minorEastAsia"/>
          <w:sz w:val="32"/>
          <w:szCs w:val="32"/>
        </w:rPr>
        <w:t>万元，占基本支出的</w:t>
      </w:r>
      <w:r>
        <w:rPr>
          <w:rFonts w:hint="eastAsia" w:asciiTheme="minorEastAsia" w:hAnsiTheme="minorEastAsia" w:cstheme="minorEastAsia"/>
          <w:sz w:val="32"/>
          <w:szCs w:val="32"/>
          <w:lang w:val="en-US" w:eastAsia="zh-CN"/>
        </w:rPr>
        <w:t>92.00</w:t>
      </w:r>
      <w:r>
        <w:rPr>
          <w:rFonts w:hint="eastAsia" w:asciiTheme="minorEastAsia" w:hAnsiTheme="minorEastAsia" w:eastAsiaTheme="minorEastAsia" w:cstheme="minorEastAsia"/>
          <w:sz w:val="32"/>
          <w:szCs w:val="32"/>
        </w:rPr>
        <w:t>%,主要包括基本工资、津贴补贴、奖金、</w:t>
      </w:r>
      <w:r>
        <w:rPr>
          <w:rFonts w:hint="eastAsia" w:asciiTheme="minorEastAsia" w:hAnsiTheme="minorEastAsia" w:eastAsiaTheme="minorEastAsia" w:cstheme="minorEastAsia"/>
          <w:sz w:val="32"/>
          <w:szCs w:val="32"/>
          <w:lang w:eastAsia="zh-CN"/>
        </w:rPr>
        <w:t>五险二金、住房公积金其他工作福利支出、救济费、其他对个人和家庭的补助；</w:t>
      </w:r>
    </w:p>
    <w:p>
      <w:pPr>
        <w:numPr>
          <w:ilvl w:val="0"/>
          <w:numId w:val="2"/>
        </w:numPr>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公用经费</w:t>
      </w:r>
      <w:r>
        <w:rPr>
          <w:rFonts w:hint="eastAsia" w:asciiTheme="minorEastAsia" w:hAnsiTheme="minorEastAsia" w:cstheme="minorEastAsia"/>
          <w:sz w:val="32"/>
          <w:szCs w:val="32"/>
          <w:lang w:val="en-US" w:eastAsia="zh-CN"/>
        </w:rPr>
        <w:t>244.10</w:t>
      </w:r>
      <w:r>
        <w:rPr>
          <w:rFonts w:hint="eastAsia" w:asciiTheme="minorEastAsia" w:hAnsiTheme="minorEastAsia" w:eastAsiaTheme="minorEastAsia" w:cstheme="minorEastAsia"/>
          <w:sz w:val="32"/>
          <w:szCs w:val="32"/>
        </w:rPr>
        <w:t>万元，占基本支出的</w:t>
      </w:r>
      <w:r>
        <w:rPr>
          <w:rFonts w:hint="eastAsia" w:asciiTheme="minorEastAsia" w:hAnsiTheme="minorEastAsia" w:cstheme="minorEastAsia"/>
          <w:sz w:val="32"/>
          <w:szCs w:val="32"/>
          <w:lang w:val="en-US" w:eastAsia="zh-CN"/>
        </w:rPr>
        <w:t>8.00</w:t>
      </w:r>
      <w:r>
        <w:rPr>
          <w:rFonts w:hint="eastAsia" w:asciiTheme="minorEastAsia" w:hAnsiTheme="minorEastAsia" w:eastAsiaTheme="minorEastAsia" w:cstheme="minorEastAsia"/>
          <w:sz w:val="32"/>
          <w:szCs w:val="32"/>
        </w:rPr>
        <w:t>%，主要包括办公费、印刷费、咨询费、手续费</w:t>
      </w:r>
      <w:r>
        <w:rPr>
          <w:rFonts w:hint="eastAsia" w:asciiTheme="minorEastAsia" w:hAnsiTheme="minorEastAsia" w:eastAsiaTheme="minorEastAsia" w:cstheme="minorEastAsia"/>
          <w:sz w:val="32"/>
          <w:szCs w:val="32"/>
          <w:lang w:eastAsia="zh-CN"/>
        </w:rPr>
        <w:t>、电费、邮电费、差旅费、培训费、公务接待费、工会经费、公务用车运行维护费、其他商品和服务支出等</w:t>
      </w:r>
      <w:r>
        <w:rPr>
          <w:rFonts w:hint="eastAsia" w:asciiTheme="minorEastAsia" w:hAnsiTheme="minorEastAsia" w:cstheme="minorEastAsia"/>
          <w:sz w:val="32"/>
          <w:szCs w:val="32"/>
          <w:lang w:eastAsia="zh-CN"/>
        </w:rPr>
        <w:t>；</w:t>
      </w:r>
    </w:p>
    <w:p>
      <w:pPr>
        <w:numPr>
          <w:ilvl w:val="0"/>
          <w:numId w:val="2"/>
        </w:numPr>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项目支出</w:t>
      </w:r>
      <w:r>
        <w:rPr>
          <w:rFonts w:hint="eastAsia" w:asciiTheme="minorEastAsia" w:hAnsiTheme="minorEastAsia" w:eastAsiaTheme="minorEastAsia" w:cstheme="minorEastAsia"/>
          <w:sz w:val="32"/>
          <w:szCs w:val="32"/>
          <w:lang w:val="en-US" w:eastAsia="zh-CN"/>
        </w:rPr>
        <w:t>275.27</w:t>
      </w:r>
      <w:r>
        <w:rPr>
          <w:rFonts w:hint="eastAsia" w:asciiTheme="minorEastAsia" w:hAnsiTheme="minorEastAsia" w:eastAsiaTheme="minorEastAsia" w:cstheme="minorEastAsia"/>
          <w:sz w:val="32"/>
          <w:szCs w:val="32"/>
        </w:rPr>
        <w:t>万元</w:t>
      </w:r>
      <w:r>
        <w:rPr>
          <w:rFonts w:hint="eastAsia" w:asciiTheme="minorEastAsia" w:hAnsiTheme="minorEastAsia" w:cstheme="minorEastAsia"/>
          <w:sz w:val="32"/>
          <w:szCs w:val="32"/>
          <w:lang w:eastAsia="zh-CN"/>
        </w:rPr>
        <w:t>，主要包括办公设备购置、专用设备购置、信息网络及软件购置更新、其他资本性支出等。</w:t>
      </w:r>
    </w:p>
    <w:p>
      <w:pPr>
        <w:pStyle w:val="9"/>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2020年总支出合计3325.79万元</w:t>
      </w:r>
      <w:r>
        <w:rPr>
          <w:rFonts w:hint="eastAsia" w:asciiTheme="minorEastAsia" w:hAnsiTheme="minorEastAsia" w:eastAsiaTheme="minorEastAsia" w:cstheme="minorEastAsia"/>
          <w:sz w:val="32"/>
          <w:szCs w:val="32"/>
        </w:rPr>
        <w:t>按支出功能分类主要用于以下方面:</w:t>
      </w:r>
      <w:r>
        <w:rPr>
          <w:rFonts w:hint="eastAsia" w:asciiTheme="minorEastAsia" w:hAnsiTheme="minorEastAsia" w:eastAsiaTheme="minorEastAsia" w:cstheme="minorEastAsia"/>
          <w:sz w:val="32"/>
          <w:szCs w:val="32"/>
          <w:lang w:eastAsia="zh-CN"/>
        </w:rPr>
        <w:t>社会保障和就业</w:t>
      </w:r>
      <w:r>
        <w:rPr>
          <w:rFonts w:hint="eastAsia" w:asciiTheme="minorEastAsia" w:hAnsiTheme="minorEastAsia" w:eastAsiaTheme="minorEastAsia" w:cstheme="minorEastAsia"/>
          <w:sz w:val="32"/>
          <w:szCs w:val="32"/>
        </w:rPr>
        <w:t>支出</w:t>
      </w:r>
      <w:r>
        <w:rPr>
          <w:rFonts w:hint="eastAsia" w:asciiTheme="minorEastAsia" w:hAnsiTheme="minorEastAsia" w:eastAsiaTheme="minorEastAsia" w:cstheme="minorEastAsia"/>
          <w:sz w:val="32"/>
          <w:szCs w:val="32"/>
          <w:lang w:val="en-US" w:eastAsia="zh-CN"/>
        </w:rPr>
        <w:t>130.44</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3.92</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eastAsia="zh-CN"/>
        </w:rPr>
        <w:t>住房保障</w:t>
      </w:r>
      <w:r>
        <w:rPr>
          <w:rFonts w:hint="eastAsia" w:asciiTheme="minorEastAsia" w:hAnsiTheme="minorEastAsia" w:eastAsiaTheme="minorEastAsia" w:cstheme="minorEastAsia"/>
          <w:sz w:val="32"/>
          <w:szCs w:val="32"/>
        </w:rPr>
        <w:t>支出</w:t>
      </w:r>
      <w:r>
        <w:rPr>
          <w:rFonts w:hint="eastAsia" w:asciiTheme="minorEastAsia" w:hAnsiTheme="minorEastAsia" w:eastAsiaTheme="minorEastAsia" w:cstheme="minorEastAsia"/>
          <w:sz w:val="32"/>
          <w:szCs w:val="32"/>
          <w:lang w:val="en-US" w:eastAsia="zh-CN"/>
        </w:rPr>
        <w:t>24.64</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0.74</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eastAsia="zh-CN"/>
        </w:rPr>
        <w:t>灾害防治及应急管理支出</w:t>
      </w:r>
      <w:r>
        <w:rPr>
          <w:rFonts w:hint="eastAsia" w:asciiTheme="minorEastAsia" w:hAnsiTheme="minorEastAsia" w:eastAsiaTheme="minorEastAsia" w:cstheme="minorEastAsia"/>
          <w:sz w:val="32"/>
          <w:szCs w:val="32"/>
          <w:lang w:val="en-US" w:eastAsia="zh-CN"/>
        </w:rPr>
        <w:t>3170.71，占95.34%。</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cstheme="minorEastAsia"/>
          <w:sz w:val="32"/>
          <w:szCs w:val="32"/>
        </w:rPr>
        <w:t>20</w:t>
      </w:r>
      <w:r>
        <w:rPr>
          <w:rFonts w:hint="eastAsia" w:asciiTheme="minorEastAsia" w:hAnsiTheme="minorEastAsia" w:eastAsiaTheme="minorEastAsia" w:cstheme="minorEastAsia"/>
          <w:sz w:val="32"/>
          <w:szCs w:val="32"/>
          <w:lang w:val="en-US" w:eastAsia="zh-CN"/>
        </w:rPr>
        <w:t>20</w:t>
      </w:r>
      <w:r>
        <w:rPr>
          <w:rFonts w:hint="eastAsia" w:asciiTheme="minorEastAsia" w:hAnsiTheme="minorEastAsia" w:eastAsiaTheme="minorEastAsia" w:cstheme="minorEastAsia"/>
          <w:sz w:val="32"/>
          <w:szCs w:val="32"/>
        </w:rPr>
        <w:t>年度“三公”经费支出决算</w:t>
      </w:r>
      <w:r>
        <w:rPr>
          <w:rFonts w:hint="eastAsia" w:asciiTheme="minorEastAsia" w:hAnsiTheme="minorEastAsia" w:eastAsiaTheme="minorEastAsia" w:cstheme="minorEastAsia"/>
          <w:sz w:val="32"/>
          <w:szCs w:val="32"/>
          <w:lang w:eastAsia="zh-CN"/>
        </w:rPr>
        <w:t>数为</w:t>
      </w:r>
      <w:r>
        <w:rPr>
          <w:rFonts w:hint="eastAsia" w:asciiTheme="minorEastAsia" w:hAnsiTheme="minorEastAsia" w:eastAsiaTheme="minorEastAsia" w:cstheme="minorEastAsia"/>
          <w:sz w:val="32"/>
          <w:szCs w:val="32"/>
          <w:lang w:val="en-US" w:eastAsia="zh-CN"/>
        </w:rPr>
        <w:t>26.96万元。其中：</w:t>
      </w:r>
      <w:r>
        <w:rPr>
          <w:rFonts w:hint="eastAsia" w:asciiTheme="minorEastAsia" w:hAnsiTheme="minorEastAsia" w:eastAsiaTheme="minorEastAsia"/>
          <w:sz w:val="32"/>
          <w:szCs w:val="32"/>
        </w:rPr>
        <w:t>公务接待费支出决算</w:t>
      </w:r>
      <w:r>
        <w:rPr>
          <w:rFonts w:hint="eastAsia" w:asciiTheme="minorEastAsia" w:hAnsiTheme="minorEastAsia" w:eastAsiaTheme="minorEastAsia"/>
          <w:sz w:val="32"/>
          <w:szCs w:val="32"/>
          <w:lang w:val="en-US" w:eastAsia="zh-CN"/>
        </w:rPr>
        <w:t>12.89</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47.81</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lang w:val="en-US" w:eastAsia="zh-CN"/>
        </w:rPr>
        <w:t>14.07</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lang w:val="en-US" w:eastAsia="zh-CN"/>
        </w:rPr>
        <w:t>52.19</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rPr>
        <w:t>%。其中：</w:t>
      </w:r>
    </w:p>
    <w:p>
      <w:pPr>
        <w:pStyle w:val="9"/>
        <w:ind w:firstLine="960" w:firstLineChars="3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p>
    <w:p>
      <w:pPr>
        <w:pStyle w:val="9"/>
        <w:ind w:firstLine="960" w:firstLineChars="30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lang w:val="en-US" w:eastAsia="zh-CN"/>
        </w:rPr>
        <w:t>12.89</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lang w:val="en-US" w:eastAsia="zh-CN"/>
        </w:rPr>
        <w:t>198</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lang w:val="en-US" w:eastAsia="zh-CN"/>
        </w:rPr>
        <w:t>1074</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rPr>
        <w:t>人次，主要是相关单位交流工作情况、接受相关部门检查指导工作发生的接待支出。</w:t>
      </w:r>
    </w:p>
    <w:p>
      <w:pPr>
        <w:rPr>
          <w:rFonts w:hint="eastAsia" w:asciiTheme="minorEastAsia" w:hAnsiTheme="minorEastAsia" w:eastAsiaTheme="minorEastAsia" w:cstheme="minorEastAsia"/>
          <w:color w:val="000000"/>
          <w:kern w:val="0"/>
          <w:sz w:val="32"/>
          <w:szCs w:val="32"/>
          <w:lang w:eastAsia="zh-CN"/>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eastAsia="zh-CN"/>
        </w:rPr>
        <w:t xml:space="preserve"> </w:t>
      </w:r>
      <w:r>
        <w:rPr>
          <w:rFonts w:hint="eastAsia" w:asciiTheme="minorEastAsia" w:hAnsiTheme="minorEastAsia"/>
          <w:sz w:val="32"/>
          <w:szCs w:val="32"/>
          <w:lang w:val="en-US" w:eastAsia="zh-CN"/>
        </w:rPr>
        <w:t>14.07</w:t>
      </w:r>
      <w:r>
        <w:rPr>
          <w:rFonts w:hint="eastAsia" w:asciiTheme="minorEastAsia" w:hAnsiTheme="minorEastAsia"/>
          <w:sz w:val="32"/>
          <w:szCs w:val="32"/>
          <w:lang w:eastAsia="zh-CN"/>
        </w:rPr>
        <w:t xml:space="preserve"> </w:t>
      </w:r>
      <w:r>
        <w:rPr>
          <w:rFonts w:hint="eastAsia" w:asciiTheme="minorEastAsia" w:hAnsiTheme="minorEastAsia"/>
          <w:sz w:val="32"/>
          <w:szCs w:val="32"/>
        </w:rPr>
        <w:t>万元，其中：公务用车购置费</w:t>
      </w:r>
      <w:r>
        <w:rPr>
          <w:rFonts w:hint="eastAsia" w:asciiTheme="minorEastAsia" w:hAnsiTheme="minorEastAsia"/>
          <w:sz w:val="32"/>
          <w:szCs w:val="32"/>
          <w:lang w:eastAsia="zh-CN"/>
        </w:rPr>
        <w:t xml:space="preserve"> </w:t>
      </w:r>
      <w:r>
        <w:rPr>
          <w:rFonts w:hint="eastAsia" w:asciiTheme="minorEastAsia" w:hAnsiTheme="minorEastAsia"/>
          <w:sz w:val="32"/>
          <w:szCs w:val="32"/>
          <w:lang w:val="en-US" w:eastAsia="zh-CN"/>
        </w:rPr>
        <w:t>0</w:t>
      </w:r>
      <w:r>
        <w:rPr>
          <w:rFonts w:hint="eastAsia" w:asciiTheme="minorEastAsia" w:hAnsiTheme="minorEastAsia"/>
          <w:sz w:val="32"/>
          <w:szCs w:val="32"/>
          <w:lang w:eastAsia="zh-CN"/>
        </w:rPr>
        <w:t xml:space="preserve"> </w:t>
      </w:r>
      <w:r>
        <w:rPr>
          <w:rFonts w:hint="eastAsia" w:asciiTheme="minorEastAsia" w:hAnsiTheme="minorEastAsia"/>
          <w:sz w:val="32"/>
          <w:szCs w:val="32"/>
        </w:rPr>
        <w:t>万元</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eastAsia="zh-CN"/>
        </w:rPr>
        <w:t xml:space="preserve"> </w:t>
      </w:r>
      <w:r>
        <w:rPr>
          <w:rFonts w:hint="eastAsia" w:asciiTheme="minorEastAsia" w:hAnsiTheme="minorEastAsia"/>
          <w:sz w:val="32"/>
          <w:szCs w:val="32"/>
          <w:lang w:val="en-US" w:eastAsia="zh-CN"/>
        </w:rPr>
        <w:t>14.07</w:t>
      </w:r>
      <w:r>
        <w:rPr>
          <w:rFonts w:hint="eastAsia" w:asciiTheme="minorEastAsia" w:hAnsiTheme="minorEastAsia"/>
          <w:sz w:val="32"/>
          <w:szCs w:val="32"/>
          <w:lang w:eastAsia="zh-CN"/>
        </w:rPr>
        <w:t xml:space="preserve"> </w:t>
      </w:r>
      <w:r>
        <w:rPr>
          <w:rFonts w:hint="eastAsia" w:asciiTheme="minorEastAsia" w:hAnsiTheme="minorEastAsia"/>
          <w:sz w:val="32"/>
          <w:szCs w:val="32"/>
        </w:rPr>
        <w:t>万元，主要</w:t>
      </w:r>
      <w:r>
        <w:rPr>
          <w:rFonts w:hint="eastAsia" w:asciiTheme="minorEastAsia" w:hAnsiTheme="minorEastAsia" w:eastAsiaTheme="minorEastAsia" w:cstheme="minorEastAsia"/>
          <w:sz w:val="32"/>
          <w:szCs w:val="32"/>
        </w:rPr>
        <w:t>是</w:t>
      </w:r>
      <w:r>
        <w:rPr>
          <w:rFonts w:hint="eastAsia" w:asciiTheme="minorEastAsia" w:hAnsiTheme="minorEastAsia" w:eastAsiaTheme="minorEastAsia" w:cstheme="minorEastAsia"/>
          <w:sz w:val="32"/>
          <w:szCs w:val="32"/>
          <w:lang w:eastAsia="zh-CN"/>
        </w:rPr>
        <w:t>在全县进行</w:t>
      </w:r>
      <w:r>
        <w:rPr>
          <w:rFonts w:hint="eastAsia" w:asciiTheme="minorEastAsia" w:hAnsiTheme="minorEastAsia" w:cstheme="minorEastAsia"/>
          <w:sz w:val="32"/>
          <w:szCs w:val="32"/>
          <w:lang w:eastAsia="zh-CN"/>
        </w:rPr>
        <w:t>安全</w:t>
      </w:r>
      <w:r>
        <w:rPr>
          <w:rFonts w:hint="eastAsia" w:asciiTheme="minorEastAsia" w:hAnsiTheme="minorEastAsia" w:eastAsiaTheme="minorEastAsia" w:cstheme="minorEastAsia"/>
          <w:sz w:val="32"/>
          <w:szCs w:val="32"/>
          <w:lang w:eastAsia="zh-CN"/>
        </w:rPr>
        <w:t>工作检查</w:t>
      </w:r>
      <w:r>
        <w:rPr>
          <w:rFonts w:hint="eastAsia" w:asciiTheme="minorEastAsia" w:hAnsiTheme="minorEastAsia" w:cstheme="minorEastAsia"/>
          <w:sz w:val="32"/>
          <w:szCs w:val="32"/>
          <w:lang w:eastAsia="zh-CN"/>
        </w:rPr>
        <w:t>开支的</w:t>
      </w:r>
      <w:r>
        <w:rPr>
          <w:rFonts w:hint="eastAsia" w:asciiTheme="minorEastAsia" w:hAnsiTheme="minorEastAsia" w:eastAsiaTheme="minorEastAsia" w:cstheme="minorEastAsia"/>
          <w:sz w:val="32"/>
          <w:szCs w:val="32"/>
          <w:lang w:eastAsia="zh-CN"/>
        </w:rPr>
        <w:t>燃料费、维修费、过桥过路费、保险费用</w:t>
      </w:r>
      <w:r>
        <w:rPr>
          <w:rFonts w:hint="eastAsia" w:asciiTheme="minorEastAsia" w:hAnsiTheme="minorEastAsia" w:cstheme="minorEastAsia"/>
          <w:sz w:val="32"/>
          <w:szCs w:val="32"/>
          <w:lang w:eastAsia="zh-CN"/>
        </w:rPr>
        <w:t>等</w:t>
      </w:r>
      <w:r>
        <w:rPr>
          <w:rFonts w:hint="eastAsia" w:asciiTheme="minorEastAsia" w:hAnsiTheme="minorEastAsia"/>
          <w:sz w:val="32"/>
          <w:szCs w:val="32"/>
        </w:rPr>
        <w:t>支出</w:t>
      </w:r>
      <w:r>
        <w:rPr>
          <w:rFonts w:hint="eastAsia" w:asciiTheme="minorEastAsia" w:hAnsiTheme="minorEastAsia"/>
          <w:sz w:val="32"/>
          <w:szCs w:val="32"/>
          <w:lang w:eastAsia="zh-CN"/>
        </w:rPr>
        <w:t>。</w:t>
      </w:r>
      <w:r>
        <w:rPr>
          <w:rFonts w:hint="eastAsia" w:asciiTheme="minorEastAsia" w:hAnsiTheme="minorEastAsia"/>
          <w:sz w:val="32"/>
          <w:szCs w:val="32"/>
        </w:rPr>
        <w:t>截止2020年12月31日，我单位开支财政拨款的公务用车保有量为</w:t>
      </w:r>
      <w:r>
        <w:rPr>
          <w:rFonts w:hint="eastAsia" w:asciiTheme="minorEastAsia" w:hAnsiTheme="minorEastAsia"/>
          <w:sz w:val="32"/>
          <w:szCs w:val="32"/>
          <w:lang w:eastAsia="zh-CN"/>
        </w:rPr>
        <w:t xml:space="preserve">  </w:t>
      </w:r>
      <w:r>
        <w:rPr>
          <w:rFonts w:hint="eastAsia" w:asciiTheme="minorEastAsia" w:hAnsiTheme="minorEastAsia"/>
          <w:sz w:val="32"/>
          <w:szCs w:val="32"/>
          <w:lang w:val="en-US" w:eastAsia="zh-CN"/>
        </w:rPr>
        <w:t>3</w:t>
      </w:r>
      <w:r>
        <w:rPr>
          <w:rFonts w:hint="eastAsia" w:asciiTheme="minorEastAsia" w:hAnsiTheme="minorEastAsia"/>
          <w:sz w:val="32"/>
          <w:szCs w:val="32"/>
          <w:lang w:eastAsia="zh-CN"/>
        </w:rPr>
        <w:t xml:space="preserve">  </w:t>
      </w:r>
      <w:r>
        <w:rPr>
          <w:rFonts w:hint="eastAsia" w:asciiTheme="minorEastAsia" w:hAnsiTheme="minorEastAsia"/>
          <w:sz w:val="32"/>
          <w:szCs w:val="32"/>
        </w:rPr>
        <w:t>辆</w:t>
      </w:r>
      <w:r>
        <w:rPr>
          <w:rFonts w:hint="eastAsia" w:asciiTheme="minorEastAsia" w:hAnsiTheme="minorEastAsia"/>
          <w:sz w:val="32"/>
          <w:szCs w:val="32"/>
          <w:lang w:eastAsia="zh-CN"/>
        </w:rPr>
        <w:t>。</w:t>
      </w:r>
    </w:p>
    <w:p>
      <w:pPr>
        <w:pStyle w:val="9"/>
        <w:rPr>
          <w:rFonts w:hint="eastAsia" w:ascii="黑体" w:hAnsi="黑体" w:eastAsia="黑体" w:cs="黑体"/>
          <w:b/>
          <w:bCs/>
          <w:sz w:val="32"/>
          <w:szCs w:val="32"/>
        </w:rPr>
      </w:pPr>
      <w:r>
        <w:rPr>
          <w:rFonts w:hint="eastAsia" w:ascii="黑体" w:hAnsi="黑体" w:eastAsia="黑体" w:cs="黑体"/>
          <w:b/>
          <w:bCs/>
          <w:sz w:val="32"/>
          <w:szCs w:val="32"/>
          <w:lang w:eastAsia="zh-CN"/>
        </w:rPr>
        <w:t>（二）</w:t>
      </w:r>
      <w:r>
        <w:rPr>
          <w:rFonts w:hint="eastAsia" w:ascii="黑体" w:hAnsi="黑体" w:eastAsia="黑体" w:cs="黑体"/>
          <w:b/>
          <w:bCs/>
          <w:sz w:val="32"/>
          <w:szCs w:val="32"/>
        </w:rPr>
        <w:t>20</w:t>
      </w:r>
      <w:r>
        <w:rPr>
          <w:rFonts w:hint="eastAsia" w:ascii="黑体" w:hAnsi="黑体" w:eastAsia="黑体" w:cs="黑体"/>
          <w:b/>
          <w:bCs/>
          <w:sz w:val="32"/>
          <w:szCs w:val="32"/>
          <w:lang w:val="en-US" w:eastAsia="zh-CN"/>
        </w:rPr>
        <w:t>20年</w:t>
      </w:r>
      <w:r>
        <w:rPr>
          <w:rFonts w:hint="eastAsia" w:ascii="黑体" w:hAnsi="黑体" w:eastAsia="黑体" w:cs="黑体"/>
          <w:b/>
          <w:bCs/>
          <w:sz w:val="32"/>
          <w:szCs w:val="32"/>
        </w:rPr>
        <w:t>资金收支及结余情况</w:t>
      </w:r>
    </w:p>
    <w:p>
      <w:pPr>
        <w:pStyle w:val="9"/>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2020</w:t>
      </w:r>
      <w:r>
        <w:rPr>
          <w:rFonts w:hint="eastAsia" w:asciiTheme="minorEastAsia" w:hAnsiTheme="minorEastAsia" w:eastAsiaTheme="minorEastAsia" w:cstheme="minorEastAsia"/>
          <w:sz w:val="32"/>
          <w:szCs w:val="32"/>
        </w:rPr>
        <w:t>年</w:t>
      </w:r>
      <w:r>
        <w:rPr>
          <w:rFonts w:hint="eastAsia" w:asciiTheme="minorEastAsia" w:hAnsiTheme="minorEastAsia" w:eastAsiaTheme="minorEastAsia" w:cstheme="minorEastAsia"/>
          <w:sz w:val="32"/>
          <w:szCs w:val="32"/>
          <w:lang w:eastAsia="zh-CN"/>
        </w:rPr>
        <w:t>度</w:t>
      </w:r>
      <w:r>
        <w:rPr>
          <w:rFonts w:hint="eastAsia" w:asciiTheme="minorEastAsia" w:hAnsiTheme="minorEastAsia" w:eastAsiaTheme="minorEastAsia" w:cstheme="minorEastAsia"/>
          <w:sz w:val="32"/>
          <w:szCs w:val="32"/>
        </w:rPr>
        <w:t>收</w:t>
      </w:r>
      <w:r>
        <w:rPr>
          <w:rFonts w:hint="eastAsia" w:asciiTheme="minorEastAsia" w:hAnsiTheme="minorEastAsia" w:eastAsiaTheme="minorEastAsia" w:cstheme="minorEastAsia"/>
          <w:sz w:val="32"/>
          <w:szCs w:val="32"/>
          <w:lang w:eastAsia="zh-CN"/>
        </w:rPr>
        <w:t>、支总计</w:t>
      </w:r>
      <w:r>
        <w:rPr>
          <w:rFonts w:hint="eastAsia" w:asciiTheme="minorEastAsia" w:hAnsiTheme="minorEastAsia" w:eastAsiaTheme="minorEastAsia" w:cstheme="minorEastAsia"/>
          <w:sz w:val="32"/>
          <w:szCs w:val="32"/>
          <w:lang w:val="en-US" w:eastAsia="zh-CN"/>
        </w:rPr>
        <w:t>4047.43</w:t>
      </w:r>
      <w:r>
        <w:rPr>
          <w:rFonts w:hint="eastAsia" w:asciiTheme="minorEastAsia" w:hAnsiTheme="minorEastAsia" w:eastAsiaTheme="minorEastAsia" w:cstheme="minorEastAsia"/>
          <w:sz w:val="32"/>
          <w:szCs w:val="32"/>
        </w:rPr>
        <w:t>万元，其中：当年财政拨款收入</w:t>
      </w:r>
      <w:r>
        <w:rPr>
          <w:rFonts w:hint="eastAsia" w:asciiTheme="minorEastAsia" w:hAnsiTheme="minorEastAsia" w:eastAsiaTheme="minorEastAsia" w:cstheme="minorEastAsia"/>
          <w:sz w:val="32"/>
          <w:szCs w:val="32"/>
          <w:lang w:val="en-US" w:eastAsia="zh-CN"/>
        </w:rPr>
        <w:t>2410.90</w:t>
      </w:r>
      <w:r>
        <w:rPr>
          <w:rFonts w:hint="eastAsia" w:asciiTheme="minorEastAsia" w:hAnsiTheme="minorEastAsia" w:eastAsiaTheme="minorEastAsia" w:cstheme="minorEastAsia"/>
          <w:sz w:val="32"/>
          <w:szCs w:val="32"/>
        </w:rPr>
        <w:t>万元，上年结转收入</w:t>
      </w:r>
      <w:r>
        <w:rPr>
          <w:rFonts w:hint="eastAsia" w:asciiTheme="minorEastAsia" w:hAnsiTheme="minorEastAsia" w:eastAsiaTheme="minorEastAsia" w:cstheme="minorEastAsia"/>
          <w:sz w:val="32"/>
          <w:szCs w:val="32"/>
          <w:lang w:val="en-US" w:eastAsia="zh-CN"/>
        </w:rPr>
        <w:t>1636.53万</w:t>
      </w:r>
      <w:r>
        <w:rPr>
          <w:rFonts w:hint="eastAsia" w:asciiTheme="minorEastAsia" w:hAnsiTheme="minorEastAsia" w:eastAsiaTheme="minorEastAsia" w:cstheme="minorEastAsia"/>
          <w:sz w:val="32"/>
          <w:szCs w:val="32"/>
        </w:rPr>
        <w:t>元，本年支出</w:t>
      </w:r>
      <w:r>
        <w:rPr>
          <w:rFonts w:hint="eastAsia" w:asciiTheme="minorEastAsia" w:hAnsiTheme="minorEastAsia" w:eastAsiaTheme="minorEastAsia" w:cstheme="minorEastAsia"/>
          <w:sz w:val="32"/>
          <w:szCs w:val="32"/>
          <w:lang w:eastAsia="zh-CN"/>
        </w:rPr>
        <w:t>总额为</w:t>
      </w:r>
      <w:r>
        <w:rPr>
          <w:rFonts w:hint="eastAsia" w:asciiTheme="minorEastAsia" w:hAnsiTheme="minorEastAsia" w:eastAsiaTheme="minorEastAsia" w:cstheme="minorEastAsia"/>
          <w:sz w:val="32"/>
          <w:szCs w:val="32"/>
          <w:lang w:val="en-US" w:eastAsia="zh-CN"/>
        </w:rPr>
        <w:t>3325.79</w:t>
      </w:r>
      <w:r>
        <w:rPr>
          <w:rFonts w:hint="eastAsia" w:asciiTheme="minorEastAsia" w:hAnsiTheme="minorEastAsia" w:eastAsiaTheme="minorEastAsia" w:cstheme="minorEastAsia"/>
          <w:sz w:val="32"/>
          <w:szCs w:val="32"/>
        </w:rPr>
        <w:t>万元，本年结余</w:t>
      </w:r>
      <w:r>
        <w:rPr>
          <w:rFonts w:hint="eastAsia" w:asciiTheme="minorEastAsia" w:hAnsiTheme="minorEastAsia" w:eastAsiaTheme="minorEastAsia" w:cstheme="minorEastAsia"/>
          <w:sz w:val="32"/>
          <w:szCs w:val="32"/>
          <w:lang w:val="en-US" w:eastAsia="zh-CN"/>
        </w:rPr>
        <w:t>721.64万元。</w:t>
      </w:r>
    </w:p>
    <w:p>
      <w:pPr>
        <w:pStyle w:val="9"/>
        <w:rPr>
          <w:rFonts w:hint="default" w:ascii="黑体" w:hAnsi="黑体" w:eastAsia="黑体" w:cs="黑体"/>
          <w:b/>
          <w:bCs/>
          <w:sz w:val="32"/>
          <w:szCs w:val="32"/>
          <w:lang w:val="en-US" w:eastAsia="zh-CN"/>
        </w:rPr>
      </w:pPr>
      <w:r>
        <w:rPr>
          <w:rFonts w:hint="eastAsia" w:ascii="黑体" w:hAnsi="黑体" w:eastAsia="黑体" w:cs="黑体"/>
          <w:b/>
          <w:bCs/>
          <w:sz w:val="32"/>
          <w:szCs w:val="32"/>
          <w:lang w:eastAsia="zh-CN"/>
        </w:rPr>
        <w:t>（三）</w:t>
      </w:r>
      <w:r>
        <w:rPr>
          <w:rFonts w:hint="eastAsia" w:ascii="黑体" w:hAnsi="黑体" w:eastAsia="黑体" w:cs="黑体"/>
          <w:b/>
          <w:bCs/>
          <w:sz w:val="32"/>
          <w:szCs w:val="32"/>
        </w:rPr>
        <w:t>项目支出情况</w:t>
      </w:r>
      <w:r>
        <w:rPr>
          <w:rFonts w:hint="eastAsia" w:hAnsi="黑体" w:cs="黑体"/>
          <w:b/>
          <w:bCs/>
          <w:sz w:val="32"/>
          <w:szCs w:val="32"/>
          <w:lang w:val="en-US" w:eastAsia="zh-CN"/>
        </w:rPr>
        <w:t xml:space="preserve">      </w:t>
      </w:r>
    </w:p>
    <w:p>
      <w:pPr>
        <w:numPr>
          <w:ilvl w:val="0"/>
          <w:numId w:val="0"/>
        </w:numPr>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val="en-US" w:eastAsia="zh-CN"/>
        </w:rPr>
        <w:t>20</w:t>
      </w:r>
      <w:r>
        <w:rPr>
          <w:rFonts w:hint="eastAsia" w:asciiTheme="minorEastAsia" w:hAnsiTheme="minorEastAsia" w:cstheme="minorEastAsia"/>
          <w:sz w:val="32"/>
          <w:szCs w:val="32"/>
          <w:lang w:val="en-US" w:eastAsia="zh-CN"/>
        </w:rPr>
        <w:t>20</w:t>
      </w:r>
      <w:r>
        <w:rPr>
          <w:rFonts w:hint="eastAsia" w:asciiTheme="minorEastAsia" w:hAnsiTheme="minorEastAsia" w:eastAsiaTheme="minorEastAsia" w:cstheme="minorEastAsia"/>
          <w:sz w:val="32"/>
          <w:szCs w:val="32"/>
          <w:lang w:val="en-US" w:eastAsia="zh-CN"/>
        </w:rPr>
        <w:t>年度项目支出</w:t>
      </w:r>
      <w:r>
        <w:rPr>
          <w:rFonts w:hint="eastAsia" w:asciiTheme="minorEastAsia" w:hAnsiTheme="minorEastAsia" w:cstheme="minorEastAsia"/>
          <w:sz w:val="32"/>
          <w:szCs w:val="32"/>
          <w:lang w:val="en-US" w:eastAsia="zh-CN"/>
        </w:rPr>
        <w:t>275.27万元，</w:t>
      </w:r>
      <w:r>
        <w:rPr>
          <w:rFonts w:hint="eastAsia" w:asciiTheme="minorEastAsia" w:hAnsiTheme="minorEastAsia" w:cstheme="minorEastAsia"/>
          <w:sz w:val="32"/>
          <w:szCs w:val="32"/>
          <w:lang w:eastAsia="zh-CN"/>
        </w:rPr>
        <w:t>其中办公设备购置</w:t>
      </w:r>
      <w:r>
        <w:rPr>
          <w:rFonts w:hint="eastAsia" w:asciiTheme="minorEastAsia" w:hAnsiTheme="minorEastAsia" w:cstheme="minorEastAsia"/>
          <w:sz w:val="32"/>
          <w:szCs w:val="32"/>
          <w:lang w:val="en-US" w:eastAsia="zh-CN"/>
        </w:rPr>
        <w:t>81.10万元，</w:t>
      </w:r>
      <w:r>
        <w:rPr>
          <w:rFonts w:hint="eastAsia" w:asciiTheme="minorEastAsia" w:hAnsiTheme="minorEastAsia" w:cstheme="minorEastAsia"/>
          <w:sz w:val="32"/>
          <w:szCs w:val="32"/>
          <w:lang w:eastAsia="zh-CN"/>
        </w:rPr>
        <w:t>专用设备购置</w:t>
      </w:r>
      <w:r>
        <w:rPr>
          <w:rFonts w:hint="eastAsia" w:asciiTheme="minorEastAsia" w:hAnsiTheme="minorEastAsia" w:cstheme="minorEastAsia"/>
          <w:sz w:val="32"/>
          <w:szCs w:val="32"/>
          <w:lang w:val="en-US" w:eastAsia="zh-CN"/>
        </w:rPr>
        <w:t>3.7万元，</w:t>
      </w:r>
      <w:r>
        <w:rPr>
          <w:rFonts w:hint="eastAsia" w:asciiTheme="minorEastAsia" w:hAnsiTheme="minorEastAsia" w:cstheme="minorEastAsia"/>
          <w:sz w:val="32"/>
          <w:szCs w:val="32"/>
          <w:lang w:eastAsia="zh-CN"/>
        </w:rPr>
        <w:t>信息网络及软件购置更新</w:t>
      </w:r>
      <w:r>
        <w:rPr>
          <w:rFonts w:hint="eastAsia" w:asciiTheme="minorEastAsia" w:hAnsiTheme="minorEastAsia" w:cstheme="minorEastAsia"/>
          <w:sz w:val="32"/>
          <w:szCs w:val="32"/>
          <w:lang w:val="en-US" w:eastAsia="zh-CN"/>
        </w:rPr>
        <w:t>190万元，</w:t>
      </w:r>
      <w:r>
        <w:rPr>
          <w:rFonts w:hint="eastAsia" w:asciiTheme="minorEastAsia" w:hAnsiTheme="minorEastAsia" w:cstheme="minorEastAsia"/>
          <w:sz w:val="32"/>
          <w:szCs w:val="32"/>
          <w:lang w:eastAsia="zh-CN"/>
        </w:rPr>
        <w:t>其他资本性支出</w:t>
      </w:r>
      <w:r>
        <w:rPr>
          <w:rFonts w:hint="eastAsia" w:asciiTheme="minorEastAsia" w:hAnsiTheme="minorEastAsia" w:cstheme="minorEastAsia"/>
          <w:sz w:val="32"/>
          <w:szCs w:val="32"/>
          <w:lang w:val="en-US" w:eastAsia="zh-CN"/>
        </w:rPr>
        <w:t>0.47万元</w:t>
      </w:r>
      <w:r>
        <w:rPr>
          <w:rFonts w:hint="eastAsia" w:asciiTheme="minorEastAsia" w:hAnsiTheme="minorEastAsia" w:cstheme="minorEastAsia"/>
          <w:sz w:val="32"/>
          <w:szCs w:val="32"/>
          <w:lang w:eastAsia="zh-CN"/>
        </w:rPr>
        <w:t>。</w:t>
      </w:r>
    </w:p>
    <w:p>
      <w:pPr>
        <w:numPr>
          <w:ilvl w:val="0"/>
          <w:numId w:val="0"/>
        </w:numPr>
        <w:rPr>
          <w:rFonts w:hint="eastAsia" w:ascii="黑体" w:hAnsi="黑体" w:eastAsia="黑体" w:cs="黑体"/>
          <w:b/>
          <w:bCs/>
          <w:sz w:val="32"/>
          <w:szCs w:val="32"/>
        </w:rPr>
      </w:pPr>
      <w:r>
        <w:rPr>
          <w:rFonts w:hint="eastAsia" w:ascii="黑体" w:hAnsi="黑体" w:eastAsia="黑体" w:cs="黑体"/>
          <w:b/>
          <w:bCs/>
          <w:sz w:val="32"/>
          <w:szCs w:val="32"/>
          <w:lang w:eastAsia="zh-CN"/>
        </w:rPr>
        <w:t>（四）</w:t>
      </w:r>
      <w:r>
        <w:rPr>
          <w:rFonts w:hint="eastAsia" w:ascii="黑体" w:hAnsi="黑体" w:eastAsia="黑体" w:cs="黑体"/>
          <w:b/>
          <w:bCs/>
          <w:sz w:val="32"/>
          <w:szCs w:val="32"/>
        </w:rPr>
        <w:t>政府性基金预算支出情况</w:t>
      </w:r>
    </w:p>
    <w:p>
      <w:pPr>
        <w:numPr>
          <w:ilvl w:val="0"/>
          <w:numId w:val="0"/>
        </w:numPr>
        <w:ind w:leftChars="196" w:firstLine="320" w:firstLineChars="1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w:t>
      </w:r>
      <w:r>
        <w:rPr>
          <w:rFonts w:hint="eastAsia" w:asciiTheme="minorEastAsia" w:hAnsiTheme="minorEastAsia" w:cstheme="minorEastAsia"/>
          <w:sz w:val="32"/>
          <w:szCs w:val="32"/>
          <w:lang w:val="en-US" w:eastAsia="zh-CN"/>
        </w:rPr>
        <w:t>20</w:t>
      </w:r>
      <w:r>
        <w:rPr>
          <w:rFonts w:hint="eastAsia" w:asciiTheme="minorEastAsia" w:hAnsiTheme="minorEastAsia" w:eastAsiaTheme="minorEastAsia" w:cstheme="minorEastAsia"/>
          <w:sz w:val="32"/>
          <w:szCs w:val="32"/>
          <w:lang w:val="en-US" w:eastAsia="zh-CN"/>
        </w:rPr>
        <w:t>年度无政府性基金预算支出。</w:t>
      </w:r>
    </w:p>
    <w:p>
      <w:pPr>
        <w:numPr>
          <w:ilvl w:val="0"/>
          <w:numId w:val="0"/>
        </w:numPr>
        <w:rPr>
          <w:rFonts w:hint="eastAsia" w:ascii="黑体" w:hAnsi="黑体" w:eastAsia="黑体" w:cs="黑体"/>
          <w:b/>
          <w:bCs/>
          <w:sz w:val="32"/>
          <w:szCs w:val="32"/>
        </w:rPr>
      </w:pPr>
      <w:r>
        <w:rPr>
          <w:rFonts w:hint="eastAsia" w:ascii="黑体" w:hAnsi="黑体" w:eastAsia="黑体" w:cs="黑体"/>
          <w:b/>
          <w:bCs/>
          <w:sz w:val="32"/>
          <w:szCs w:val="32"/>
          <w:lang w:eastAsia="zh-CN"/>
        </w:rPr>
        <w:t>（五）</w:t>
      </w:r>
      <w:r>
        <w:rPr>
          <w:rFonts w:hint="eastAsia" w:ascii="黑体" w:hAnsi="黑体" w:eastAsia="黑体" w:cs="黑体"/>
          <w:b/>
          <w:bCs/>
          <w:sz w:val="32"/>
          <w:szCs w:val="32"/>
        </w:rPr>
        <w:t>国有资本经营预算支出情况</w:t>
      </w:r>
    </w:p>
    <w:p>
      <w:pPr>
        <w:numPr>
          <w:ilvl w:val="0"/>
          <w:numId w:val="0"/>
        </w:numPr>
        <w:ind w:leftChars="196" w:firstLine="320" w:firstLineChars="1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w:t>
      </w:r>
      <w:r>
        <w:rPr>
          <w:rFonts w:hint="eastAsia" w:asciiTheme="minorEastAsia" w:hAnsiTheme="minorEastAsia" w:cstheme="minorEastAsia"/>
          <w:sz w:val="32"/>
          <w:szCs w:val="32"/>
          <w:lang w:val="en-US" w:eastAsia="zh-CN"/>
        </w:rPr>
        <w:t>20</w:t>
      </w:r>
      <w:r>
        <w:rPr>
          <w:rFonts w:hint="eastAsia" w:asciiTheme="minorEastAsia" w:hAnsiTheme="minorEastAsia" w:eastAsiaTheme="minorEastAsia" w:cstheme="minorEastAsia"/>
          <w:sz w:val="32"/>
          <w:szCs w:val="32"/>
          <w:lang w:val="en-US" w:eastAsia="zh-CN"/>
        </w:rPr>
        <w:t>年度无国有资本经营预算支出。</w:t>
      </w:r>
    </w:p>
    <w:p>
      <w:pPr>
        <w:numPr>
          <w:ilvl w:val="0"/>
          <w:numId w:val="0"/>
        </w:numPr>
        <w:rPr>
          <w:rFonts w:hint="eastAsia" w:ascii="黑体" w:hAnsi="黑体" w:eastAsia="黑体" w:cs="黑体"/>
          <w:b/>
          <w:bCs/>
          <w:sz w:val="32"/>
          <w:szCs w:val="32"/>
        </w:rPr>
      </w:pPr>
      <w:r>
        <w:rPr>
          <w:rFonts w:hint="eastAsia" w:ascii="黑体" w:hAnsi="黑体" w:eastAsia="黑体" w:cs="黑体"/>
          <w:b/>
          <w:bCs/>
          <w:sz w:val="32"/>
          <w:szCs w:val="32"/>
          <w:lang w:eastAsia="zh-CN"/>
        </w:rPr>
        <w:t>（六）</w:t>
      </w:r>
      <w:r>
        <w:rPr>
          <w:rFonts w:hint="eastAsia" w:ascii="黑体" w:hAnsi="黑体" w:eastAsia="黑体" w:cs="黑体"/>
          <w:b/>
          <w:bCs/>
          <w:sz w:val="32"/>
          <w:szCs w:val="32"/>
        </w:rPr>
        <w:t>社会保险基金预算支出情况</w:t>
      </w:r>
    </w:p>
    <w:p>
      <w:pPr>
        <w:numPr>
          <w:ilvl w:val="0"/>
          <w:numId w:val="0"/>
        </w:numPr>
        <w:ind w:leftChars="196"/>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lang w:val="en-US" w:eastAsia="zh-CN"/>
        </w:rPr>
        <w:t>20</w:t>
      </w:r>
      <w:r>
        <w:rPr>
          <w:rFonts w:hint="eastAsia" w:asciiTheme="minorEastAsia" w:hAnsiTheme="minorEastAsia" w:cstheme="minorEastAsia"/>
          <w:sz w:val="32"/>
          <w:szCs w:val="32"/>
          <w:lang w:val="en-US" w:eastAsia="zh-CN"/>
        </w:rPr>
        <w:t>20</w:t>
      </w:r>
      <w:r>
        <w:rPr>
          <w:rFonts w:hint="eastAsia" w:asciiTheme="minorEastAsia" w:hAnsiTheme="minorEastAsia" w:eastAsiaTheme="minorEastAsia" w:cstheme="minorEastAsia"/>
          <w:sz w:val="32"/>
          <w:szCs w:val="32"/>
          <w:lang w:val="en-US" w:eastAsia="zh-CN"/>
        </w:rPr>
        <w:t>年度无社会保险基金预算支出。</w:t>
      </w:r>
    </w:p>
    <w:p>
      <w:pPr>
        <w:rPr>
          <w:rFonts w:hint="eastAsia" w:ascii="黑体" w:hAnsi="黑体" w:eastAsia="黑体" w:cs="黑体"/>
          <w:b/>
          <w:bCs/>
          <w:sz w:val="32"/>
          <w:szCs w:val="32"/>
        </w:rPr>
      </w:pPr>
      <w:r>
        <w:rPr>
          <w:rFonts w:hint="eastAsia" w:ascii="黑体" w:hAnsi="黑体" w:eastAsia="黑体" w:cs="黑体"/>
          <w:b/>
          <w:bCs/>
          <w:sz w:val="32"/>
          <w:szCs w:val="32"/>
          <w:lang w:eastAsia="zh-CN"/>
        </w:rPr>
        <w:t>（七）</w:t>
      </w:r>
      <w:r>
        <w:rPr>
          <w:rFonts w:hint="eastAsia" w:ascii="黑体" w:hAnsi="黑体" w:eastAsia="黑体" w:cs="黑体"/>
          <w:b/>
          <w:bCs/>
          <w:sz w:val="32"/>
          <w:szCs w:val="32"/>
        </w:rPr>
        <w:t>部门整体支出绩效情况</w:t>
      </w:r>
    </w:p>
    <w:p>
      <w:pPr>
        <w:spacing w:line="600" w:lineRule="exact"/>
        <w:ind w:firstLine="780" w:firstLineChars="244"/>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一年来，在市局的指导下，在县委、县政府的正确领导下，扎实工作，锐意进取，圆满完成了各项既定的工作目标</w:t>
      </w:r>
      <w:r>
        <w:rPr>
          <w:rFonts w:hint="eastAsia" w:asciiTheme="minorEastAsia" w:hAnsiTheme="minorEastAsia" w:cstheme="minorEastAsia"/>
          <w:sz w:val="32"/>
          <w:szCs w:val="32"/>
          <w:lang w:val="en-US" w:eastAsia="zh-CN"/>
        </w:rPr>
        <w:t>,根据年初设定的绩效目标，项目自评得分为92分。</w:t>
      </w:r>
      <w:r>
        <w:rPr>
          <w:rFonts w:hint="eastAsia" w:asciiTheme="minorEastAsia" w:hAnsiTheme="minorEastAsia" w:eastAsiaTheme="minorEastAsia" w:cstheme="minorEastAsia"/>
          <w:sz w:val="32"/>
          <w:szCs w:val="32"/>
          <w:lang w:val="en-US" w:eastAsia="zh-CN"/>
        </w:rPr>
        <w:t xml:space="preserve">     </w:t>
      </w:r>
    </w:p>
    <w:p>
      <w:pPr>
        <w:adjustRightInd w:val="0"/>
        <w:snapToGrid w:val="0"/>
        <w:spacing w:line="600" w:lineRule="exact"/>
        <w:ind w:firstLine="803" w:firstLineChars="250"/>
        <w:contextualSpacing/>
        <w:rPr>
          <w:rFonts w:hint="eastAsia" w:asciiTheme="minorEastAsia" w:hAnsiTheme="minorEastAsia" w:eastAsiaTheme="minorEastAsia" w:cstheme="minorEastAsia"/>
          <w:color w:val="000000"/>
          <w:sz w:val="32"/>
          <w:szCs w:val="32"/>
        </w:rPr>
      </w:pPr>
      <w:r>
        <w:rPr>
          <w:rFonts w:hint="eastAsia" w:asciiTheme="minorEastAsia" w:hAnsiTheme="minorEastAsia" w:eastAsiaTheme="minorEastAsia" w:cstheme="minorEastAsia"/>
          <w:b/>
          <w:sz w:val="32"/>
          <w:szCs w:val="32"/>
        </w:rPr>
        <w:t>（</w:t>
      </w:r>
      <w:r>
        <w:rPr>
          <w:rFonts w:hint="eastAsia" w:asciiTheme="minorEastAsia" w:hAnsiTheme="minorEastAsia" w:cstheme="minorEastAsia"/>
          <w:b/>
          <w:sz w:val="32"/>
          <w:szCs w:val="32"/>
          <w:lang w:val="en-US" w:eastAsia="zh-CN"/>
        </w:rPr>
        <w:t>1</w:t>
      </w:r>
      <w:r>
        <w:rPr>
          <w:rFonts w:hint="eastAsia" w:asciiTheme="minorEastAsia" w:hAnsiTheme="minorEastAsia" w:eastAsiaTheme="minorEastAsia" w:cstheme="minorEastAsia"/>
          <w:b/>
          <w:sz w:val="32"/>
          <w:szCs w:val="32"/>
        </w:rPr>
        <w:t>）行政执法强力推进。</w:t>
      </w:r>
      <w:r>
        <w:rPr>
          <w:rFonts w:hint="eastAsia" w:asciiTheme="minorEastAsia" w:hAnsiTheme="minorEastAsia" w:eastAsiaTheme="minorEastAsia" w:cstheme="minorEastAsia"/>
          <w:bCs/>
          <w:sz w:val="32"/>
          <w:szCs w:val="32"/>
        </w:rPr>
        <w:t>按照安全监管“强执法、防事故”行动的总要求，进一步</w:t>
      </w:r>
      <w:r>
        <w:rPr>
          <w:rFonts w:hint="eastAsia" w:asciiTheme="minorEastAsia" w:hAnsiTheme="minorEastAsia" w:eastAsiaTheme="minorEastAsia" w:cstheme="minorEastAsia"/>
          <w:color w:val="000000"/>
          <w:sz w:val="32"/>
          <w:szCs w:val="32"/>
        </w:rPr>
        <w:t>加大安全生产执法力度，公开曝光典型隐患，倒逼企业落实主体责任。全年累计出动执法人员356人次，检查生产经营单位1243家次，下达整改指令书168份，立案处罚企业35家次，处罚金</w:t>
      </w:r>
      <w:r>
        <w:rPr>
          <w:rFonts w:hint="eastAsia" w:asciiTheme="minorEastAsia" w:hAnsiTheme="minorEastAsia" w:eastAsiaTheme="minorEastAsia" w:cstheme="minorEastAsia"/>
          <w:sz w:val="32"/>
          <w:szCs w:val="32"/>
        </w:rPr>
        <w:t>61.831</w:t>
      </w:r>
      <w:r>
        <w:rPr>
          <w:rFonts w:hint="eastAsia" w:asciiTheme="minorEastAsia" w:hAnsiTheme="minorEastAsia" w:eastAsiaTheme="minorEastAsia" w:cstheme="minorEastAsia"/>
          <w:color w:val="000000"/>
          <w:sz w:val="32"/>
          <w:szCs w:val="32"/>
        </w:rPr>
        <w:t>万元。</w:t>
      </w:r>
    </w:p>
    <w:p>
      <w:pPr>
        <w:spacing w:line="600" w:lineRule="exact"/>
        <w:ind w:firstLine="643" w:firstLineChars="200"/>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b/>
          <w:kern w:val="0"/>
          <w:sz w:val="32"/>
          <w:szCs w:val="32"/>
        </w:rPr>
        <w:t>（</w:t>
      </w:r>
      <w:r>
        <w:rPr>
          <w:rFonts w:hint="eastAsia" w:asciiTheme="minorEastAsia" w:hAnsiTheme="minorEastAsia" w:cstheme="minorEastAsia"/>
          <w:b/>
          <w:kern w:val="0"/>
          <w:sz w:val="32"/>
          <w:szCs w:val="32"/>
          <w:lang w:val="en-US" w:eastAsia="zh-CN"/>
        </w:rPr>
        <w:t>2</w:t>
      </w:r>
      <w:r>
        <w:rPr>
          <w:rFonts w:hint="eastAsia" w:asciiTheme="minorEastAsia" w:hAnsiTheme="minorEastAsia" w:eastAsiaTheme="minorEastAsia" w:cstheme="minorEastAsia"/>
          <w:b/>
          <w:kern w:val="0"/>
          <w:sz w:val="32"/>
          <w:szCs w:val="32"/>
        </w:rPr>
        <w:t>）</w:t>
      </w:r>
      <w:r>
        <w:rPr>
          <w:rFonts w:hint="eastAsia" w:asciiTheme="minorEastAsia" w:hAnsiTheme="minorEastAsia" w:eastAsiaTheme="minorEastAsia" w:cstheme="minorEastAsia"/>
          <w:b/>
          <w:bCs/>
          <w:sz w:val="32"/>
          <w:szCs w:val="32"/>
        </w:rPr>
        <w:t>狠抓隐患整治。</w:t>
      </w:r>
      <w:r>
        <w:rPr>
          <w:rFonts w:hint="eastAsia" w:asciiTheme="minorEastAsia" w:hAnsiTheme="minorEastAsia" w:eastAsiaTheme="minorEastAsia" w:cstheme="minorEastAsia"/>
          <w:bCs/>
          <w:sz w:val="32"/>
          <w:szCs w:val="32"/>
        </w:rPr>
        <w:t>按照省委省政府“多关、严管、提质”的总体要求，</w:t>
      </w:r>
      <w:r>
        <w:rPr>
          <w:rFonts w:hint="eastAsia" w:asciiTheme="minorEastAsia" w:hAnsiTheme="minorEastAsia" w:eastAsiaTheme="minorEastAsia" w:cstheme="minorEastAsia"/>
          <w:sz w:val="32"/>
          <w:szCs w:val="32"/>
        </w:rPr>
        <w:t>强力推进非煤矿山、危险化学品、烟花爆竹、工贸行业、交通运输、消防、建筑施工和燃气、特种设备等行业领域安全生产专项整治。尤其针对危险化学品、非煤矿山等高危行业监管能力薄弱的现象，实行政府购买形势配请有资质的公司及专家开展安全体检，聚焦风险管控，创新监管模式，强化监管责任。目前，累计排查隐患295处，整改到252处。</w:t>
      </w:r>
    </w:p>
    <w:p>
      <w:pPr>
        <w:adjustRightInd w:val="0"/>
        <w:snapToGrid w:val="0"/>
        <w:spacing w:line="600" w:lineRule="exact"/>
        <w:ind w:firstLine="482" w:firstLineChars="15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w:t>
      </w:r>
      <w:r>
        <w:rPr>
          <w:rFonts w:hint="eastAsia" w:asciiTheme="minorEastAsia" w:hAnsiTheme="minorEastAsia" w:cstheme="minorEastAsia"/>
          <w:b/>
          <w:bCs/>
          <w:sz w:val="32"/>
          <w:szCs w:val="32"/>
          <w:lang w:val="en-US" w:eastAsia="zh-CN"/>
        </w:rPr>
        <w:t>3</w:t>
      </w:r>
      <w:r>
        <w:rPr>
          <w:rFonts w:hint="eastAsia" w:asciiTheme="minorEastAsia" w:hAnsiTheme="minorEastAsia" w:eastAsiaTheme="minorEastAsia" w:cstheme="minorEastAsia"/>
          <w:b/>
          <w:bCs/>
          <w:sz w:val="32"/>
          <w:szCs w:val="32"/>
        </w:rPr>
        <w:t>）强化乡村应急能力建设。</w:t>
      </w:r>
      <w:r>
        <w:rPr>
          <w:rFonts w:hint="eastAsia" w:asciiTheme="minorEastAsia" w:hAnsiTheme="minorEastAsia" w:eastAsiaTheme="minorEastAsia" w:cstheme="minorEastAsia"/>
          <w:sz w:val="32"/>
          <w:szCs w:val="32"/>
        </w:rPr>
        <w:t>明确乡镇一名分管“大应急、大安全、大救援”工作的领导，社会治安和应急管理办公室明确一名副主任负责应急管理工作。明确行政村书记任村应急管理站站长。按照大乡镇社会治安和应急管理办公室专职管理人员不少于5名、小乡镇不少于3名的标准进行配备；各行政村应急站明确村辅警、交通劝导员、护林员为应急管理员；园区和国有林场设立应急管理站，配备2名以上专职人员。应急指挥视频会议系统先向行政村（社区）延伸、设置专网，系统需专人维护，从村级经费中明确村(社区)应急服务站工作经费4000元/年，对应急管理人员给予适当的岗位津贴。</w:t>
      </w:r>
    </w:p>
    <w:p>
      <w:pPr>
        <w:spacing w:line="600" w:lineRule="exact"/>
        <w:ind w:firstLine="643" w:firstLineChars="200"/>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b/>
          <w:bCs/>
          <w:sz w:val="32"/>
          <w:szCs w:val="32"/>
        </w:rPr>
        <w:t>（</w:t>
      </w:r>
      <w:r>
        <w:rPr>
          <w:rFonts w:hint="eastAsia" w:asciiTheme="minorEastAsia" w:hAnsiTheme="minorEastAsia" w:cstheme="minorEastAsia"/>
          <w:b/>
          <w:bCs/>
          <w:sz w:val="32"/>
          <w:szCs w:val="32"/>
          <w:lang w:val="en-US" w:eastAsia="zh-CN"/>
        </w:rPr>
        <w:t>4</w:t>
      </w:r>
      <w:r>
        <w:rPr>
          <w:rFonts w:hint="eastAsia" w:asciiTheme="minorEastAsia" w:hAnsiTheme="minorEastAsia" w:eastAsiaTheme="minorEastAsia" w:cstheme="minorEastAsia"/>
          <w:b/>
          <w:bCs/>
          <w:sz w:val="32"/>
          <w:szCs w:val="32"/>
        </w:rPr>
        <w:t>）健全应急体系。</w:t>
      </w:r>
      <w:r>
        <w:rPr>
          <w:rFonts w:hint="eastAsia" w:asciiTheme="minorEastAsia" w:hAnsiTheme="minorEastAsia" w:eastAsiaTheme="minorEastAsia" w:cstheme="minorEastAsia"/>
          <w:sz w:val="32"/>
          <w:szCs w:val="32"/>
          <w:lang w:val="zh-CN"/>
        </w:rPr>
        <w:t>完善了全县应急管理指挥工作体系，以两办名义印发了《辰溪县应急事件管理指挥工作预案》，明确了8个联席办的组织架构和工作职责，8个联席办也分别制订了工作预案，办公室设在应急管理局，按照平战结合模式实行常态化管理。成立了辰溪县应急救援协会，有专业应急救援队伍2支（云海救援队和工程机械救援队），兼职队伍50余支。4月份，投资70万元将指挥中心视频信息延伸到乡镇，突发事件可以视频形式对乡镇实行统一调度。</w:t>
      </w:r>
    </w:p>
    <w:p>
      <w:pPr>
        <w:snapToGrid w:val="0"/>
        <w:spacing w:line="600" w:lineRule="exact"/>
        <w:ind w:firstLine="643" w:firstLineChars="200"/>
        <w:contextualSpacing/>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w:t>
      </w:r>
      <w:r>
        <w:rPr>
          <w:rFonts w:hint="eastAsia" w:asciiTheme="minorEastAsia" w:hAnsiTheme="minorEastAsia" w:cstheme="minorEastAsia"/>
          <w:b/>
          <w:bCs/>
          <w:sz w:val="32"/>
          <w:szCs w:val="32"/>
          <w:lang w:val="en-US" w:eastAsia="zh-CN"/>
        </w:rPr>
        <w:t>5</w:t>
      </w:r>
      <w:r>
        <w:rPr>
          <w:rFonts w:hint="eastAsia" w:asciiTheme="minorEastAsia" w:hAnsiTheme="minorEastAsia" w:eastAsiaTheme="minorEastAsia" w:cstheme="minorEastAsia"/>
          <w:b/>
          <w:bCs/>
          <w:sz w:val="32"/>
          <w:szCs w:val="32"/>
        </w:rPr>
        <w:t>）推进专项整治</w:t>
      </w:r>
      <w:r>
        <w:rPr>
          <w:rFonts w:hint="eastAsia" w:asciiTheme="minorEastAsia" w:hAnsiTheme="minorEastAsia" w:eastAsiaTheme="minorEastAsia" w:cstheme="minorEastAsia"/>
          <w:sz w:val="32"/>
          <w:szCs w:val="32"/>
        </w:rPr>
        <w:t>。全县城乡马路市场14个。其中占用G354国道、S250省道的马路市场3个；占用县乡道的集贸市场9个；占用城区的马路市场2个，城北市场和温州商贸城。针对各市场不同的安全隐患制定相应的“一市一案一专班”工作方案，明确整治任务和措施，落实资金和人员，明确责任领导、责任单位、整改时限，逐一进行整治。全县5个长下坡路段的马路市场得到彻底整治，全部取缔到位。占用国道和省道的2个农贸市场也已全面取缔到位。7个农贸市场完成了改扩建全部完成。</w:t>
      </w:r>
    </w:p>
    <w:p>
      <w:pPr>
        <w:spacing w:line="600" w:lineRule="exact"/>
        <w:ind w:firstLine="643"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w:t>
      </w:r>
      <w:r>
        <w:rPr>
          <w:rFonts w:hint="eastAsia" w:asciiTheme="minorEastAsia" w:hAnsiTheme="minorEastAsia" w:cstheme="minorEastAsia"/>
          <w:b/>
          <w:bCs/>
          <w:sz w:val="32"/>
          <w:szCs w:val="32"/>
          <w:lang w:val="en-US" w:eastAsia="zh-CN"/>
        </w:rPr>
        <w:t>6</w:t>
      </w:r>
      <w:r>
        <w:rPr>
          <w:rFonts w:hint="eastAsia" w:asciiTheme="minorEastAsia" w:hAnsiTheme="minorEastAsia" w:eastAsiaTheme="minorEastAsia" w:cstheme="minorEastAsia"/>
          <w:b/>
          <w:bCs/>
          <w:sz w:val="32"/>
          <w:szCs w:val="32"/>
        </w:rPr>
        <w:t>）狠抓防汛救灾</w:t>
      </w:r>
      <w:r>
        <w:rPr>
          <w:rFonts w:hint="eastAsia" w:asciiTheme="minorEastAsia" w:hAnsiTheme="minorEastAsia" w:eastAsiaTheme="minorEastAsia" w:cstheme="minorEastAsia"/>
          <w:b/>
          <w:sz w:val="32"/>
          <w:szCs w:val="32"/>
          <w:lang w:val="zh-CN"/>
        </w:rPr>
        <w:t>。</w:t>
      </w:r>
      <w:r>
        <w:rPr>
          <w:rFonts w:hint="eastAsia" w:asciiTheme="minorEastAsia" w:hAnsiTheme="minorEastAsia" w:eastAsiaTheme="minorEastAsia" w:cstheme="minorEastAsia"/>
          <w:sz w:val="32"/>
          <w:szCs w:val="32"/>
          <w:lang w:val="zh-CN"/>
        </w:rPr>
        <w:t>防汛抗旱工作明确由我局牵头抓总以来，尽快进入角色，多次与县水利局对接，基本掌握防汛工作框架，理清了工作思路。5月份，在抓好防汛期间值班值守工作的同时，</w:t>
      </w:r>
      <w:r>
        <w:rPr>
          <w:rFonts w:hint="eastAsia" w:asciiTheme="minorEastAsia" w:hAnsiTheme="minorEastAsia" w:eastAsiaTheme="minorEastAsia" w:cstheme="minorEastAsia"/>
          <w:sz w:val="32"/>
          <w:szCs w:val="32"/>
        </w:rPr>
        <w:t>成立辰溪县加快防汛抗灾工程建设大督战工作指挥部，指挥部下设办公室和7个工作组（督查组、应急保障组、城市防洪组、水库组、农村饮水安全巩固提升及灌区组、山洪及地质灾害组、预测预报预警组），明确每个工作组责任县领导、组长和成员单位，共同负责防大汛抗大灾抢大险的相关工作。全年紧急转移安置7036人，生活救助3207人</w:t>
      </w:r>
      <w:r>
        <w:rPr>
          <w:rFonts w:hint="eastAsia" w:asciiTheme="minorEastAsia" w:hAnsiTheme="minorEastAsia" w:cstheme="minorEastAsia"/>
          <w:sz w:val="32"/>
          <w:szCs w:val="32"/>
          <w:lang w:eastAsia="zh-CN"/>
        </w:rPr>
        <w:t>；</w:t>
      </w:r>
      <w:r>
        <w:rPr>
          <w:rFonts w:hint="eastAsia" w:asciiTheme="minorEastAsia" w:hAnsiTheme="minorEastAsia" w:eastAsiaTheme="minorEastAsia" w:cstheme="minorEastAsia"/>
          <w:sz w:val="32"/>
          <w:szCs w:val="32"/>
        </w:rPr>
        <w:t>农作物受灾面积5703.3公顷，绝收面积2921.5公顷，倒塌房屋9间，严重损房127间，一般损房275间，直接经济损失9197.4万元。加大对困难群众的救助力度，发放救灾资金59.1万元，过渡救助资金11.7万元，发放救灾棉被1450床、棉衣985床、大米28500公斤、粮油2850桶。</w:t>
      </w:r>
    </w:p>
    <w:p>
      <w:pPr>
        <w:snapToGrid w:val="0"/>
        <w:spacing w:line="600" w:lineRule="exact"/>
        <w:ind w:firstLine="482" w:firstLineChars="150"/>
        <w:contextualSpacing/>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w:t>
      </w:r>
      <w:r>
        <w:rPr>
          <w:rFonts w:hint="eastAsia" w:asciiTheme="minorEastAsia" w:hAnsiTheme="minorEastAsia" w:cstheme="minorEastAsia"/>
          <w:b/>
          <w:bCs/>
          <w:sz w:val="32"/>
          <w:szCs w:val="32"/>
          <w:lang w:val="en-US" w:eastAsia="zh-CN"/>
        </w:rPr>
        <w:t>7</w:t>
      </w:r>
      <w:r>
        <w:rPr>
          <w:rFonts w:hint="eastAsia" w:asciiTheme="minorEastAsia" w:hAnsiTheme="minorEastAsia" w:eastAsiaTheme="minorEastAsia" w:cstheme="minorEastAsia"/>
          <w:b/>
          <w:bCs/>
          <w:sz w:val="32"/>
          <w:szCs w:val="32"/>
        </w:rPr>
        <w:t>）严防森林灭火。</w:t>
      </w:r>
      <w:r>
        <w:rPr>
          <w:rFonts w:hint="eastAsia" w:asciiTheme="minorEastAsia" w:hAnsiTheme="minorEastAsia" w:eastAsiaTheme="minorEastAsia" w:cstheme="minorEastAsia"/>
          <w:sz w:val="32"/>
          <w:szCs w:val="32"/>
        </w:rPr>
        <w:t>我们汲取往年教训，打好预防持久战，动员乡村现有空闲人员守路段、蹲山头劝导文明祭祖，并做好救援准备战。投资20万元采购灭火设备分发到各乡镇和村（社区），并</w:t>
      </w:r>
      <w:r>
        <w:rPr>
          <w:rFonts w:hint="eastAsia" w:asciiTheme="minorEastAsia" w:hAnsiTheme="minorEastAsia" w:eastAsiaTheme="minorEastAsia" w:cstheme="minorEastAsia"/>
          <w:sz w:val="32"/>
          <w:szCs w:val="32"/>
          <w:lang w:val="zh-CN"/>
        </w:rPr>
        <w:t>明确县</w:t>
      </w:r>
      <w:r>
        <w:rPr>
          <w:rFonts w:hint="eastAsia" w:asciiTheme="minorEastAsia" w:hAnsiTheme="minorEastAsia" w:eastAsiaTheme="minorEastAsia" w:cstheme="minorEastAsia"/>
          <w:sz w:val="32"/>
          <w:szCs w:val="32"/>
        </w:rPr>
        <w:t>职能部门、乡、村</w:t>
      </w:r>
      <w:r>
        <w:rPr>
          <w:rFonts w:hint="eastAsia" w:asciiTheme="minorEastAsia" w:hAnsiTheme="minorEastAsia" w:eastAsiaTheme="minorEastAsia" w:cstheme="minorEastAsia"/>
          <w:sz w:val="32"/>
          <w:szCs w:val="32"/>
          <w:lang w:val="zh-CN"/>
        </w:rPr>
        <w:t>组建</w:t>
      </w:r>
      <w:r>
        <w:rPr>
          <w:rFonts w:hint="eastAsia" w:asciiTheme="minorEastAsia" w:hAnsiTheme="minorEastAsia" w:eastAsiaTheme="minorEastAsia" w:cstheme="minorEastAsia"/>
          <w:sz w:val="32"/>
          <w:szCs w:val="32"/>
        </w:rPr>
        <w:t>扑火应急队。通过多渠道的宣传和多方位的监管，目前，全县未发生一起森林火灾，迅速扭转了去年清明和国庆多起火灾的被动局面。</w:t>
      </w:r>
    </w:p>
    <w:p>
      <w:pPr>
        <w:spacing w:line="600" w:lineRule="exact"/>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kern w:val="0"/>
          <w:sz w:val="32"/>
          <w:szCs w:val="32"/>
          <w:lang w:eastAsia="zh-CN"/>
        </w:rPr>
        <w:t>通过以上工作的落实，</w:t>
      </w:r>
      <w:r>
        <w:rPr>
          <w:rFonts w:hint="eastAsia" w:asciiTheme="minorEastAsia" w:hAnsiTheme="minorEastAsia" w:eastAsiaTheme="minorEastAsia" w:cstheme="minorEastAsia"/>
          <w:color w:val="000000" w:themeColor="text1"/>
          <w:sz w:val="32"/>
          <w:szCs w:val="32"/>
          <w14:textFill>
            <w14:solidFill>
              <w14:schemeClr w14:val="tx1"/>
            </w14:solidFill>
          </w14:textFill>
        </w:rPr>
        <w:t>20</w:t>
      </w:r>
      <w:r>
        <w:rPr>
          <w:rFonts w:hint="eastAsia" w:asciiTheme="minorEastAsia" w:hAnsiTheme="minorEastAsia" w:cstheme="minorEastAsia"/>
          <w:color w:val="000000" w:themeColor="text1"/>
          <w:sz w:val="32"/>
          <w:szCs w:val="32"/>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32"/>
          <w:szCs w:val="32"/>
          <w14:textFill>
            <w14:solidFill>
              <w14:schemeClr w14:val="tx1"/>
            </w14:solidFill>
          </w14:textFill>
        </w:rPr>
        <w:t>年，全县</w:t>
      </w:r>
      <w:r>
        <w:rPr>
          <w:rFonts w:hint="eastAsia" w:asciiTheme="minorEastAsia" w:hAnsiTheme="minorEastAsia" w:cstheme="minorEastAsia"/>
          <w:color w:val="000000" w:themeColor="text1"/>
          <w:sz w:val="32"/>
          <w:szCs w:val="32"/>
          <w:lang w:eastAsia="zh-CN"/>
          <w14:textFill>
            <w14:solidFill>
              <w14:schemeClr w14:val="tx1"/>
            </w14:solidFill>
          </w14:textFill>
        </w:rPr>
        <w:t>共</w:t>
      </w:r>
      <w:r>
        <w:rPr>
          <w:rFonts w:hint="eastAsia" w:asciiTheme="minorEastAsia" w:hAnsiTheme="minorEastAsia" w:eastAsiaTheme="minorEastAsia" w:cstheme="minorEastAsia"/>
          <w:color w:val="000000" w:themeColor="text1"/>
          <w:sz w:val="32"/>
          <w:szCs w:val="32"/>
          <w14:textFill>
            <w14:solidFill>
              <w14:schemeClr w14:val="tx1"/>
            </w14:solidFill>
          </w14:textFill>
        </w:rPr>
        <w:t>发生安全生产死亡事故</w:t>
      </w:r>
      <w:r>
        <w:rPr>
          <w:rFonts w:hint="eastAsia" w:asciiTheme="minorEastAsia" w:hAnsiTheme="minorEastAsia" w:cstheme="minorEastAsia"/>
          <w:color w:val="000000" w:themeColor="text1"/>
          <w:sz w:val="32"/>
          <w:szCs w:val="32"/>
          <w:lang w:val="en-US" w:eastAsia="zh-CN"/>
          <w14:textFill>
            <w14:solidFill>
              <w14:schemeClr w14:val="tx1"/>
            </w14:solidFill>
          </w14:textFill>
        </w:rPr>
        <w:t>1起</w:t>
      </w:r>
      <w:r>
        <w:rPr>
          <w:rFonts w:hint="eastAsia" w:asciiTheme="minorEastAsia" w:hAnsiTheme="minorEastAsia" w:eastAsiaTheme="minorEastAsia" w:cstheme="minorEastAsia"/>
          <w:color w:val="000000" w:themeColor="text1"/>
          <w:sz w:val="32"/>
          <w:szCs w:val="32"/>
          <w14:textFill>
            <w14:solidFill>
              <w14:schemeClr w14:val="tx1"/>
            </w14:solidFill>
          </w14:textFill>
        </w:rPr>
        <w:t>，安全生产形势</w:t>
      </w:r>
      <w:r>
        <w:rPr>
          <w:rFonts w:hint="eastAsia" w:asciiTheme="minorEastAsia" w:hAnsiTheme="minorEastAsia" w:cstheme="minorEastAsia"/>
          <w:color w:val="000000" w:themeColor="text1"/>
          <w:sz w:val="32"/>
          <w:szCs w:val="32"/>
          <w:lang w:eastAsia="zh-CN"/>
          <w14:textFill>
            <w14:solidFill>
              <w14:schemeClr w14:val="tx1"/>
            </w14:solidFill>
          </w14:textFill>
        </w:rPr>
        <w:t>基本</w:t>
      </w:r>
      <w:r>
        <w:rPr>
          <w:rFonts w:hint="eastAsia" w:asciiTheme="minorEastAsia" w:hAnsiTheme="minorEastAsia" w:eastAsiaTheme="minorEastAsia" w:cstheme="minorEastAsia"/>
          <w:color w:val="000000" w:themeColor="text1"/>
          <w:sz w:val="32"/>
          <w:szCs w:val="32"/>
          <w14:textFill>
            <w14:solidFill>
              <w14:schemeClr w14:val="tx1"/>
            </w14:solidFill>
          </w14:textFill>
        </w:rPr>
        <w:t>稳定。</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各行业事故防范能力明显增强，全民安全生产意识显著提高，基层应急管理能力明显增强，突发性事件应急处置救援水</w:t>
      </w:r>
      <w:r>
        <w:rPr>
          <w:rFonts w:hint="eastAsia" w:asciiTheme="minorEastAsia" w:hAnsiTheme="minorEastAsia" w:eastAsiaTheme="minorEastAsia" w:cstheme="minorEastAsia"/>
          <w:sz w:val="32"/>
          <w:szCs w:val="32"/>
          <w:lang w:eastAsia="zh-CN"/>
        </w:rPr>
        <w:t>平全面提升，社会公众满意度较高。</w:t>
      </w:r>
    </w:p>
    <w:p>
      <w:pPr>
        <w:spacing w:line="600" w:lineRule="exact"/>
        <w:ind w:firstLine="321" w:firstLineChars="100"/>
        <w:rPr>
          <w:rFonts w:hint="eastAsia" w:ascii="黑体" w:hAnsi="黑体" w:eastAsia="黑体" w:cs="黑体"/>
          <w:b/>
          <w:bCs/>
          <w:sz w:val="32"/>
          <w:szCs w:val="32"/>
        </w:rPr>
      </w:pPr>
      <w:r>
        <w:rPr>
          <w:rFonts w:hint="eastAsia" w:ascii="黑体" w:hAnsi="黑体" w:eastAsia="黑体" w:cs="黑体"/>
          <w:b/>
          <w:bCs/>
          <w:sz w:val="32"/>
          <w:szCs w:val="32"/>
          <w:lang w:eastAsia="zh-CN"/>
        </w:rPr>
        <w:t>（八）</w:t>
      </w:r>
      <w:r>
        <w:rPr>
          <w:rFonts w:hint="eastAsia" w:ascii="黑体" w:hAnsi="黑体" w:eastAsia="黑体" w:cs="黑体"/>
          <w:b/>
          <w:bCs/>
          <w:sz w:val="32"/>
          <w:szCs w:val="32"/>
        </w:rPr>
        <w:t>存在的问题及原因分析</w:t>
      </w:r>
    </w:p>
    <w:p>
      <w:pPr>
        <w:ind w:firstLine="320" w:firstLineChars="1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 绩效目标设立不够明确、细化和量化。</w:t>
      </w:r>
    </w:p>
    <w:p>
      <w:pPr>
        <w:ind w:firstLine="320" w:firstLineChars="1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 资金使用效益有待进一步提高。</w:t>
      </w:r>
    </w:p>
    <w:p>
      <w:pPr>
        <w:ind w:firstLine="321" w:firstLineChars="100"/>
        <w:rPr>
          <w:rFonts w:hint="eastAsia" w:ascii="黑体" w:hAnsi="黑体" w:eastAsia="黑体" w:cs="黑体"/>
          <w:b/>
          <w:bCs/>
          <w:sz w:val="32"/>
          <w:szCs w:val="32"/>
        </w:rPr>
      </w:pPr>
      <w:r>
        <w:rPr>
          <w:rFonts w:hint="eastAsia" w:ascii="黑体" w:hAnsi="黑体" w:eastAsia="黑体" w:cs="黑体"/>
          <w:b/>
          <w:bCs/>
          <w:sz w:val="32"/>
          <w:szCs w:val="32"/>
          <w:lang w:eastAsia="zh-CN"/>
        </w:rPr>
        <w:t>（九）</w:t>
      </w:r>
      <w:r>
        <w:rPr>
          <w:rFonts w:hint="eastAsia" w:ascii="黑体" w:hAnsi="黑体" w:eastAsia="黑体" w:cs="黑体"/>
          <w:b/>
          <w:bCs/>
          <w:sz w:val="32"/>
          <w:szCs w:val="32"/>
        </w:rPr>
        <w:t>下一步改进措施</w:t>
      </w:r>
    </w:p>
    <w:p>
      <w:pPr>
        <w:ind w:firstLine="320" w:firstLineChars="1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1.加强单位预算编制工作，根据人员情况、业务开展需要，逐项做出预算计划，预算合理、不留缺口、不留空项。</w:t>
      </w:r>
    </w:p>
    <w:p>
      <w:pPr>
        <w:ind w:firstLine="320" w:firstLineChars="1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2.加强业务培训，提高评价水平。部门整体绩效评价工作是一项长期性的工作，专业性强，工作量大，建议</w:t>
      </w:r>
      <w:r>
        <w:rPr>
          <w:rFonts w:hint="eastAsia" w:asciiTheme="minorEastAsia" w:hAnsiTheme="minorEastAsia" w:eastAsiaTheme="minorEastAsia" w:cstheme="minorEastAsia"/>
          <w:sz w:val="32"/>
          <w:szCs w:val="32"/>
          <w:lang w:eastAsia="zh-CN"/>
        </w:rPr>
        <w:t>上级</w:t>
      </w:r>
      <w:r>
        <w:rPr>
          <w:rFonts w:hint="eastAsia" w:asciiTheme="minorEastAsia" w:hAnsiTheme="minorEastAsia" w:eastAsiaTheme="minorEastAsia" w:cstheme="minorEastAsia"/>
          <w:sz w:val="32"/>
          <w:szCs w:val="32"/>
        </w:rPr>
        <w:t>部门进</w:t>
      </w:r>
      <w:r>
        <w:rPr>
          <w:rFonts w:hint="eastAsia" w:asciiTheme="minorEastAsia" w:hAnsiTheme="minorEastAsia" w:eastAsiaTheme="minorEastAsia" w:cstheme="minorEastAsia"/>
          <w:sz w:val="32"/>
          <w:szCs w:val="32"/>
          <w:lang w:eastAsia="zh-CN"/>
        </w:rPr>
        <w:t>多</w:t>
      </w:r>
      <w:r>
        <w:rPr>
          <w:rFonts w:hint="eastAsia" w:asciiTheme="minorEastAsia" w:hAnsiTheme="minorEastAsia" w:eastAsiaTheme="minorEastAsia" w:cstheme="minorEastAsia"/>
          <w:sz w:val="32"/>
          <w:szCs w:val="32"/>
        </w:rPr>
        <w:t>开展部门领导及经办人员相关的政策、业务工作培训，组织开展部门之间、单位之间的经验交流，切实推进绩效评价工作的开展。</w:t>
      </w:r>
    </w:p>
    <w:p>
      <w:pPr>
        <w:ind w:firstLine="320" w:firstLineChars="1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3.预算财务分析常态化，定期做好预算支出财务分析，做好部门整体支出预算评价工作。</w:t>
      </w:r>
    </w:p>
    <w:p>
      <w:pPr>
        <w:rPr>
          <w:rFonts w:hint="eastAsia" w:asciiTheme="minorEastAsia" w:hAnsiTheme="minorEastAsia" w:eastAsiaTheme="minorEastAsia" w:cstheme="minorEastAsia"/>
          <w:sz w:val="32"/>
          <w:szCs w:val="32"/>
        </w:rPr>
      </w:pPr>
    </w:p>
    <w:p>
      <w:pPr>
        <w:numPr>
          <w:ilvl w:val="0"/>
          <w:numId w:val="0"/>
        </w:numPr>
        <w:ind w:firstLine="321" w:firstLineChars="100"/>
        <w:rPr>
          <w:rFonts w:hint="eastAsia" w:ascii="黑体" w:hAnsi="黑体" w:eastAsia="黑体" w:cs="黑体"/>
          <w:b/>
          <w:bCs/>
          <w:sz w:val="32"/>
          <w:szCs w:val="32"/>
        </w:rPr>
      </w:pPr>
      <w:r>
        <w:rPr>
          <w:rFonts w:hint="eastAsia" w:ascii="黑体" w:hAnsi="黑体" w:eastAsia="黑体" w:cs="黑体"/>
          <w:b/>
          <w:bCs/>
          <w:sz w:val="32"/>
          <w:szCs w:val="32"/>
          <w:lang w:eastAsia="zh-CN"/>
        </w:rPr>
        <w:t>（十）</w:t>
      </w:r>
      <w:r>
        <w:rPr>
          <w:rFonts w:hint="eastAsia" w:ascii="黑体" w:hAnsi="黑体" w:eastAsia="黑体" w:cs="黑体"/>
          <w:b/>
          <w:bCs/>
          <w:sz w:val="32"/>
          <w:szCs w:val="32"/>
        </w:rPr>
        <w:t>其他需要说明的情况</w:t>
      </w:r>
    </w:p>
    <w:p>
      <w:pPr>
        <w:numPr>
          <w:ilvl w:val="0"/>
          <w:numId w:val="0"/>
        </w:numPr>
        <w:ind w:leftChars="200"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无</w:t>
      </w:r>
    </w:p>
    <w:p>
      <w:pPr>
        <w:rPr>
          <w:rFonts w:hint="eastAsia" w:ascii="楷体_GB2312" w:hAnsi="楷体_GB2312" w:eastAsia="楷体_GB2312" w:cs="楷体_GB2312"/>
          <w:sz w:val="32"/>
          <w:szCs w:val="32"/>
        </w:rPr>
      </w:pPr>
    </w:p>
    <w:p>
      <w:pPr>
        <w:rPr>
          <w:rFonts w:hint="eastAsia" w:ascii="楷体_GB2312" w:hAnsi="楷体_GB2312" w:eastAsia="楷体_GB2312" w:cs="楷体_GB2312"/>
          <w:sz w:val="32"/>
          <w:szCs w:val="32"/>
        </w:rPr>
      </w:pPr>
    </w:p>
    <w:p>
      <w:pPr>
        <w:ind w:firstLine="640" w:firstLineChars="200"/>
        <w:jc w:val="left"/>
        <w:rPr>
          <w:rFonts w:cs="黑体" w:asciiTheme="minorEastAsia" w:hAnsiTheme="minorEastAsia"/>
          <w:color w:val="000000"/>
          <w:kern w:val="0"/>
          <w:sz w:val="32"/>
          <w:szCs w:val="32"/>
        </w:rPr>
      </w:pPr>
    </w:p>
    <w:p>
      <w:pPr>
        <w:widowControl/>
        <w:spacing w:line="600" w:lineRule="exact"/>
        <w:jc w:val="both"/>
        <w:rPr>
          <w:rFonts w:hint="default" w:eastAsia="黑体"/>
          <w:kern w:val="0"/>
          <w:sz w:val="32"/>
          <w:szCs w:val="32"/>
          <w:lang w:val="en-US" w:eastAsia="zh-CN"/>
        </w:rPr>
      </w:pPr>
    </w:p>
    <w:p>
      <w:pPr>
        <w:widowControl/>
        <w:spacing w:line="600" w:lineRule="exact"/>
        <w:jc w:val="left"/>
        <w:rPr>
          <w:rFonts w:eastAsia="黑体"/>
          <w:kern w:val="0"/>
          <w:sz w:val="32"/>
          <w:szCs w:val="32"/>
        </w:rPr>
      </w:pPr>
      <w:bookmarkStart w:id="0" w:name="_GoBack"/>
      <w:bookmarkEnd w:id="0"/>
    </w:p>
    <w:p>
      <w:pPr>
        <w:spacing w:afterLines="50" w:line="400" w:lineRule="exact"/>
        <w:jc w:val="both"/>
        <w:rPr>
          <w:rFonts w:eastAsia="方正小标宋_GBK"/>
          <w:bCs/>
          <w:sz w:val="36"/>
          <w:szCs w:val="36"/>
        </w:rPr>
      </w:pPr>
      <w:r>
        <w:rPr>
          <w:rFonts w:hint="eastAsia" w:eastAsia="方正小标宋_GBK"/>
          <w:bCs/>
          <w:sz w:val="36"/>
          <w:szCs w:val="36"/>
          <w:lang w:eastAsia="zh-CN"/>
        </w:rPr>
        <w:t>辰溪县应急管理局</w:t>
      </w:r>
      <w:r>
        <w:rPr>
          <w:rFonts w:hint="eastAsia" w:eastAsia="方正小标宋_GBK"/>
          <w:bCs/>
          <w:sz w:val="36"/>
          <w:szCs w:val="36"/>
        </w:rPr>
        <w:t>预算支出绩效评价共性指标体系架</w:t>
      </w:r>
    </w:p>
    <w:tbl>
      <w:tblPr>
        <w:tblStyle w:val="4"/>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777"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674"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二级</w:t>
            </w:r>
            <w:r>
              <w:rPr>
                <w:rFonts w:ascii="仿宋_GB2312" w:eastAsia="仿宋_GB2312"/>
                <w:b/>
                <w:bCs/>
                <w:szCs w:val="21"/>
              </w:rPr>
              <w:br w:type="textWrapping"/>
            </w:r>
            <w:r>
              <w:rPr>
                <w:rFonts w:hint="eastAsia" w:ascii="仿宋_GB2312" w:eastAsia="仿宋_GB2312"/>
                <w:b/>
                <w:bCs/>
                <w:szCs w:val="21"/>
              </w:rPr>
              <w:t>指标</w:t>
            </w:r>
          </w:p>
        </w:tc>
        <w:tc>
          <w:tcPr>
            <w:tcW w:w="107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三级指标</w:t>
            </w:r>
          </w:p>
        </w:tc>
        <w:tc>
          <w:tcPr>
            <w:tcW w:w="1975"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评分及标准</w:t>
            </w:r>
          </w:p>
        </w:tc>
        <w:tc>
          <w:tcPr>
            <w:tcW w:w="4482"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指标说明</w:t>
            </w:r>
          </w:p>
        </w:tc>
        <w:tc>
          <w:tcPr>
            <w:tcW w:w="954" w:type="dxa"/>
            <w:vAlign w:val="center"/>
          </w:tcPr>
          <w:p>
            <w:pPr>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决</w:t>
            </w:r>
          </w:p>
          <w:p>
            <w:pPr>
              <w:jc w:val="center"/>
              <w:rPr>
                <w:rFonts w:ascii="仿宋_GB2312" w:eastAsia="仿宋_GB2312"/>
                <w:szCs w:val="21"/>
              </w:rPr>
            </w:pPr>
            <w:r>
              <w:rPr>
                <w:rFonts w:hint="eastAsia" w:ascii="仿宋_GB2312" w:eastAsia="仿宋_GB2312"/>
                <w:szCs w:val="21"/>
              </w:rPr>
              <w:t>策</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预算支出决策</w:t>
            </w:r>
          </w:p>
          <w:p>
            <w:pPr>
              <w:jc w:val="center"/>
              <w:rPr>
                <w:rFonts w:ascii="仿宋_GB2312" w:eastAsia="仿宋_GB2312"/>
                <w:szCs w:val="21"/>
              </w:rPr>
            </w:pPr>
            <w:r>
              <w:rPr>
                <w:rFonts w:hint="eastAsia" w:ascii="仿宋_GB2312" w:eastAsia="仿宋_GB2312"/>
                <w:szCs w:val="21"/>
              </w:rPr>
              <w:t>（项目立项）（</w:t>
            </w:r>
            <w:r>
              <w:rPr>
                <w:rFonts w:ascii="仿宋_GB2312" w:eastAsia="仿宋_GB2312"/>
                <w:szCs w:val="21"/>
              </w:rPr>
              <w:t>4</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预算支出决策（项目立项）依据</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充分性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决策（立项）是否符合国家相关法律法规、国民经济发展规划和相关政策；</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决策（立项）是否符合行业发展规划和政策要求；</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决策（立项）是否与部门职责范围相符，属于部门履职所需；</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预算支出是否属于公共财政支持范围，是否符合中央、地方事权支出责任划分原则；</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⑤</w:t>
            </w:r>
            <w:r>
              <w:rPr>
                <w:rFonts w:hint="eastAsia" w:ascii="仿宋_GB2312" w:eastAsia="仿宋_GB2312"/>
                <w:szCs w:val="21"/>
              </w:rPr>
              <w:t>预算支出是否与相关部门同类预算支出或部门内部相关预算支出重复。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决策（立项）程序规范性</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3"/>
              </w:numPr>
              <w:spacing w:line="260" w:lineRule="exact"/>
              <w:ind w:firstLineChars="0"/>
              <w:rPr>
                <w:rFonts w:ascii="仿宋_GB2312" w:eastAsia="仿宋_GB2312"/>
                <w:szCs w:val="21"/>
              </w:rPr>
            </w:pPr>
            <w:r>
              <w:rPr>
                <w:rFonts w:hint="eastAsia" w:ascii="仿宋_GB2312" w:eastAsia="仿宋_GB2312"/>
                <w:szCs w:val="21"/>
              </w:rPr>
              <w:t>预算支出是否按照规定的程序申请设立；</w:t>
            </w:r>
          </w:p>
          <w:p>
            <w:pPr>
              <w:pStyle w:val="8"/>
              <w:numPr>
                <w:ilvl w:val="0"/>
                <w:numId w:val="3"/>
              </w:numPr>
              <w:spacing w:line="260" w:lineRule="exact"/>
              <w:ind w:firstLineChars="0"/>
              <w:rPr>
                <w:rFonts w:ascii="仿宋_GB2312" w:eastAsia="仿宋_GB2312"/>
                <w:szCs w:val="21"/>
              </w:rPr>
            </w:pPr>
            <w:r>
              <w:rPr>
                <w:rFonts w:hint="eastAsia" w:ascii="仿宋_GB2312" w:eastAsia="仿宋_GB2312"/>
                <w:szCs w:val="21"/>
              </w:rPr>
              <w:t>审批文件、材料是否符合相关要求；</w:t>
            </w:r>
          </w:p>
          <w:p>
            <w:pPr>
              <w:spacing w:line="260" w:lineRule="exact"/>
              <w:ind w:left="105" w:lef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事前是否已经过必要的可行性研究、专家论证、风险评估、绩效评估、集体决策。</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绩效</w:t>
            </w:r>
          </w:p>
          <w:p>
            <w:pPr>
              <w:jc w:val="center"/>
              <w:rPr>
                <w:rFonts w:ascii="仿宋_GB2312" w:eastAsia="仿宋_GB2312"/>
                <w:szCs w:val="21"/>
              </w:rPr>
            </w:pPr>
            <w:r>
              <w:rPr>
                <w:rFonts w:hint="eastAsia" w:ascii="仿宋_GB2312" w:eastAsia="仿宋_GB2312"/>
                <w:szCs w:val="21"/>
              </w:rPr>
              <w:t>目标（</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绩效目标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eastAsia="仿宋_GB2312"/>
                <w:szCs w:val="21"/>
              </w:rPr>
              <w:t>（如未设定预算绩效目标，也可考核其他工作任务目标）</w:t>
            </w:r>
          </w:p>
          <w:p>
            <w:pPr>
              <w:pStyle w:val="8"/>
              <w:numPr>
                <w:ilvl w:val="0"/>
                <w:numId w:val="4"/>
              </w:numPr>
              <w:spacing w:line="260" w:lineRule="exact"/>
              <w:ind w:right="105" w:rightChars="50" w:firstLineChars="0"/>
              <w:rPr>
                <w:rFonts w:ascii="仿宋_GB2312" w:eastAsia="仿宋_GB2312"/>
                <w:szCs w:val="21"/>
              </w:rPr>
            </w:pPr>
            <w:r>
              <w:rPr>
                <w:rFonts w:hint="eastAsia" w:ascii="仿宋_GB2312" w:eastAsia="仿宋_GB2312"/>
                <w:szCs w:val="21"/>
              </w:rPr>
              <w:t>预算支出是否有绩效目标；</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预算支出绩效目标与实际工作内容是否具有相关性；</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预算支出预期产出效益和效果是否符合正常的业绩水平；是否与预算确定的预算支出投资额或资金量相匹配。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绩效指标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是否将预算支出绩效目标细化分解为具体的绩效指标；</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是否通过清晰、可衡量的指标值体现。</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是否与预算支出目标任务数相对应。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资金</w:t>
            </w:r>
          </w:p>
          <w:p>
            <w:pPr>
              <w:jc w:val="center"/>
              <w:rPr>
                <w:rFonts w:ascii="仿宋_GB2312" w:eastAsia="仿宋_GB2312"/>
                <w:szCs w:val="21"/>
              </w:rPr>
            </w:pPr>
            <w:r>
              <w:rPr>
                <w:rFonts w:hint="eastAsia" w:ascii="仿宋_GB2312" w:eastAsia="仿宋_GB2312"/>
                <w:szCs w:val="21"/>
              </w:rPr>
              <w:t>投入（</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预算编制</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科学性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5"/>
              </w:numPr>
              <w:spacing w:line="260" w:lineRule="exact"/>
              <w:ind w:right="105" w:rightChars="50" w:firstLineChars="0"/>
              <w:rPr>
                <w:rFonts w:ascii="仿宋_GB2312" w:eastAsia="仿宋_GB2312"/>
                <w:szCs w:val="21"/>
              </w:rPr>
            </w:pPr>
            <w:r>
              <w:rPr>
                <w:rFonts w:hint="eastAsia" w:ascii="仿宋_GB2312" w:eastAsia="仿宋_GB2312"/>
                <w:szCs w:val="21"/>
              </w:rPr>
              <w:t>预算编制是否经过科学论证；</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预算内容与支出内容是否匹配；</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预算额度测算依据是否充分，是否按照标准编制；</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预算确定的预算支出投资额或资金量是否与工作任务相匹配</w:t>
            </w:r>
            <w:r>
              <w:rPr>
                <w:rFonts w:ascii="仿宋_GB2312" w:eastAsia="仿宋_GB2312"/>
                <w:szCs w:val="21"/>
              </w:rPr>
              <w:t>1</w:t>
            </w:r>
            <w:r>
              <w:rPr>
                <w:rFonts w:hint="eastAsia" w:ascii="仿宋_GB2312" w:eastAsia="仿宋_GB2312"/>
                <w:szCs w:val="21"/>
              </w:rPr>
              <w:t>分。</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资金分配</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6"/>
              </w:numPr>
              <w:spacing w:line="260" w:lineRule="exact"/>
              <w:ind w:right="105" w:rightChars="50" w:firstLineChars="0"/>
              <w:rPr>
                <w:rFonts w:ascii="仿宋_GB2312" w:eastAsia="仿宋_GB2312"/>
                <w:szCs w:val="21"/>
              </w:rPr>
            </w:pPr>
            <w:r>
              <w:rPr>
                <w:rFonts w:hint="eastAsia" w:ascii="仿宋_GB2312" w:eastAsia="仿宋_GB2312"/>
                <w:szCs w:val="21"/>
              </w:rPr>
              <w:t>预算资金分配依据是否充分；</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资金分配额度是否合理，与项目实施单位或地方实际是否相适应。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2" w:hRule="atLeast"/>
          <w:jc w:val="center"/>
        </w:trPr>
        <w:tc>
          <w:tcPr>
            <w:tcW w:w="777" w:type="dxa"/>
            <w:vMerge w:val="restart"/>
            <w:vAlign w:val="center"/>
          </w:tcPr>
          <w:p>
            <w:pPr>
              <w:jc w:val="center"/>
              <w:rPr>
                <w:rFonts w:ascii="仿宋_GB2312" w:eastAsia="仿宋_GB2312"/>
                <w:szCs w:val="21"/>
              </w:rPr>
            </w:pPr>
            <w:r>
              <w:rPr>
                <w:rFonts w:hint="eastAsia" w:ascii="仿宋_GB2312" w:eastAsia="仿宋_GB2312"/>
                <w:szCs w:val="21"/>
              </w:rPr>
              <w:t>过</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资金</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到位率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w:t>
            </w:r>
            <w:r>
              <w:rPr>
                <w:rFonts w:hint="eastAsia" w:ascii="仿宋_GB2312" w:eastAsia="仿宋_GB2312"/>
                <w:szCs w:val="21"/>
              </w:rPr>
              <w:t>预算资金）×</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实际到位资金：一定时期（本年度或预算支出期）内落实到具体预算支出的资金。</w:t>
            </w:r>
            <w:r>
              <w:rPr>
                <w:rFonts w:ascii="仿宋_GB2312" w:eastAsia="仿宋_GB2312"/>
                <w:szCs w:val="21"/>
              </w:rPr>
              <w:br w:type="textWrapping"/>
            </w:r>
            <w:r>
              <w:rPr>
                <w:rFonts w:hint="eastAsia" w:ascii="仿宋_GB2312" w:eastAsia="仿宋_GB2312"/>
                <w:szCs w:val="21"/>
              </w:rPr>
              <w:t>预算资金：一定时期（本年度或预算支出期）内预算安排到具体预算支出的资金。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777" w:type="dxa"/>
            <w:vMerge w:val="continue"/>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（实际支出资金</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100%</w:t>
            </w:r>
            <w:r>
              <w:rPr>
                <w:rFonts w:hint="eastAsia" w:ascii="仿宋_GB2312" w:eastAsia="仿宋_GB2312"/>
                <w:szCs w:val="21"/>
              </w:rPr>
              <w:t>。</w:t>
            </w:r>
          </w:p>
          <w:p>
            <w:pPr>
              <w:spacing w:line="260" w:lineRule="exact"/>
              <w:ind w:left="105" w:leftChars="50" w:right="105" w:rightChars="50"/>
              <w:rPr>
                <w:rFonts w:ascii="仿宋_GB2312" w:eastAsia="仿宋_GB2312"/>
                <w:szCs w:val="21"/>
              </w:rPr>
            </w:pPr>
            <w:r>
              <w:rPr>
                <w:rFonts w:hint="eastAsia" w:ascii="仿宋_GB2312" w:eastAsia="仿宋_GB2312"/>
                <w:szCs w:val="21"/>
              </w:rPr>
              <w:t>实际支出资金：一定时期（本年度或预算支出期）内预算支出实际拨付的资金。</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jc w:val="cente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资金使用</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是否符合国家财经法规和财务管理制度以及有关专项资金管理办法的规定；</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是否符合预算支出预算批复或合同规定的用途；</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是否存在截留、挤占、挪用、虐列支出等情况。</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组织</w:t>
            </w:r>
          </w:p>
          <w:p>
            <w:pPr>
              <w:jc w:val="center"/>
              <w:rPr>
                <w:rFonts w:ascii="仿宋_GB2312" w:eastAsia="仿宋_GB2312"/>
                <w:szCs w:val="21"/>
              </w:rPr>
            </w:pPr>
            <w:r>
              <w:rPr>
                <w:rFonts w:hint="eastAsia" w:ascii="仿宋_GB2312" w:eastAsia="仿宋_GB2312"/>
                <w:szCs w:val="21"/>
              </w:rPr>
              <w:t>实施（</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管理制度</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是否已制定或具有相应的业务管理制度；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财务和业务管理制度是否合法、合规、完整。</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制度执行</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有效性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是否遵守相关法律法规和相关管理规定；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预算支出调整及支出调整手续是否完备；</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预算支出合同书、验收报告、技术鉴定等资料是否齐全并及时归档；</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预算支出实施的人员条件、场地设备、信息支撑等是否落实到位。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1"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p>
          <w:p>
            <w:pPr>
              <w:jc w:val="center"/>
              <w:rPr>
                <w:rFonts w:ascii="仿宋_GB2312" w:eastAsia="仿宋_GB2312"/>
                <w:szCs w:val="21"/>
              </w:rPr>
            </w:pP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数量（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实际</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w:t>
            </w:r>
            <w:r>
              <w:rPr>
                <w:rFonts w:hint="eastAsia" w:ascii="仿宋_GB2312" w:eastAsia="仿宋_GB2312"/>
                <w:szCs w:val="21"/>
              </w:rPr>
              <w:t>计划产出数）×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实际产出数：一定时期（本年度或预算支出期）内预算支出实际产出的产品或提供的服务数量。</w:t>
            </w:r>
            <w:r>
              <w:rPr>
                <w:rFonts w:ascii="仿宋_GB2312" w:eastAsia="仿宋_GB2312"/>
                <w:szCs w:val="21"/>
              </w:rPr>
              <w:br w:type="textWrapping"/>
            </w:r>
            <w:r>
              <w:rPr>
                <w:rFonts w:hint="eastAsia" w:ascii="仿宋_GB2312" w:eastAsia="仿宋_GB2312"/>
                <w:szCs w:val="21"/>
              </w:rPr>
              <w:t>计划产出数：预算支出绩效目标确定的在一定时期（本年度或预算支出期）内计划产出的产品或提供的服务数量。</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质量（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质量</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（质量达标产出数</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5" w:hRule="atLeast"/>
          <w:jc w:val="center"/>
        </w:trPr>
        <w:tc>
          <w:tcPr>
            <w:tcW w:w="777" w:type="dxa"/>
            <w:vMerge w:val="continue"/>
            <w:vAlign w:val="center"/>
          </w:tcPr>
          <w:p>
            <w:pPr>
              <w:rPr>
                <w:rFonts w:ascii="仿宋_GB2312" w:eastAsia="仿宋_GB2312"/>
                <w:szCs w:val="21"/>
              </w:rPr>
            </w:pP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时效（</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及时性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分，超过</w:t>
            </w:r>
            <w:r>
              <w:rPr>
                <w:rFonts w:ascii="仿宋_GB2312" w:eastAsia="仿宋_GB2312"/>
                <w:szCs w:val="21"/>
              </w:rPr>
              <w:t>30%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实际完成时间：预算支出实施单位完成该预算支出实际所耗用的时间。</w:t>
            </w:r>
            <w:r>
              <w:rPr>
                <w:rFonts w:ascii="仿宋_GB2312" w:eastAsia="仿宋_GB2312"/>
                <w:szCs w:val="21"/>
              </w:rPr>
              <w:br w:type="textWrapping"/>
            </w:r>
            <w:r>
              <w:rPr>
                <w:rFonts w:hint="eastAsia" w:ascii="仿宋_GB2312" w:eastAsia="仿宋_GB2312"/>
                <w:szCs w:val="21"/>
              </w:rPr>
              <w:t>计划完成时间：按照预算支出实施计划或相关规定完成该预算支出所需的时间。</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Align w:val="center"/>
          </w:tcPr>
          <w:p>
            <w:pPr>
              <w:ind w:left="113"/>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成本（</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成本</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节约率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2</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成本节约率</w:t>
            </w:r>
            <w:r>
              <w:rPr>
                <w:rFonts w:ascii="仿宋_GB2312" w:eastAsia="仿宋_GB2312"/>
                <w:szCs w:val="21"/>
              </w:rPr>
              <w:t>=[</w:t>
            </w:r>
            <w:r>
              <w:rPr>
                <w:rFonts w:hint="eastAsia" w:ascii="仿宋_GB2312" w:eastAsia="仿宋_GB2312"/>
                <w:szCs w:val="21"/>
              </w:rPr>
              <w:t>（计划成本</w:t>
            </w:r>
            <w:r>
              <w:rPr>
                <w:rFonts w:ascii="仿宋_GB2312" w:eastAsia="仿宋_GB2312"/>
                <w:szCs w:val="21"/>
              </w:rPr>
              <w:t>-</w:t>
            </w:r>
            <w:r>
              <w:rPr>
                <w:rFonts w:hint="eastAsia" w:ascii="仿宋_GB2312" w:eastAsia="仿宋_GB2312"/>
                <w:szCs w:val="21"/>
              </w:rPr>
              <w:t>实际成本）</w:t>
            </w:r>
            <w:r>
              <w:rPr>
                <w:rFonts w:ascii="仿宋_GB2312" w:eastAsia="仿宋_GB2312"/>
                <w:szCs w:val="21"/>
              </w:rPr>
              <w:t>/</w:t>
            </w:r>
            <w:r>
              <w:rPr>
                <w:rFonts w:hint="eastAsia" w:ascii="仿宋_GB2312" w:eastAsia="仿宋_GB2312"/>
                <w:szCs w:val="21"/>
              </w:rPr>
              <w:t>计划成本</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实际成本：预算支出实施单位如期、保质、保量完成既定工作目标实际所耗费的支出。</w:t>
            </w:r>
            <w:r>
              <w:rPr>
                <w:rFonts w:ascii="仿宋_GB2312" w:eastAsia="仿宋_GB2312"/>
                <w:szCs w:val="21"/>
              </w:rPr>
              <w:br w:type="textWrapping"/>
            </w:r>
            <w:r>
              <w:rPr>
                <w:rFonts w:hint="eastAsia" w:ascii="仿宋_GB2312" w:eastAsia="仿宋_GB2312"/>
                <w:szCs w:val="21"/>
              </w:rPr>
              <w:t>计划成本：预算支出实施单位为完成工作目标计划安排的支出，一般以预算支出预算为参考。</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效</w:t>
            </w:r>
          </w:p>
          <w:p>
            <w:pPr>
              <w:jc w:val="center"/>
              <w:rPr>
                <w:rFonts w:ascii="仿宋_GB2312" w:eastAsia="仿宋_GB2312"/>
                <w:szCs w:val="21"/>
              </w:rPr>
            </w:pPr>
            <w:r>
              <w:rPr>
                <w:rFonts w:hint="eastAsia" w:ascii="仿宋_GB2312" w:eastAsia="仿宋_GB2312"/>
                <w:szCs w:val="21"/>
              </w:rPr>
              <w:t>益</w:t>
            </w:r>
          </w:p>
          <w:p>
            <w:pPr>
              <w:jc w:val="center"/>
              <w:rPr>
                <w:rFonts w:ascii="仿宋_GB2312" w:eastAsia="仿宋_GB2312"/>
                <w:szCs w:val="21"/>
              </w:rPr>
            </w:pPr>
            <w:r>
              <w:rPr>
                <w:rFonts w:hint="eastAsia" w:ascii="仿宋_GB2312" w:eastAsia="仿宋_GB2312"/>
                <w:szCs w:val="21"/>
              </w:rPr>
              <w:t>（</w:t>
            </w:r>
            <w:r>
              <w:rPr>
                <w:rFonts w:ascii="仿宋_GB2312" w:eastAsia="仿宋_GB2312"/>
                <w:szCs w:val="21"/>
              </w:rPr>
              <w:t>30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实施效益（</w:t>
            </w:r>
            <w:r>
              <w:rPr>
                <w:rFonts w:ascii="仿宋_GB2312" w:eastAsia="仿宋_GB2312"/>
                <w:szCs w:val="21"/>
              </w:rPr>
              <w:t>20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分，少于</w:t>
            </w:r>
            <w:r>
              <w:rPr>
                <w:rFonts w:ascii="仿宋_GB2312" w:eastAsia="仿宋_GB2312"/>
                <w:szCs w:val="21"/>
              </w:rPr>
              <w:t>60%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预算支出实施所产生的社会效益、经济效益、生态效益、可持续影响等。可根据预算支出实际情况有选择地设置和细化。</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社会公众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或服务对</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计满分，每下降五个百分点扣</w:t>
            </w:r>
            <w:r>
              <w:rPr>
                <w:rFonts w:ascii="仿宋_GB2312" w:eastAsia="仿宋_GB2312"/>
                <w:szCs w:val="21"/>
              </w:rPr>
              <w:t>2</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社会公众或服务对象是指因该预算支出实施而受到影响的部门、群体或个人。一般采取社会调查的方式。</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bl>
    <w:p>
      <w:pPr>
        <w:widowControl/>
        <w:spacing w:line="600" w:lineRule="exact"/>
        <w:ind w:firstLine="420" w:firstLineChars="200"/>
        <w:jc w:val="left"/>
        <w:rPr>
          <w:rFonts w:eastAsia="黑体"/>
          <w:sz w:val="32"/>
          <w:szCs w:val="32"/>
        </w:rPr>
      </w:pPr>
      <w:r>
        <w:br w:type="page"/>
      </w:r>
    </w:p>
    <w:tbl>
      <w:tblPr>
        <w:tblStyle w:val="4"/>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blPrEx>
          <w:tblCellMar>
            <w:top w:w="0" w:type="dxa"/>
            <w:left w:w="108" w:type="dxa"/>
            <w:bottom w:w="0" w:type="dxa"/>
            <w:right w:w="108" w:type="dxa"/>
          </w:tblCellMar>
        </w:tblPrEx>
        <w:trPr>
          <w:trHeight w:val="525" w:hRule="atLeast"/>
          <w:jc w:val="center"/>
        </w:trPr>
        <w:tc>
          <w:tcPr>
            <w:tcW w:w="9999" w:type="dxa"/>
            <w:gridSpan w:val="9"/>
            <w:tcBorders>
              <w:top w:val="nil"/>
              <w:left w:val="nil"/>
              <w:bottom w:val="nil"/>
              <w:right w:val="nil"/>
            </w:tcBorders>
            <w:noWrap/>
            <w:vAlign w:val="center"/>
          </w:tcPr>
          <w:p>
            <w:pPr>
              <w:widowControl/>
              <w:spacing w:line="400" w:lineRule="exact"/>
              <w:jc w:val="center"/>
              <w:rPr>
                <w:rFonts w:eastAsia="方正小标宋_GBK"/>
                <w:color w:val="000000"/>
                <w:kern w:val="0"/>
                <w:sz w:val="36"/>
                <w:szCs w:val="36"/>
              </w:rPr>
            </w:pPr>
            <w:r>
              <w:rPr>
                <w:rFonts w:hint="eastAsia" w:eastAsia="方正小标宋_GBK"/>
                <w:color w:val="000000"/>
                <w:kern w:val="0"/>
                <w:sz w:val="36"/>
                <w:szCs w:val="36"/>
              </w:rPr>
              <w:t>预算支出绩效自评表</w:t>
            </w:r>
          </w:p>
        </w:tc>
      </w:tr>
      <w:tr>
        <w:tblPrEx>
          <w:tblCellMar>
            <w:top w:w="0" w:type="dxa"/>
            <w:left w:w="108" w:type="dxa"/>
            <w:bottom w:w="0" w:type="dxa"/>
            <w:right w:w="108" w:type="dxa"/>
          </w:tblCellMar>
        </w:tblPrEx>
        <w:trPr>
          <w:trHeight w:val="19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rPr>
                <w:color w:val="000000"/>
                <w:kern w:val="0"/>
                <w:sz w:val="22"/>
              </w:rPr>
            </w:pPr>
            <w:r>
              <w:rPr>
                <w:rFonts w:hint="eastAsia"/>
                <w:color w:val="000000"/>
                <w:kern w:val="0"/>
                <w:sz w:val="22"/>
              </w:rPr>
              <w:t>（</w:t>
            </w:r>
            <w:r>
              <w:rPr>
                <w:color w:val="000000"/>
                <w:kern w:val="0"/>
                <w:sz w:val="22"/>
              </w:rPr>
              <w:t xml:space="preserve"> </w:t>
            </w:r>
            <w:r>
              <w:rPr>
                <w:rFonts w:hint="eastAsia"/>
                <w:color w:val="000000"/>
                <w:kern w:val="0"/>
                <w:sz w:val="22"/>
                <w:lang w:val="en-US" w:eastAsia="zh-CN"/>
              </w:rPr>
              <w:t>2020</w:t>
            </w:r>
            <w:r>
              <w:rPr>
                <w:color w:val="000000"/>
                <w:kern w:val="0"/>
                <w:sz w:val="22"/>
              </w:rPr>
              <w:t xml:space="preserve">  </w:t>
            </w:r>
            <w:r>
              <w:rPr>
                <w:rFonts w:hint="eastAsia"/>
                <w:color w:val="000000"/>
                <w:kern w:val="0"/>
                <w:sz w:val="22"/>
              </w:rPr>
              <w:t>年度）</w:t>
            </w:r>
          </w:p>
        </w:tc>
      </w:tr>
      <w:tr>
        <w:tblPrEx>
          <w:tblCellMar>
            <w:top w:w="0" w:type="dxa"/>
            <w:left w:w="108" w:type="dxa"/>
            <w:bottom w:w="0" w:type="dxa"/>
            <w:right w:w="108" w:type="dxa"/>
          </w:tblCellMar>
        </w:tblPrEx>
        <w:trPr>
          <w:trHeight w:val="44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项目支</w:t>
            </w:r>
          </w:p>
          <w:p>
            <w:pPr>
              <w:widowControl/>
              <w:spacing w:line="320" w:lineRule="exact"/>
              <w:jc w:val="center"/>
              <w:rPr>
                <w:rFonts w:eastAsia="仿宋_GB2312"/>
                <w:color w:val="000000"/>
                <w:kern w:val="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eastAsia="zh-CN"/>
              </w:rPr>
              <w:t>应急指挥中心平台建设</w:t>
            </w: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eastAsia="仿宋_GB2312"/>
                <w:color w:val="000000"/>
                <w:kern w:val="0"/>
                <w:szCs w:val="21"/>
                <w:lang w:eastAsia="zh-CN"/>
              </w:rPr>
              <w:t>辰溪县应急管理局</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eastAsia="仿宋_GB2312"/>
                <w:color w:val="000000"/>
                <w:kern w:val="0"/>
                <w:szCs w:val="21"/>
                <w:lang w:eastAsia="zh-CN"/>
              </w:rPr>
              <w:t>辰溪县应急管理局</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年初预算数</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分值</w:t>
            </w:r>
          </w:p>
        </w:tc>
        <w:tc>
          <w:tcPr>
            <w:tcW w:w="873"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执行率</w:t>
            </w:r>
          </w:p>
        </w:tc>
        <w:tc>
          <w:tcPr>
            <w:tcW w:w="141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280</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280</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275.27</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98.31%</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280</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275.27</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年度总</w:t>
            </w:r>
          </w:p>
          <w:p>
            <w:pPr>
              <w:widowControl/>
              <w:spacing w:line="320" w:lineRule="exact"/>
              <w:jc w:val="center"/>
              <w:rPr>
                <w:rFonts w:eastAsia="仿宋_GB2312"/>
                <w:color w:val="000000"/>
                <w:kern w:val="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eastAsia="zh-CN"/>
              </w:rPr>
              <w:t>加强全县各类应急突发事件指挥调度力度，完善部门突发事件联动机制</w:t>
            </w:r>
            <w:r>
              <w:rPr>
                <w:rFonts w:hint="eastAsia" w:eastAsia="仿宋_GB2312"/>
                <w:color w:val="000000"/>
                <w:kern w:val="0"/>
                <w:szCs w:val="21"/>
              </w:rPr>
              <w:t>　　</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eastAsia="仿宋_GB2312"/>
                <w:color w:val="000000"/>
                <w:kern w:val="0"/>
                <w:szCs w:val="21"/>
                <w:lang w:eastAsia="zh-CN"/>
              </w:rPr>
              <w:t>已完成</w:t>
            </w:r>
          </w:p>
        </w:tc>
      </w:tr>
      <w:tr>
        <w:tblPrEx>
          <w:tblCellMar>
            <w:top w:w="0" w:type="dxa"/>
            <w:left w:w="108" w:type="dxa"/>
            <w:bottom w:w="0" w:type="dxa"/>
            <w:right w:w="108" w:type="dxa"/>
          </w:tblCellMar>
        </w:tblPrEx>
        <w:trPr>
          <w:trHeight w:val="735"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绩</w:t>
            </w:r>
          </w:p>
          <w:p>
            <w:pPr>
              <w:widowControl/>
              <w:spacing w:line="320" w:lineRule="exact"/>
              <w:jc w:val="center"/>
              <w:rPr>
                <w:rFonts w:eastAsia="仿宋_GB2312"/>
                <w:color w:val="000000"/>
                <w:kern w:val="0"/>
                <w:szCs w:val="21"/>
              </w:rPr>
            </w:pPr>
            <w:r>
              <w:rPr>
                <w:rFonts w:hint="eastAsia" w:eastAsia="仿宋_GB2312"/>
                <w:color w:val="000000"/>
                <w:kern w:val="0"/>
                <w:szCs w:val="21"/>
              </w:rPr>
              <w:t>效</w:t>
            </w:r>
          </w:p>
          <w:p>
            <w:pPr>
              <w:widowControl/>
              <w:spacing w:line="320" w:lineRule="exact"/>
              <w:jc w:val="center"/>
              <w:rPr>
                <w:rFonts w:eastAsia="仿宋_GB2312"/>
                <w:color w:val="000000"/>
                <w:kern w:val="0"/>
                <w:szCs w:val="21"/>
              </w:rPr>
            </w:pPr>
            <w:r>
              <w:rPr>
                <w:rFonts w:hint="eastAsia" w:eastAsia="仿宋_GB2312"/>
                <w:color w:val="000000"/>
                <w:kern w:val="0"/>
                <w:szCs w:val="21"/>
              </w:rPr>
              <w:t>指</w:t>
            </w:r>
          </w:p>
          <w:p>
            <w:pPr>
              <w:widowControl/>
              <w:spacing w:line="320" w:lineRule="exact"/>
              <w:jc w:val="center"/>
              <w:rPr>
                <w:rFonts w:eastAsia="仿宋_GB2312"/>
                <w:color w:val="000000"/>
                <w:kern w:val="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w:t>
            </w:r>
          </w:p>
          <w:p>
            <w:pPr>
              <w:widowControl/>
              <w:spacing w:line="320" w:lineRule="exact"/>
              <w:jc w:val="center"/>
              <w:rPr>
                <w:rFonts w:eastAsia="仿宋_GB2312"/>
                <w:color w:val="000000"/>
                <w:kern w:val="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偏差原因</w:t>
            </w:r>
          </w:p>
          <w:p>
            <w:pPr>
              <w:widowControl/>
              <w:spacing w:line="320" w:lineRule="exact"/>
              <w:jc w:val="center"/>
              <w:rPr>
                <w:rFonts w:eastAsia="仿宋_GB2312"/>
                <w:color w:val="000000"/>
                <w:kern w:val="0"/>
                <w:szCs w:val="21"/>
              </w:rPr>
            </w:pPr>
            <w:r>
              <w:rPr>
                <w:rFonts w:hint="eastAsia" w:eastAsia="仿宋_GB2312"/>
                <w:color w:val="000000"/>
                <w:kern w:val="0"/>
                <w:szCs w:val="21"/>
              </w:rPr>
              <w:t>分析及</w:t>
            </w:r>
          </w:p>
          <w:p>
            <w:pPr>
              <w:widowControl/>
              <w:spacing w:line="320" w:lineRule="exact"/>
              <w:jc w:val="center"/>
              <w:rPr>
                <w:rFonts w:eastAsia="仿宋_GB2312"/>
                <w:color w:val="000000"/>
                <w:kern w:val="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产出</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p>
          <w:p>
            <w:pPr>
              <w:widowControl/>
              <w:spacing w:line="320" w:lineRule="exact"/>
              <w:jc w:val="center"/>
              <w:rPr>
                <w:rFonts w:eastAsia="仿宋_GB2312"/>
                <w:color w:val="000000"/>
                <w:kern w:val="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lang w:eastAsia="zh-CN"/>
              </w:rPr>
              <w:t>应急指挥中心平台建设</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1个</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1个</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20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lang w:val="en-US" w:eastAsia="zh-CN"/>
              </w:rPr>
              <w:t>20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lang w:eastAsia="zh-CN"/>
              </w:rPr>
              <w:t>工程验收合格率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lang w:eastAsia="zh-CN"/>
              </w:rPr>
              <w:t>指挥中心信息传输及时率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lang w:eastAsia="zh-CN"/>
              </w:rPr>
              <w:t>项目按计划完成率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效益</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left"/>
              <w:rPr>
                <w:rFonts w:eastAsia="仿宋_GB2312"/>
                <w:color w:val="000000"/>
                <w:kern w:val="0"/>
                <w:szCs w:val="21"/>
              </w:rPr>
            </w:pPr>
          </w:p>
          <w:p>
            <w:pPr>
              <w:widowControl/>
              <w:spacing w:line="320" w:lineRule="exact"/>
              <w:jc w:val="left"/>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rPr>
                <w:rFonts w:eastAsia="仿宋_GB2312"/>
                <w:color w:val="000000"/>
                <w:kern w:val="0"/>
                <w:szCs w:val="21"/>
              </w:rPr>
            </w:pPr>
            <w:r>
              <w:rPr>
                <w:rFonts w:hint="eastAsia"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经济效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社会效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lang w:eastAsia="zh-CN"/>
              </w:rPr>
              <w:t>加强突发事件指挥调度力度</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eastAsia="仿宋_GB2312"/>
                <w:color w:val="000000"/>
                <w:kern w:val="0"/>
                <w:szCs w:val="21"/>
                <w:lang w:eastAsia="zh-CN"/>
              </w:rPr>
              <w:t>作用显著</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r>
              <w:rPr>
                <w:rFonts w:hint="eastAsia" w:eastAsia="仿宋_GB2312"/>
                <w:color w:val="000000"/>
                <w:kern w:val="0"/>
                <w:szCs w:val="21"/>
                <w:lang w:eastAsia="zh-CN"/>
              </w:rPr>
              <w:t>作用显著</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30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30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21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生态效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满意度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lang w:eastAsia="zh-CN"/>
              </w:rPr>
              <w:t>群众满意度</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default" w:ascii="Arial" w:hAnsi="Arial" w:eastAsia="仿宋_GB2312" w:cs="Arial"/>
                <w:color w:val="000000"/>
                <w:kern w:val="0"/>
                <w:szCs w:val="21"/>
              </w:rPr>
              <w:t>≥</w:t>
            </w:r>
            <w:r>
              <w:rPr>
                <w:rFonts w:hint="eastAsia" w:eastAsia="仿宋_GB2312"/>
                <w:color w:val="000000"/>
                <w:kern w:val="0"/>
                <w:szCs w:val="21"/>
                <w:lang w:val="en-US" w:eastAsia="zh-CN"/>
              </w:rPr>
              <w:t>95%</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98%</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10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992"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100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99</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bl>
    <w:p>
      <w:pPr>
        <w:spacing w:beforeLines="50" w:line="320" w:lineRule="exact"/>
        <w:rPr>
          <w:rFonts w:eastAsia="仿宋_GB2312"/>
          <w:sz w:val="24"/>
        </w:rPr>
      </w:pPr>
      <w:r>
        <w:rPr>
          <w:rFonts w:hint="eastAsia" w:eastAsia="仿宋_GB2312"/>
          <w:sz w:val="24"/>
        </w:rPr>
        <w:t>填表人：</w:t>
      </w:r>
      <w:r>
        <w:rPr>
          <w:rFonts w:hint="eastAsia" w:eastAsia="仿宋_GB2312"/>
          <w:sz w:val="24"/>
          <w:lang w:eastAsia="zh-CN"/>
        </w:rPr>
        <w:t>唐春华</w:t>
      </w:r>
      <w:r>
        <w:rPr>
          <w:rFonts w:eastAsia="仿宋_GB2312"/>
          <w:sz w:val="24"/>
        </w:rPr>
        <w:t xml:space="preserve"> </w:t>
      </w:r>
      <w:r>
        <w:rPr>
          <w:rFonts w:hint="eastAsia" w:eastAsia="仿宋_GB2312"/>
          <w:sz w:val="24"/>
        </w:rPr>
        <w:t>填报日期：</w:t>
      </w:r>
      <w:r>
        <w:rPr>
          <w:rFonts w:eastAsia="仿宋_GB2312"/>
          <w:sz w:val="24"/>
        </w:rPr>
        <w:t xml:space="preserve">  </w:t>
      </w:r>
      <w:r>
        <w:rPr>
          <w:rFonts w:hint="eastAsia" w:eastAsia="仿宋_GB2312"/>
          <w:sz w:val="24"/>
          <w:lang w:val="en-US" w:eastAsia="zh-CN"/>
        </w:rPr>
        <w:t>2021年9月5日</w:t>
      </w:r>
      <w:r>
        <w:rPr>
          <w:rFonts w:eastAsia="仿宋_GB2312"/>
          <w:sz w:val="24"/>
        </w:rPr>
        <w:t xml:space="preserve"> </w:t>
      </w:r>
      <w:r>
        <w:rPr>
          <w:rFonts w:hint="eastAsia" w:eastAsia="仿宋_GB2312"/>
          <w:sz w:val="24"/>
        </w:rPr>
        <w:t>联系电话：</w:t>
      </w:r>
      <w:r>
        <w:rPr>
          <w:rFonts w:hint="eastAsia" w:eastAsia="仿宋_GB2312"/>
          <w:sz w:val="24"/>
          <w:lang w:val="en-US" w:eastAsia="zh-CN"/>
        </w:rPr>
        <w:t>19918527279</w:t>
      </w:r>
      <w:r>
        <w:rPr>
          <w:rFonts w:eastAsia="仿宋_GB2312"/>
          <w:sz w:val="24"/>
        </w:rPr>
        <w:t xml:space="preserve">       </w:t>
      </w:r>
      <w:r>
        <w:rPr>
          <w:rFonts w:hint="eastAsia" w:eastAsia="仿宋_GB2312"/>
          <w:sz w:val="24"/>
          <w:lang w:val="en-US" w:eastAsia="zh-CN"/>
        </w:rPr>
        <w:t xml:space="preserve"> </w:t>
      </w:r>
      <w:r>
        <w:rPr>
          <w:rFonts w:hint="eastAsia" w:eastAsia="仿宋_GB2312"/>
          <w:sz w:val="24"/>
        </w:rPr>
        <w:t>单位负责人签字：</w:t>
      </w:r>
    </w:p>
    <w:p>
      <w:pPr>
        <w:spacing w:afterLines="100" w:line="600" w:lineRule="exact"/>
        <w:rPr>
          <w:rFonts w:eastAsia="黑体"/>
          <w:sz w:val="32"/>
          <w:szCs w:val="32"/>
        </w:rPr>
      </w:pPr>
    </w:p>
    <w:p>
      <w:pPr>
        <w:widowControl/>
        <w:spacing w:line="600" w:lineRule="exact"/>
        <w:jc w:val="left"/>
        <w:rPr>
          <w:rFonts w:eastAsia="黑体"/>
          <w:sz w:val="32"/>
          <w:szCs w:val="32"/>
        </w:rPr>
      </w:pPr>
    </w:p>
    <w:p>
      <w:pPr>
        <w:spacing w:line="600" w:lineRule="exact"/>
        <w:jc w:val="center"/>
        <w:rPr>
          <w:rFonts w:hint="eastAsia" w:ascii="黑体" w:hAnsi="黑体" w:eastAsia="黑体" w:cs="黑体"/>
          <w:sz w:val="44"/>
          <w:szCs w:val="44"/>
        </w:rPr>
      </w:pPr>
      <w:r>
        <w:rPr>
          <w:rFonts w:hint="eastAsia" w:ascii="黑体" w:hAnsi="黑体" w:eastAsia="黑体" w:cs="黑体"/>
          <w:sz w:val="44"/>
          <w:szCs w:val="44"/>
          <w:lang w:eastAsia="zh-CN"/>
        </w:rPr>
        <w:t>应急指挥中心平台建设专项</w:t>
      </w:r>
      <w:r>
        <w:rPr>
          <w:rFonts w:hint="eastAsia" w:ascii="黑体" w:hAnsi="黑体" w:eastAsia="黑体" w:cs="黑体"/>
          <w:sz w:val="44"/>
          <w:szCs w:val="44"/>
        </w:rPr>
        <w:t>绩效报告</w:t>
      </w:r>
    </w:p>
    <w:p>
      <w:pPr>
        <w:adjustRightInd w:val="0"/>
        <w:spacing w:line="600" w:lineRule="exact"/>
        <w:ind w:right="641"/>
        <w:rPr>
          <w:rFonts w:eastAsia="仿宋_GB2312"/>
          <w:sz w:val="32"/>
          <w:szCs w:val="32"/>
        </w:rPr>
      </w:pPr>
    </w:p>
    <w:p>
      <w:pPr>
        <w:adjustRightInd w:val="0"/>
        <w:snapToGrid w:val="0"/>
        <w:spacing w:line="600" w:lineRule="exact"/>
        <w:ind w:firstLine="640" w:firstLineChars="200"/>
        <w:rPr>
          <w:rFonts w:eastAsia="黑体"/>
          <w:sz w:val="32"/>
          <w:szCs w:val="32"/>
        </w:rPr>
      </w:pPr>
      <w:r>
        <w:rPr>
          <w:rFonts w:hint="eastAsia" w:eastAsia="黑体"/>
          <w:sz w:val="32"/>
          <w:szCs w:val="32"/>
        </w:rPr>
        <w:t>一、预算支出概况</w:t>
      </w:r>
    </w:p>
    <w:p>
      <w:pPr>
        <w:widowControl/>
        <w:spacing w:line="560" w:lineRule="exact"/>
        <w:ind w:firstLine="627" w:firstLineChars="196"/>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（一）项目实施单位基本情况。</w:t>
      </w:r>
    </w:p>
    <w:p>
      <w:pPr>
        <w:widowControl/>
        <w:spacing w:line="560" w:lineRule="exact"/>
        <w:ind w:firstLine="627" w:firstLineChars="196"/>
        <w:jc w:val="left"/>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辰溪县应急管理局是县政府工作部门，为正科级全额拨款单位。主要职责是：</w:t>
      </w:r>
    </w:p>
    <w:p>
      <w:pPr>
        <w:widowControl/>
        <w:spacing w:line="560" w:lineRule="exact"/>
        <w:ind w:firstLine="627" w:firstLineChars="196"/>
        <w:jc w:val="left"/>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负责应急管理工作，指导全县各乡镇各部门应对安全生产类、自然灾害类等突发事件和综合防灾减灾救灾工作。负责全县安全生产综合监督管理和矿山、危险化学品、烟花爆竹行业安全生产监督管理工作。负责全县消防管理有关工作。贯彻实施相关法律法规、部门规章、规程和标准，组织编制县应急体系建设、安全生产和综合防灾减灾规划，组织起草相关规范性文件，组织拟订相关政策、规程和标准并监督实施。依法组织生产安全事故调查处理。承担县防汛抗旱指挥部日常工作。</w:t>
      </w:r>
    </w:p>
    <w:p>
      <w:pPr>
        <w:adjustRightInd w:val="0"/>
        <w:snapToGrid w:val="0"/>
        <w:spacing w:line="600" w:lineRule="exact"/>
        <w:ind w:firstLine="640" w:firstLineChars="200"/>
        <w:rPr>
          <w:rFonts w:eastAsia="仿宋_GB2312"/>
          <w:sz w:val="32"/>
          <w:szCs w:val="32"/>
        </w:rPr>
      </w:pPr>
    </w:p>
    <w:p>
      <w:pPr>
        <w:numPr>
          <w:ilvl w:val="0"/>
          <w:numId w:val="7"/>
        </w:num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eastAsia="zh-CN"/>
        </w:rPr>
        <w:t>应急指挥中心平台建设专项</w:t>
      </w:r>
      <w:r>
        <w:rPr>
          <w:rFonts w:hint="eastAsia" w:asciiTheme="minorEastAsia" w:hAnsiTheme="minorEastAsia" w:eastAsiaTheme="minorEastAsia" w:cstheme="minorEastAsia"/>
          <w:sz w:val="32"/>
          <w:szCs w:val="32"/>
        </w:rPr>
        <w:t>资金基本情况</w:t>
      </w:r>
    </w:p>
    <w:p>
      <w:pPr>
        <w:numPr>
          <w:ilvl w:val="0"/>
          <w:numId w:val="0"/>
        </w:num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eastAsia="zh-CN"/>
        </w:rPr>
        <w:t>应急指挥中心平台建设专项</w:t>
      </w:r>
      <w:r>
        <w:rPr>
          <w:rFonts w:hint="eastAsia" w:asciiTheme="minorEastAsia" w:hAnsiTheme="minorEastAsia" w:eastAsiaTheme="minorEastAsia" w:cstheme="minorEastAsia"/>
          <w:sz w:val="32"/>
          <w:szCs w:val="32"/>
        </w:rPr>
        <w:t>资金基本性质</w:t>
      </w:r>
      <w:r>
        <w:rPr>
          <w:rFonts w:hint="eastAsia" w:asciiTheme="minorEastAsia" w:hAnsiTheme="minorEastAsia" w:eastAsiaTheme="minorEastAsia" w:cstheme="minorEastAsia"/>
          <w:sz w:val="32"/>
          <w:szCs w:val="32"/>
          <w:lang w:eastAsia="zh-CN"/>
        </w:rPr>
        <w:t>为一般公共预算资金；资金</w:t>
      </w:r>
      <w:r>
        <w:rPr>
          <w:rFonts w:hint="eastAsia" w:asciiTheme="minorEastAsia" w:hAnsiTheme="minorEastAsia" w:eastAsiaTheme="minorEastAsia" w:cstheme="minorEastAsia"/>
          <w:sz w:val="32"/>
          <w:szCs w:val="32"/>
        </w:rPr>
        <w:t>用途</w:t>
      </w:r>
      <w:r>
        <w:rPr>
          <w:rFonts w:hint="eastAsia" w:asciiTheme="minorEastAsia" w:hAnsiTheme="minorEastAsia" w:eastAsiaTheme="minorEastAsia" w:cstheme="minorEastAsia"/>
          <w:sz w:val="32"/>
          <w:szCs w:val="32"/>
          <w:lang w:eastAsia="zh-CN"/>
        </w:rPr>
        <w:t>是建设一个应急突发事件指挥调度中心；</w:t>
      </w:r>
      <w:r>
        <w:rPr>
          <w:rFonts w:hint="eastAsia" w:asciiTheme="minorEastAsia" w:hAnsiTheme="minorEastAsia" w:eastAsiaTheme="minorEastAsia" w:cstheme="minorEastAsia"/>
          <w:sz w:val="32"/>
          <w:szCs w:val="32"/>
        </w:rPr>
        <w:t>主要内容</w:t>
      </w:r>
      <w:r>
        <w:rPr>
          <w:rFonts w:hint="eastAsia" w:asciiTheme="minorEastAsia" w:hAnsiTheme="minorEastAsia" w:eastAsiaTheme="minorEastAsia" w:cstheme="minorEastAsia"/>
          <w:sz w:val="32"/>
          <w:szCs w:val="32"/>
          <w:lang w:eastAsia="zh-CN"/>
        </w:rPr>
        <w:t>是加强各类应急突发事件指挥调度力度，完善部门突发事件联动机制；项目建成后信息调度涵盖全县</w:t>
      </w:r>
      <w:r>
        <w:rPr>
          <w:rFonts w:hint="eastAsia" w:asciiTheme="minorEastAsia" w:hAnsiTheme="minorEastAsia" w:eastAsiaTheme="minorEastAsia" w:cstheme="minorEastAsia"/>
          <w:sz w:val="32"/>
          <w:szCs w:val="32"/>
          <w:lang w:val="en-US" w:eastAsia="zh-CN"/>
        </w:rPr>
        <w:t>23个乡镇</w:t>
      </w:r>
      <w:r>
        <w:rPr>
          <w:rFonts w:hint="eastAsia" w:asciiTheme="minorEastAsia" w:hAnsiTheme="minorEastAsia" w:eastAsiaTheme="minorEastAsia" w:cstheme="minorEastAsia"/>
          <w:sz w:val="32"/>
          <w:szCs w:val="32"/>
        </w:rPr>
        <w:t>。</w:t>
      </w:r>
    </w:p>
    <w:p>
      <w:pPr>
        <w:numPr>
          <w:ilvl w:val="0"/>
          <w:numId w:val="7"/>
        </w:numPr>
        <w:adjustRightInd w:val="0"/>
        <w:snapToGrid w:val="0"/>
        <w:spacing w:line="600" w:lineRule="exact"/>
        <w:ind w:left="0" w:leftChars="0"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应急指挥中心平台建设专项</w:t>
      </w:r>
      <w:r>
        <w:rPr>
          <w:rFonts w:hint="eastAsia" w:asciiTheme="minorEastAsia" w:hAnsiTheme="minorEastAsia" w:eastAsiaTheme="minorEastAsia" w:cstheme="minorEastAsia"/>
          <w:sz w:val="32"/>
          <w:szCs w:val="32"/>
        </w:rPr>
        <w:t>资金绩效目标</w:t>
      </w:r>
      <w:r>
        <w:rPr>
          <w:rFonts w:hint="eastAsia" w:asciiTheme="minorEastAsia" w:hAnsiTheme="minorEastAsia" w:eastAsiaTheme="minorEastAsia" w:cstheme="minorEastAsia"/>
          <w:sz w:val="32"/>
          <w:szCs w:val="32"/>
          <w:lang w:eastAsia="zh-CN"/>
        </w:rPr>
        <w:t>。</w:t>
      </w:r>
    </w:p>
    <w:p>
      <w:pPr>
        <w:numPr>
          <w:ilvl w:val="0"/>
          <w:numId w:val="0"/>
        </w:numPr>
        <w:adjustRightInd w:val="0"/>
        <w:snapToGrid w:val="0"/>
        <w:spacing w:line="600" w:lineRule="exact"/>
        <w:ind w:left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1、</w:t>
      </w:r>
      <w:r>
        <w:rPr>
          <w:rFonts w:hint="eastAsia" w:asciiTheme="minorEastAsia" w:hAnsiTheme="minorEastAsia" w:eastAsiaTheme="minorEastAsia" w:cstheme="minorEastAsia"/>
          <w:sz w:val="32"/>
          <w:szCs w:val="32"/>
        </w:rPr>
        <w:t>总体目标</w:t>
      </w: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lang w:eastAsia="zh-CN"/>
        </w:rPr>
        <w:t>为</w:t>
      </w:r>
      <w:r>
        <w:rPr>
          <w:rFonts w:hint="eastAsia" w:asciiTheme="minorEastAsia" w:hAnsiTheme="minorEastAsia" w:eastAsiaTheme="minorEastAsia" w:cstheme="minorEastAsia"/>
          <w:sz w:val="32"/>
          <w:szCs w:val="32"/>
        </w:rPr>
        <w:t>健全公共安全体系，提升防灾减灾救灾能力</w:t>
      </w:r>
      <w:r>
        <w:rPr>
          <w:rFonts w:hint="eastAsia" w:asciiTheme="minorEastAsia" w:hAnsiTheme="minorEastAsia" w:eastAsiaTheme="minorEastAsia" w:cstheme="minorEastAsia"/>
          <w:sz w:val="32"/>
          <w:szCs w:val="32"/>
          <w:lang w:eastAsia="zh-CN"/>
        </w:rPr>
        <w:t>，设立了应急指挥中心平台建设专项。</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eastAsiaTheme="minorEastAsia" w:cstheme="minorEastAsia"/>
          <w:sz w:val="32"/>
          <w:szCs w:val="32"/>
        </w:rPr>
        <w:t>年度目标</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提升应急救援指挥调度能力</w:t>
      </w:r>
    </w:p>
    <w:p>
      <w:pPr>
        <w:adjustRightInd w:val="0"/>
        <w:snapToGrid w:val="0"/>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二、</w:t>
      </w:r>
      <w:r>
        <w:rPr>
          <w:rFonts w:hint="eastAsia" w:ascii="黑体" w:hAnsi="黑体" w:eastAsia="黑体" w:cs="黑体"/>
          <w:b/>
          <w:bCs/>
          <w:sz w:val="32"/>
          <w:szCs w:val="32"/>
          <w:lang w:eastAsia="zh-CN"/>
        </w:rPr>
        <w:t>应急指挥中心平台建设专项</w:t>
      </w:r>
      <w:r>
        <w:rPr>
          <w:rFonts w:hint="eastAsia" w:ascii="黑体" w:hAnsi="黑体" w:eastAsia="黑体" w:cs="黑体"/>
          <w:b/>
          <w:bCs/>
          <w:sz w:val="32"/>
          <w:szCs w:val="32"/>
        </w:rPr>
        <w:t>资金使用及管理情况</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w:t>
      </w:r>
      <w:r>
        <w:rPr>
          <w:rFonts w:hint="eastAsia" w:asciiTheme="minorEastAsia" w:hAnsiTheme="minorEastAsia" w:eastAsiaTheme="minorEastAsia" w:cstheme="minorEastAsia"/>
          <w:sz w:val="32"/>
          <w:szCs w:val="32"/>
          <w:lang w:eastAsia="zh-CN"/>
        </w:rPr>
        <w:t>应急指挥中心平台建设专项</w:t>
      </w:r>
      <w:r>
        <w:rPr>
          <w:rFonts w:hint="eastAsia" w:asciiTheme="minorEastAsia" w:hAnsiTheme="minorEastAsia" w:eastAsiaTheme="minorEastAsia" w:cstheme="minorEastAsia"/>
          <w:sz w:val="32"/>
          <w:szCs w:val="32"/>
        </w:rPr>
        <w:t>资金总预算</w:t>
      </w:r>
      <w:r>
        <w:rPr>
          <w:rFonts w:hint="eastAsia" w:asciiTheme="minorEastAsia" w:hAnsiTheme="minorEastAsia" w:eastAsiaTheme="minorEastAsia" w:cstheme="minorEastAsia"/>
          <w:sz w:val="32"/>
          <w:szCs w:val="32"/>
          <w:lang w:val="en-US" w:eastAsia="zh-CN"/>
        </w:rPr>
        <w:t>356.3</w:t>
      </w:r>
      <w:r>
        <w:rPr>
          <w:rFonts w:hint="eastAsia" w:asciiTheme="minorEastAsia" w:hAnsiTheme="minorEastAsia" w:eastAsiaTheme="minorEastAsia" w:cstheme="minorEastAsia"/>
          <w:sz w:val="32"/>
          <w:szCs w:val="32"/>
        </w:rPr>
        <w:t>万元，其中</w:t>
      </w:r>
      <w:r>
        <w:rPr>
          <w:rFonts w:hint="eastAsia" w:asciiTheme="minorEastAsia" w:hAnsiTheme="minorEastAsia" w:eastAsiaTheme="minorEastAsia" w:cstheme="minorEastAsia"/>
          <w:sz w:val="32"/>
          <w:szCs w:val="32"/>
          <w:lang w:val="en-US" w:eastAsia="zh-CN"/>
        </w:rPr>
        <w:t>2020</w:t>
      </w:r>
      <w:r>
        <w:rPr>
          <w:rFonts w:hint="eastAsia" w:asciiTheme="minorEastAsia" w:hAnsiTheme="minorEastAsia" w:eastAsiaTheme="minorEastAsia" w:cstheme="minorEastAsia"/>
          <w:sz w:val="32"/>
          <w:szCs w:val="32"/>
        </w:rPr>
        <w:t>年</w:t>
      </w:r>
      <w:r>
        <w:rPr>
          <w:rFonts w:hint="eastAsia" w:asciiTheme="minorEastAsia" w:hAnsiTheme="minorEastAsia" w:eastAsiaTheme="minorEastAsia" w:cstheme="minorEastAsia"/>
          <w:sz w:val="32"/>
          <w:szCs w:val="32"/>
          <w:lang w:eastAsia="zh-CN"/>
        </w:rPr>
        <w:t>度</w:t>
      </w:r>
      <w:r>
        <w:rPr>
          <w:rFonts w:hint="eastAsia" w:asciiTheme="minorEastAsia" w:hAnsiTheme="minorEastAsia" w:eastAsiaTheme="minorEastAsia" w:cstheme="minorEastAsia"/>
          <w:sz w:val="32"/>
          <w:szCs w:val="32"/>
        </w:rPr>
        <w:t>预算</w:t>
      </w:r>
      <w:r>
        <w:rPr>
          <w:rFonts w:hint="eastAsia" w:asciiTheme="minorEastAsia" w:hAnsiTheme="minorEastAsia" w:eastAsiaTheme="minorEastAsia" w:cstheme="minorEastAsia"/>
          <w:sz w:val="32"/>
          <w:szCs w:val="32"/>
          <w:lang w:val="en-US" w:eastAsia="zh-CN"/>
        </w:rPr>
        <w:t>280</w:t>
      </w:r>
      <w:r>
        <w:rPr>
          <w:rFonts w:hint="eastAsia" w:asciiTheme="minorEastAsia" w:hAnsiTheme="minorEastAsia" w:eastAsiaTheme="minorEastAsia" w:cstheme="minorEastAsia"/>
          <w:sz w:val="32"/>
          <w:szCs w:val="32"/>
        </w:rPr>
        <w:t>万元，</w:t>
      </w:r>
    </w:p>
    <w:p>
      <w:pPr>
        <w:adjustRightInd w:val="0"/>
        <w:snapToGrid w:val="0"/>
        <w:spacing w:line="600" w:lineRule="exact"/>
        <w:ind w:left="319" w:leftChars="152" w:firstLine="320" w:firstLineChars="1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w:t>
      </w:r>
      <w:r>
        <w:rPr>
          <w:rFonts w:hint="eastAsia" w:asciiTheme="minorEastAsia" w:hAnsiTheme="minorEastAsia" w:eastAsiaTheme="minorEastAsia" w:cstheme="minorEastAsia"/>
          <w:sz w:val="32"/>
          <w:szCs w:val="32"/>
          <w:lang w:eastAsia="zh-CN"/>
        </w:rPr>
        <w:t>应急指挥中心平台建设专项</w:t>
      </w:r>
      <w:r>
        <w:rPr>
          <w:rFonts w:hint="eastAsia" w:asciiTheme="minorEastAsia" w:hAnsiTheme="minorEastAsia" w:eastAsiaTheme="minorEastAsia" w:cstheme="minorEastAsia"/>
          <w:sz w:val="32"/>
          <w:szCs w:val="32"/>
        </w:rPr>
        <w:t>资金实际使用情况。截至 2020</w:t>
      </w:r>
      <w:r>
        <w:rPr>
          <w:rFonts w:hint="eastAsia" w:asciiTheme="minorEastAsia" w:hAnsiTheme="minorEastAsia" w:eastAsiaTheme="minorEastAsia" w:cstheme="minorEastAsia"/>
          <w:sz w:val="32"/>
          <w:szCs w:val="32"/>
          <w:lang w:eastAsia="zh-CN"/>
        </w:rPr>
        <w:t>年</w:t>
      </w:r>
      <w:r>
        <w:rPr>
          <w:rFonts w:hint="eastAsia" w:asciiTheme="minorEastAsia" w:hAnsiTheme="minorEastAsia" w:eastAsiaTheme="minorEastAsia" w:cstheme="minorEastAsia"/>
          <w:sz w:val="32"/>
          <w:szCs w:val="32"/>
        </w:rPr>
        <w:t>12月31日，项目实际支出</w:t>
      </w:r>
      <w:r>
        <w:rPr>
          <w:rFonts w:hint="eastAsia" w:asciiTheme="minorEastAsia" w:hAnsiTheme="minorEastAsia" w:eastAsiaTheme="minorEastAsia" w:cstheme="minorEastAsia"/>
          <w:sz w:val="32"/>
          <w:szCs w:val="32"/>
          <w:lang w:val="en-US" w:eastAsia="zh-CN"/>
        </w:rPr>
        <w:t>275.27</w:t>
      </w:r>
      <w:r>
        <w:rPr>
          <w:rFonts w:hint="eastAsia" w:asciiTheme="minorEastAsia" w:hAnsiTheme="minorEastAsia" w:eastAsiaTheme="minorEastAsia" w:cstheme="minorEastAsia"/>
          <w:sz w:val="32"/>
          <w:szCs w:val="32"/>
        </w:rPr>
        <w:t xml:space="preserve">万元，整体预算执行率为 </w:t>
      </w:r>
      <w:r>
        <w:rPr>
          <w:rFonts w:hint="eastAsia" w:asciiTheme="minorEastAsia" w:hAnsiTheme="minorEastAsia" w:eastAsiaTheme="minorEastAsia" w:cstheme="minorEastAsia"/>
          <w:sz w:val="32"/>
          <w:szCs w:val="32"/>
          <w:lang w:val="en-US" w:eastAsia="zh-CN"/>
        </w:rPr>
        <w:t>98.31</w:t>
      </w:r>
      <w:r>
        <w:rPr>
          <w:rFonts w:hint="eastAsia" w:asciiTheme="minorEastAsia" w:hAnsiTheme="minorEastAsia" w:eastAsiaTheme="minorEastAsia" w:cstheme="minorEastAsia"/>
          <w:sz w:val="32"/>
          <w:szCs w:val="32"/>
        </w:rPr>
        <w:t>%。</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（三）</w:t>
      </w:r>
      <w:r>
        <w:rPr>
          <w:rFonts w:hint="eastAsia" w:asciiTheme="minorEastAsia" w:hAnsiTheme="minorEastAsia" w:eastAsiaTheme="minorEastAsia" w:cstheme="minorEastAsia"/>
          <w:sz w:val="32"/>
          <w:szCs w:val="32"/>
          <w:lang w:eastAsia="zh-CN"/>
        </w:rPr>
        <w:t>应急指挥中心平台建设专项资金严格按照</w:t>
      </w:r>
      <w:r>
        <w:rPr>
          <w:rFonts w:hint="eastAsia" w:asciiTheme="minorEastAsia" w:hAnsiTheme="minorEastAsia" w:eastAsiaTheme="minorEastAsia" w:cstheme="minorEastAsia"/>
          <w:sz w:val="32"/>
          <w:szCs w:val="32"/>
        </w:rPr>
        <w:t>专项</w:t>
      </w:r>
      <w:r>
        <w:rPr>
          <w:rFonts w:hint="eastAsia" w:asciiTheme="minorEastAsia" w:hAnsiTheme="minorEastAsia" w:eastAsiaTheme="minorEastAsia" w:cstheme="minorEastAsia"/>
          <w:sz w:val="32"/>
          <w:szCs w:val="32"/>
          <w:lang w:eastAsia="zh-CN"/>
        </w:rPr>
        <w:t>资金</w:t>
      </w:r>
      <w:r>
        <w:rPr>
          <w:rFonts w:hint="eastAsia" w:asciiTheme="minorEastAsia" w:hAnsiTheme="minorEastAsia" w:eastAsiaTheme="minorEastAsia" w:cstheme="minorEastAsia"/>
          <w:sz w:val="32"/>
          <w:szCs w:val="32"/>
        </w:rPr>
        <w:t>管理制度</w:t>
      </w:r>
      <w:r>
        <w:rPr>
          <w:rFonts w:hint="eastAsia" w:asciiTheme="minorEastAsia" w:hAnsiTheme="minorEastAsia" w:eastAsiaTheme="minorEastAsia" w:cstheme="minorEastAsia"/>
          <w:sz w:val="32"/>
          <w:szCs w:val="32"/>
          <w:lang w:eastAsia="zh-CN"/>
        </w:rPr>
        <w:t>支付</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eastAsia="zh-CN"/>
        </w:rPr>
        <w:t>无违反财经纪律的情况发生。</w:t>
      </w:r>
    </w:p>
    <w:p>
      <w:pPr>
        <w:adjustRightInd w:val="0"/>
        <w:snapToGrid w:val="0"/>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三、</w:t>
      </w:r>
      <w:r>
        <w:rPr>
          <w:rFonts w:hint="eastAsia" w:ascii="黑体" w:hAnsi="黑体" w:eastAsia="黑体" w:cs="黑体"/>
          <w:b/>
          <w:bCs/>
          <w:sz w:val="32"/>
          <w:szCs w:val="32"/>
          <w:lang w:eastAsia="zh-CN"/>
        </w:rPr>
        <w:t>应急指挥中心平台建设专项资金</w:t>
      </w:r>
      <w:r>
        <w:rPr>
          <w:rFonts w:hint="eastAsia" w:ascii="黑体" w:hAnsi="黑体" w:eastAsia="黑体" w:cs="黑体"/>
          <w:b/>
          <w:bCs/>
          <w:sz w:val="32"/>
          <w:szCs w:val="32"/>
        </w:rPr>
        <w:t>组织实施情况</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w:t>
      </w:r>
      <w:r>
        <w:rPr>
          <w:rFonts w:hint="eastAsia" w:asciiTheme="minorEastAsia" w:hAnsiTheme="minorEastAsia" w:eastAsiaTheme="minorEastAsia" w:cstheme="minorEastAsia"/>
          <w:sz w:val="32"/>
          <w:szCs w:val="32"/>
          <w:lang w:eastAsia="zh-CN"/>
        </w:rPr>
        <w:t>应急指挥中心平台建设专项资金的</w:t>
      </w:r>
      <w:r>
        <w:rPr>
          <w:rFonts w:hint="eastAsia" w:asciiTheme="minorEastAsia" w:hAnsiTheme="minorEastAsia" w:eastAsiaTheme="minorEastAsia" w:cstheme="minorEastAsia"/>
          <w:sz w:val="32"/>
          <w:szCs w:val="32"/>
        </w:rPr>
        <w:t>使用，</w:t>
      </w:r>
      <w:r>
        <w:rPr>
          <w:rFonts w:hint="eastAsia" w:asciiTheme="minorEastAsia" w:hAnsiTheme="minorEastAsia" w:eastAsiaTheme="minorEastAsia" w:cstheme="minorEastAsia"/>
          <w:sz w:val="32"/>
          <w:szCs w:val="32"/>
          <w:lang w:eastAsia="zh-CN"/>
        </w:rPr>
        <w:t>接受财政、审计</w:t>
      </w:r>
      <w:r>
        <w:rPr>
          <w:rFonts w:hint="eastAsia" w:asciiTheme="minorEastAsia" w:hAnsiTheme="minorEastAsia" w:eastAsiaTheme="minorEastAsia" w:cstheme="minorEastAsia"/>
          <w:sz w:val="32"/>
          <w:szCs w:val="32"/>
        </w:rPr>
        <w:t>检查监督。</w:t>
      </w:r>
    </w:p>
    <w:p>
      <w:pPr>
        <w:adjustRightInd w:val="0"/>
        <w:snapToGrid w:val="0"/>
        <w:spacing w:line="600" w:lineRule="exact"/>
        <w:ind w:firstLine="640" w:firstLineChars="200"/>
        <w:rPr>
          <w:rFonts w:hint="eastAsia" w:ascii="黑体" w:hAnsi="黑体" w:eastAsia="黑体" w:cs="黑体"/>
          <w:sz w:val="32"/>
          <w:szCs w:val="32"/>
        </w:rPr>
      </w:pPr>
      <w:r>
        <w:rPr>
          <w:rFonts w:hint="eastAsia" w:asciiTheme="minorEastAsia" w:hAnsiTheme="minorEastAsia" w:eastAsiaTheme="minorEastAsia" w:cstheme="minorEastAsia"/>
          <w:sz w:val="32"/>
          <w:szCs w:val="32"/>
        </w:rPr>
        <w:t>（二）</w:t>
      </w:r>
      <w:r>
        <w:rPr>
          <w:rFonts w:hint="eastAsia" w:asciiTheme="minorEastAsia" w:hAnsiTheme="minorEastAsia" w:eastAsiaTheme="minorEastAsia" w:cstheme="minorEastAsia"/>
          <w:sz w:val="32"/>
          <w:szCs w:val="32"/>
          <w:lang w:eastAsia="zh-CN"/>
        </w:rPr>
        <w:t>应急指挥中心平台建设专项严格根据政府采购</w:t>
      </w:r>
      <w:r>
        <w:rPr>
          <w:rFonts w:hint="eastAsia" w:asciiTheme="minorEastAsia" w:hAnsiTheme="minorEastAsia" w:eastAsiaTheme="minorEastAsia" w:cstheme="minorEastAsia"/>
          <w:sz w:val="32"/>
          <w:szCs w:val="32"/>
        </w:rPr>
        <w:t>招投标</w:t>
      </w:r>
      <w:r>
        <w:rPr>
          <w:rFonts w:hint="eastAsia" w:asciiTheme="minorEastAsia" w:hAnsiTheme="minorEastAsia" w:eastAsiaTheme="minorEastAsia" w:cstheme="minorEastAsia"/>
          <w:sz w:val="32"/>
          <w:szCs w:val="32"/>
          <w:lang w:eastAsia="zh-CN"/>
        </w:rPr>
        <w:t>的要求进行公开招标，</w:t>
      </w:r>
      <w:r>
        <w:rPr>
          <w:rFonts w:hint="eastAsia" w:asciiTheme="minorEastAsia" w:hAnsiTheme="minorEastAsia" w:eastAsiaTheme="minorEastAsia" w:cstheme="minorEastAsia"/>
          <w:sz w:val="32"/>
          <w:szCs w:val="32"/>
        </w:rPr>
        <w:t>调整、竣工验收</w:t>
      </w:r>
      <w:r>
        <w:rPr>
          <w:rFonts w:hint="eastAsia" w:asciiTheme="minorEastAsia" w:hAnsiTheme="minorEastAsia" w:eastAsiaTheme="minorEastAsia" w:cstheme="minorEastAsia"/>
          <w:sz w:val="32"/>
          <w:szCs w:val="32"/>
          <w:lang w:eastAsia="zh-CN"/>
        </w:rPr>
        <w:t>均通过财政相关审核</w:t>
      </w:r>
      <w:r>
        <w:rPr>
          <w:rFonts w:hint="eastAsia" w:ascii="黑体" w:hAnsi="黑体" w:eastAsia="黑体" w:cs="黑体"/>
          <w:sz w:val="32"/>
          <w:szCs w:val="32"/>
        </w:rPr>
        <w:t>。</w:t>
      </w:r>
    </w:p>
    <w:p>
      <w:pPr>
        <w:adjustRightInd w:val="0"/>
        <w:snapToGrid w:val="0"/>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四、</w:t>
      </w:r>
      <w:r>
        <w:rPr>
          <w:rFonts w:hint="eastAsia" w:ascii="黑体" w:hAnsi="黑体" w:eastAsia="黑体" w:cs="黑体"/>
          <w:b/>
          <w:bCs/>
          <w:sz w:val="32"/>
          <w:szCs w:val="32"/>
          <w:lang w:eastAsia="zh-CN"/>
        </w:rPr>
        <w:t>应急指挥中心平台建设专项资金</w:t>
      </w:r>
      <w:r>
        <w:rPr>
          <w:rFonts w:hint="eastAsia" w:ascii="黑体" w:hAnsi="黑体" w:eastAsia="黑体" w:cs="黑体"/>
          <w:b/>
          <w:bCs/>
          <w:sz w:val="32"/>
          <w:szCs w:val="32"/>
        </w:rPr>
        <w:t>支出绩效情况</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（一）预算支出决策情况。</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eastAsia="zh-CN"/>
        </w:rPr>
        <w:t>应急指挥中心平台建设专项依据依据管理局的职能，结合当前提高依据救援效能的现实需求等设立，决策依据充分，绩效目标设置合理，预算编制科学，资金分配合理。</w:t>
      </w:r>
    </w:p>
    <w:p>
      <w:pPr>
        <w:numPr>
          <w:ilvl w:val="0"/>
          <w:numId w:val="8"/>
        </w:num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预算支出过程情况。</w:t>
      </w:r>
    </w:p>
    <w:p>
      <w:pPr>
        <w:numPr>
          <w:ilvl w:val="0"/>
          <w:numId w:val="0"/>
        </w:numPr>
        <w:adjustRightInd w:val="0"/>
        <w:snapToGrid w:val="0"/>
        <w:spacing w:line="600" w:lineRule="exact"/>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应急指挥中心平台建设专项资金根据</w:t>
      </w:r>
      <w:r>
        <w:rPr>
          <w:rFonts w:hint="eastAsia" w:asciiTheme="minorEastAsia" w:hAnsiTheme="minorEastAsia" w:eastAsiaTheme="minorEastAsia" w:cstheme="minorEastAsia"/>
          <w:sz w:val="32"/>
          <w:szCs w:val="32"/>
        </w:rPr>
        <w:t>相关业务及财务管理制度拨付</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具有完整的审批程序和手续，资金使用合规</w:t>
      </w:r>
      <w:r>
        <w:rPr>
          <w:rFonts w:hint="eastAsia" w:asciiTheme="minorEastAsia" w:hAnsiTheme="minorEastAsia" w:eastAsiaTheme="minorEastAsia" w:cstheme="minorEastAsia"/>
          <w:sz w:val="32"/>
          <w:szCs w:val="32"/>
          <w:lang w:eastAsia="zh-CN"/>
        </w:rPr>
        <w:t>。</w:t>
      </w:r>
    </w:p>
    <w:p>
      <w:pPr>
        <w:numPr>
          <w:ilvl w:val="0"/>
          <w:numId w:val="8"/>
        </w:numPr>
        <w:adjustRightInd w:val="0"/>
        <w:snapToGrid w:val="0"/>
        <w:spacing w:line="600" w:lineRule="exact"/>
        <w:ind w:left="0" w:leftChars="0"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预算支出产出情况。</w:t>
      </w:r>
    </w:p>
    <w:p>
      <w:pPr>
        <w:numPr>
          <w:ilvl w:val="0"/>
          <w:numId w:val="0"/>
        </w:numPr>
        <w:adjustRightInd w:val="0"/>
        <w:snapToGrid w:val="0"/>
        <w:spacing w:line="600" w:lineRule="exact"/>
        <w:ind w:leftChars="200" w:firstLine="320" w:firstLineChars="1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应急指挥中心平台建设专项资金</w:t>
      </w:r>
      <w:r>
        <w:rPr>
          <w:rFonts w:hint="eastAsia" w:asciiTheme="minorEastAsia" w:hAnsiTheme="minorEastAsia" w:eastAsiaTheme="minorEastAsia" w:cstheme="minorEastAsia"/>
          <w:sz w:val="32"/>
          <w:szCs w:val="32"/>
        </w:rPr>
        <w:t>产出按照预期目标完成，相关工作内容质量达</w:t>
      </w:r>
      <w:r>
        <w:rPr>
          <w:rFonts w:hint="eastAsia" w:asciiTheme="minorEastAsia" w:hAnsiTheme="minorEastAsia" w:eastAsiaTheme="minorEastAsia" w:cstheme="minorEastAsia"/>
          <w:sz w:val="32"/>
          <w:szCs w:val="32"/>
          <w:lang w:eastAsia="zh-CN"/>
        </w:rPr>
        <w:t>标。</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p>
    <w:p>
      <w:pPr>
        <w:numPr>
          <w:ilvl w:val="0"/>
          <w:numId w:val="8"/>
        </w:numPr>
        <w:adjustRightInd w:val="0"/>
        <w:snapToGrid w:val="0"/>
        <w:spacing w:line="600" w:lineRule="exact"/>
        <w:ind w:left="0" w:leftChars="0"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预算支出效益情况。</w:t>
      </w:r>
    </w:p>
    <w:p>
      <w:pPr>
        <w:numPr>
          <w:ilvl w:val="0"/>
          <w:numId w:val="0"/>
        </w:numPr>
        <w:adjustRightInd w:val="0"/>
        <w:snapToGrid w:val="0"/>
        <w:spacing w:line="600" w:lineRule="exact"/>
        <w:ind w:leftChars="200"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应急指挥中心平台建设</w:t>
      </w:r>
      <w:r>
        <w:rPr>
          <w:rFonts w:hint="eastAsia" w:asciiTheme="minorEastAsia" w:hAnsiTheme="minorEastAsia" w:eastAsiaTheme="minorEastAsia" w:cstheme="minorEastAsia"/>
          <w:sz w:val="32"/>
          <w:szCs w:val="32"/>
        </w:rPr>
        <w:t>实施有效提升了重特大突发灾害处置效率和应急救援能力，进一步提升了应急救援从业人员、应急指挥相关人员工作水平</w:t>
      </w:r>
      <w:r>
        <w:rPr>
          <w:rFonts w:hint="eastAsia" w:asciiTheme="minorEastAsia" w:hAnsiTheme="minorEastAsia" w:eastAsiaTheme="minorEastAsia" w:cstheme="minorEastAsia"/>
          <w:sz w:val="32"/>
          <w:szCs w:val="32"/>
          <w:lang w:eastAsia="zh-CN"/>
        </w:rPr>
        <w:t>。</w:t>
      </w:r>
    </w:p>
    <w:p>
      <w:pPr>
        <w:numPr>
          <w:ilvl w:val="0"/>
          <w:numId w:val="9"/>
        </w:numPr>
        <w:adjustRightInd w:val="0"/>
        <w:snapToGrid w:val="0"/>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主要经验做法、存在的问题及原因分析</w:t>
      </w:r>
    </w:p>
    <w:p>
      <w:pPr>
        <w:numPr>
          <w:ilvl w:val="0"/>
          <w:numId w:val="0"/>
        </w:numPr>
        <w:adjustRightInd w:val="0"/>
        <w:snapToGrid w:val="0"/>
        <w:spacing w:line="600" w:lineRule="exact"/>
        <w:ind w:firstLine="320" w:firstLineChars="1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（一）绩效指标设置不够合理。</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项目围绕年度绩效目标设置了产出指标、效益指标和满意度指标。但仍存在绩效指标设置不够科学合理的问题，部分项目绩效目标与绩效指标不完全匹配，未能设置充分体现年度预期目标的完成情况的绩效指标。</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（二）财务制度有待更新。</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项目整体层面目前尚无专项管理制度，不利于项目组织实施、过程管理、总结验收等过程管理。部分财务管理制度更新不够及时，有待进一步完善。</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（三）过程监管和成果验收程序不够清晰，项目管理水平有待提升。</w:t>
      </w:r>
    </w:p>
    <w:p>
      <w:pPr>
        <w:adjustRightInd w:val="0"/>
        <w:snapToGrid w:val="0"/>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六、有关建议</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（一）全面、合理设置绩效指标，强化绩效目标管理。</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建议结合项目年度工作内容和具体目标，全面、合理设置项目绩效指标，对标每项重点工作内容，确保指标设置能够全面体现工作任务的主要产出和效益。</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（二）健全项目管理制度，促进制度的有效执行。</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建议结合项目特征，在现有管理措施的基础上，健全梳理包括项目主要目标、重点工作任务、资金支出范围、组织机构职责、过程监管实施、重要档案管理等内容的专项管理制度，并在后续年度项目实施过程中督促落实，根据现实需求适时调整更新制度内容，不断完善项目组织管理机制。</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（三）明确项目过程监管和验收程序，提升项目管理水平。规范使用财政资金，确保财政资金效益最大化，</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p>
    <w:p>
      <w:pPr>
        <w:adjustRightInd w:val="0"/>
        <w:snapToGrid w:val="0"/>
        <w:spacing w:line="60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rPr>
        <w:t>七、其他需要说明的问题</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无</w:t>
      </w:r>
    </w:p>
    <w:p>
      <w:pPr>
        <w:adjustRightInd w:val="0"/>
        <w:snapToGrid w:val="0"/>
        <w:spacing w:line="600" w:lineRule="exact"/>
        <w:ind w:firstLine="640" w:firstLineChars="200"/>
        <w:rPr>
          <w:rFonts w:hint="eastAsia" w:asciiTheme="minorEastAsia" w:hAnsiTheme="minorEastAsia" w:eastAsiaTheme="minorEastAsia" w:cstheme="minorEastAsia"/>
          <w:sz w:val="32"/>
          <w:szCs w:val="32"/>
        </w:rPr>
      </w:pPr>
    </w:p>
    <w:sectPr>
      <w:pgSz w:w="11906" w:h="16838"/>
      <w:pgMar w:top="187" w:right="1800" w:bottom="193"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10" w:usb3="00000000" w:csb0="00040000" w:csb1="00000000"/>
  </w:font>
  <w:font w:name="方正小标宋_GBK">
    <w:altName w:val="SimSun-ExtB"/>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SimSun-ExtB">
    <w:panose1 w:val="02010609060101010101"/>
    <w:charset w:val="86"/>
    <w:family w:val="auto"/>
    <w:pitch w:val="default"/>
    <w:sig w:usb0="00000001" w:usb1="02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66AB577"/>
    <w:multiLevelType w:val="singleLevel"/>
    <w:tmpl w:val="966AB577"/>
    <w:lvl w:ilvl="0" w:tentative="0">
      <w:start w:val="2"/>
      <w:numFmt w:val="chineseCounting"/>
      <w:suff w:val="nothing"/>
      <w:lvlText w:val="（%1）"/>
      <w:lvlJc w:val="left"/>
      <w:rPr>
        <w:rFonts w:hint="eastAsia"/>
      </w:rPr>
    </w:lvl>
  </w:abstractNum>
  <w:abstractNum w:abstractNumId="1">
    <w:nsid w:val="B8082873"/>
    <w:multiLevelType w:val="singleLevel"/>
    <w:tmpl w:val="B8082873"/>
    <w:lvl w:ilvl="0" w:tentative="0">
      <w:start w:val="5"/>
      <w:numFmt w:val="chineseCounting"/>
      <w:suff w:val="nothing"/>
      <w:lvlText w:val="%1、"/>
      <w:lvlJc w:val="left"/>
      <w:rPr>
        <w:rFonts w:hint="eastAsia"/>
      </w:rPr>
    </w:lvl>
  </w:abstractNum>
  <w:abstractNum w:abstractNumId="2">
    <w:nsid w:val="F2232D9A"/>
    <w:multiLevelType w:val="singleLevel"/>
    <w:tmpl w:val="F2232D9A"/>
    <w:lvl w:ilvl="0" w:tentative="0">
      <w:start w:val="1"/>
      <w:numFmt w:val="decimal"/>
      <w:suff w:val="nothing"/>
      <w:lvlText w:val="%1、"/>
      <w:lvlJc w:val="left"/>
    </w:lvl>
  </w:abstractNum>
  <w:abstractNum w:abstractNumId="3">
    <w:nsid w:val="23F930A0"/>
    <w:multiLevelType w:val="multilevel"/>
    <w:tmpl w:val="23F930A0"/>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4">
    <w:nsid w:val="295D7210"/>
    <w:multiLevelType w:val="singleLevel"/>
    <w:tmpl w:val="295D7210"/>
    <w:lvl w:ilvl="0" w:tentative="0">
      <w:start w:val="1"/>
      <w:numFmt w:val="decimal"/>
      <w:suff w:val="nothing"/>
      <w:lvlText w:val="%1、"/>
      <w:lvlJc w:val="left"/>
    </w:lvl>
  </w:abstractNum>
  <w:abstractNum w:abstractNumId="5">
    <w:nsid w:val="2D00791D"/>
    <w:multiLevelType w:val="singleLevel"/>
    <w:tmpl w:val="2D00791D"/>
    <w:lvl w:ilvl="0" w:tentative="0">
      <w:start w:val="2"/>
      <w:numFmt w:val="chineseCounting"/>
      <w:suff w:val="nothing"/>
      <w:lvlText w:val="（%1）"/>
      <w:lvlJc w:val="left"/>
      <w:rPr>
        <w:rFonts w:hint="eastAsia"/>
      </w:rPr>
    </w:lvl>
  </w:abstractNum>
  <w:abstractNum w:abstractNumId="6">
    <w:nsid w:val="454D5428"/>
    <w:multiLevelType w:val="multilevel"/>
    <w:tmpl w:val="454D5428"/>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7">
    <w:nsid w:val="5B4A74CD"/>
    <w:multiLevelType w:val="multilevel"/>
    <w:tmpl w:val="5B4A74CD"/>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8">
    <w:nsid w:val="775728FA"/>
    <w:multiLevelType w:val="multilevel"/>
    <w:tmpl w:val="775728FA"/>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num w:numId="1">
    <w:abstractNumId w:val="2"/>
  </w:num>
  <w:num w:numId="2">
    <w:abstractNumId w:val="4"/>
  </w:num>
  <w:num w:numId="3">
    <w:abstractNumId w:val="6"/>
  </w:num>
  <w:num w:numId="4">
    <w:abstractNumId w:val="3"/>
  </w:num>
  <w:num w:numId="5">
    <w:abstractNumId w:val="8"/>
  </w:num>
  <w:num w:numId="6">
    <w:abstractNumId w:val="7"/>
  </w:num>
  <w:num w:numId="7">
    <w:abstractNumId w:val="0"/>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5A1"/>
    <w:rsid w:val="000000A5"/>
    <w:rsid w:val="00022046"/>
    <w:rsid w:val="00037FEA"/>
    <w:rsid w:val="000B0765"/>
    <w:rsid w:val="000B57BC"/>
    <w:rsid w:val="001107A7"/>
    <w:rsid w:val="00162440"/>
    <w:rsid w:val="00174EEF"/>
    <w:rsid w:val="001A127E"/>
    <w:rsid w:val="00234476"/>
    <w:rsid w:val="002530C6"/>
    <w:rsid w:val="002558F7"/>
    <w:rsid w:val="0031755D"/>
    <w:rsid w:val="003711D0"/>
    <w:rsid w:val="00377767"/>
    <w:rsid w:val="00377A33"/>
    <w:rsid w:val="00396AAA"/>
    <w:rsid w:val="003E5114"/>
    <w:rsid w:val="00426627"/>
    <w:rsid w:val="004869C4"/>
    <w:rsid w:val="00493979"/>
    <w:rsid w:val="005833DD"/>
    <w:rsid w:val="00595424"/>
    <w:rsid w:val="00597FBB"/>
    <w:rsid w:val="005A4AB0"/>
    <w:rsid w:val="00614437"/>
    <w:rsid w:val="00634126"/>
    <w:rsid w:val="006370F0"/>
    <w:rsid w:val="006811E5"/>
    <w:rsid w:val="006A57F6"/>
    <w:rsid w:val="006B5E37"/>
    <w:rsid w:val="007B54D9"/>
    <w:rsid w:val="00822DA2"/>
    <w:rsid w:val="00887C00"/>
    <w:rsid w:val="008A4834"/>
    <w:rsid w:val="008D7141"/>
    <w:rsid w:val="008D77F4"/>
    <w:rsid w:val="00947E30"/>
    <w:rsid w:val="009677C0"/>
    <w:rsid w:val="009A29A3"/>
    <w:rsid w:val="009D3359"/>
    <w:rsid w:val="009D4AE4"/>
    <w:rsid w:val="00A045A1"/>
    <w:rsid w:val="00A070E1"/>
    <w:rsid w:val="00A317C9"/>
    <w:rsid w:val="00A3605E"/>
    <w:rsid w:val="00A75C37"/>
    <w:rsid w:val="00A865A7"/>
    <w:rsid w:val="00A86D65"/>
    <w:rsid w:val="00AA700A"/>
    <w:rsid w:val="00B364CE"/>
    <w:rsid w:val="00B56634"/>
    <w:rsid w:val="00BB062F"/>
    <w:rsid w:val="00BB55FB"/>
    <w:rsid w:val="00BB6107"/>
    <w:rsid w:val="00BC61F7"/>
    <w:rsid w:val="00BD1C3A"/>
    <w:rsid w:val="00BF151A"/>
    <w:rsid w:val="00C25716"/>
    <w:rsid w:val="00C3391C"/>
    <w:rsid w:val="00C344EC"/>
    <w:rsid w:val="00C4552C"/>
    <w:rsid w:val="00C72139"/>
    <w:rsid w:val="00C743CE"/>
    <w:rsid w:val="00CA4203"/>
    <w:rsid w:val="00CC4C2C"/>
    <w:rsid w:val="00CD20A2"/>
    <w:rsid w:val="00D10324"/>
    <w:rsid w:val="00D42786"/>
    <w:rsid w:val="00E127F9"/>
    <w:rsid w:val="00E50869"/>
    <w:rsid w:val="00F318D3"/>
    <w:rsid w:val="00F45BFB"/>
    <w:rsid w:val="00F55CD7"/>
    <w:rsid w:val="00FC7FE9"/>
    <w:rsid w:val="08F743EB"/>
    <w:rsid w:val="0E4562E0"/>
    <w:rsid w:val="16480299"/>
    <w:rsid w:val="29CD1E5C"/>
    <w:rsid w:val="2DE11820"/>
    <w:rsid w:val="302D082F"/>
    <w:rsid w:val="317A1241"/>
    <w:rsid w:val="353E4EC4"/>
    <w:rsid w:val="3C392FBE"/>
    <w:rsid w:val="4B787FFF"/>
    <w:rsid w:val="50271252"/>
    <w:rsid w:val="5B0139A7"/>
    <w:rsid w:val="5F970E84"/>
    <w:rsid w:val="60AF1584"/>
    <w:rsid w:val="6DD148D7"/>
    <w:rsid w:val="6EB320EC"/>
    <w:rsid w:val="708D5FCD"/>
    <w:rsid w:val="7182171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rFonts w:ascii="Calibri" w:hAnsi="Calibri"/>
      <w:sz w:val="18"/>
      <w:szCs w:val="18"/>
    </w:rPr>
  </w:style>
  <w:style w:type="paragraph" w:styleId="3">
    <w:name w:val="header"/>
    <w:basedOn w:val="1"/>
    <w:link w:val="6"/>
    <w:semiHidden/>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6">
    <w:name w:val="Header Char"/>
    <w:basedOn w:val="5"/>
    <w:link w:val="3"/>
    <w:semiHidden/>
    <w:qFormat/>
    <w:locked/>
    <w:uiPriority w:val="99"/>
    <w:rPr>
      <w:rFonts w:cs="Times New Roman"/>
      <w:sz w:val="18"/>
      <w:szCs w:val="18"/>
    </w:rPr>
  </w:style>
  <w:style w:type="character" w:customStyle="1" w:styleId="7">
    <w:name w:val="Footer Char"/>
    <w:basedOn w:val="5"/>
    <w:link w:val="2"/>
    <w:semiHidden/>
    <w:qFormat/>
    <w:locked/>
    <w:uiPriority w:val="99"/>
    <w:rPr>
      <w:rFonts w:cs="Times New Roman"/>
      <w:sz w:val="18"/>
      <w:szCs w:val="18"/>
    </w:rPr>
  </w:style>
  <w:style w:type="paragraph" w:styleId="8">
    <w:name w:val="List Paragraph"/>
    <w:basedOn w:val="1"/>
    <w:qFormat/>
    <w:uiPriority w:val="99"/>
    <w:pPr>
      <w:ind w:firstLine="420" w:firstLineChars="200"/>
    </w:pPr>
    <w:rPr>
      <w:rFonts w:ascii="Calibri" w:hAnsi="Calibri"/>
      <w:szCs w:val="22"/>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16</Pages>
  <Words>1301</Words>
  <Characters>7417</Characters>
  <Lines>0</Lines>
  <Paragraphs>0</Paragraphs>
  <TotalTime>21</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2021-01-21T07:46:00Z</dcterms:created>
  <dc:creator>AutoBVT</dc:creator>
  <cp:lastModifiedBy>好吗好的</cp:lastModifiedBy>
  <cp:lastPrinted>2021-01-21T01:26:00Z</cp:lastPrinted>
  <dcterms:modified xsi:type="dcterms:W3CDTF">2021-09-08T01:27:24Z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y fmtid="{D5CDD505-2E9C-101B-9397-08002B2CF9AE}" pid="3" name="ICV">
    <vt:lpwstr>44FED17B17EA49FCAD320B2891FCF0A3</vt:lpwstr>
  </property>
</Properties>
</file>