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60BBB">
      <w:pPr>
        <w:adjustRightInd w:val="0"/>
        <w:snapToGrid w:val="0"/>
        <w:jc w:val="center"/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/>
          <w:sz w:val="44"/>
          <w:szCs w:val="44"/>
          <w:lang w:val="en-US" w:eastAsia="zh-CN"/>
        </w:rPr>
        <w:t>辰溪县发展和改革局2024年部门整体绩效评价自评报告</w:t>
      </w:r>
    </w:p>
    <w:p w14:paraId="329C302B">
      <w:pPr>
        <w:adjustRightInd w:val="0"/>
        <w:snapToGrid w:val="0"/>
        <w:jc w:val="center"/>
        <w:rPr>
          <w:rFonts w:hint="default" w:ascii="方正大标宋简体" w:hAnsi="方正大标宋简体" w:eastAsia="方正大标宋简体"/>
          <w:sz w:val="44"/>
          <w:szCs w:val="44"/>
          <w:lang w:val="en-US" w:eastAsia="zh-CN"/>
        </w:rPr>
      </w:pPr>
    </w:p>
    <w:p w14:paraId="3E04E44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一、部门、单位基本情况</w:t>
      </w:r>
    </w:p>
    <w:p w14:paraId="33A8640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（一）机构设置情况</w:t>
      </w:r>
    </w:p>
    <w:p w14:paraId="686326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我局作为一级部门预算单位，内设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16个股室为：（1）办公室;（2）综合股；（3）行政审批股；（4）固定资产投资股；（5）社会发展股；（6）工业交通能源股；（7）价格管理股；（8）农村经济与湘西地区开发股；（9）环资股；（10）财务股；（11）粮食和物资储备股；（12）机关党务办；（13）重点建设项目事务中心；（14）价格认证中心；（15）招标投标管理办公室；（16）节能监测中心；（17）价格成本调查大队；（18）经贸股。</w:t>
      </w:r>
    </w:p>
    <w:p w14:paraId="5C609B8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人员编制情况</w:t>
      </w:r>
    </w:p>
    <w:p w14:paraId="25306397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960" w:firstLineChars="3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辰溪县发展和改革局设县政府大院内，现有编制数6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人，其中：行政编1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人、事业编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45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人，自收自支编制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人。而实际在职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59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人（含提前离岗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人），其中在职行政编正副科级10人，参照事业编正副科级10人、科员1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人，事业编技师和高级工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人（含自收自支2人）、中级工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人(含自收自支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人)、初级工2人（含自收自支0人）、专技工0人，工勤编技师、高级工和中级工共6人，退休干部职工45人。</w:t>
      </w:r>
    </w:p>
    <w:p w14:paraId="4820269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213E186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（三）主要职能职责</w:t>
      </w:r>
      <w:bookmarkStart w:id="0" w:name="_GoBack"/>
      <w:bookmarkEnd w:id="0"/>
    </w:p>
    <w:p w14:paraId="678535F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（四）绩效目标设定情况</w:t>
      </w:r>
    </w:p>
    <w:p w14:paraId="16ED17A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960" w:firstLineChars="3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在项目实施中，我局严格依据《中华人民共和国会计法》、《中华人民共和国预算法》做好项目日常工作的实施和监管。项目实施各环节的工作程序合理合法，工作开展依法依规，项目实施公开、透明，工作管理、费用支付与目标进度相符。</w:t>
      </w:r>
    </w:p>
    <w:p w14:paraId="2C04DF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（1）项目库建设经费： 该专项资金的支出必须控制在年初预算数以内，该支出达到的成效检验合格，完成年度绩效指标值的100%。</w:t>
      </w:r>
    </w:p>
    <w:p w14:paraId="438AE9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（2）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重点项目建设专项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 该专项资金的支出必须控制在年初预算数以内，该支出达到的成效检验合格，完成年度绩效指标值的100%。</w:t>
      </w:r>
    </w:p>
    <w:p w14:paraId="7AAB6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（3）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社会信用体系专项建设经费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 该专项资金的支出必须控制在年初预算数以内，该支出达到的成效检验合格，完成年度绩效指标值的100%。</w:t>
      </w:r>
    </w:p>
    <w:p w14:paraId="0604D8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县级储备粮流通监管及利息费用补贴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 该专项资金的支出必须控制在年初预算数以内，该支出达到的成效检验合格，完成年度绩效指标值的100%。</w:t>
      </w:r>
    </w:p>
    <w:p w14:paraId="15E82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县级储备粮轮换价差贴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 该专项资金的支出必须控制在年初预算数以内，该支出达到的成效检验合格，完成年度绩效指标值的100%。</w:t>
      </w:r>
    </w:p>
    <w:p w14:paraId="5CA117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应急成品粮承储费用补贴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 该专项资金的支出必须控制在年初预算数以内，该支出达到的成效检验合格，完成年度绩效指标值的100%。</w:t>
      </w:r>
    </w:p>
    <w:p w14:paraId="489D7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仓房及仓储设施维护费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 该专项资金的支出必须控制在年初预算数以内，该支出达到的成效检验合格，完成年度绩效指标值的100%。</w:t>
      </w:r>
    </w:p>
    <w:p w14:paraId="1F4697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粮油质量检测费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 该专项资金的支出必须控制在年初预算数以内，该支出达到的成效检验合格，完成年度绩效指标值的100%。</w:t>
      </w:r>
    </w:p>
    <w:p w14:paraId="7D05C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智能粮食管理系统专项经费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 该专项资金的支出必须控制在年初预算数以内，该支出达到的成效检验合格，完成年度绩效指标值的100%。</w:t>
      </w:r>
    </w:p>
    <w:p w14:paraId="281365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二、部门整体支出管理及使用情况</w:t>
      </w:r>
    </w:p>
    <w:p w14:paraId="1BF148B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预算执行、使用、管理总体情况。</w:t>
      </w:r>
    </w:p>
    <w:p w14:paraId="160BF71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（二）部门预算执行情况</w:t>
      </w:r>
    </w:p>
    <w:p w14:paraId="53E5D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1.基本支出情况</w:t>
      </w:r>
    </w:p>
    <w:p w14:paraId="4A8903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02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共取得财政拨款收入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1981.9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万元，较上年同期增加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499.69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万元，增长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25.2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%，主要是因为部门增加及财政预算追加了相关经费，则收入相应增加；202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年度支出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1981.9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万元，较上年同期增加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499.69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万元，增长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25.2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%，主要是因为部门增加及财政预算追加了相关经费，收入增加，则支出也相应增加。</w:t>
      </w:r>
    </w:p>
    <w:p w14:paraId="4619C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年度共发生支出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1981.9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万元，其中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1587.9万元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为基本支出：人员经费支出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840.8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万元，占基本支出支出的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52.96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%，日常公用经费支出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747.1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万元，占基本支出的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47.04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%。</w:t>
      </w:r>
    </w:p>
    <w:p w14:paraId="1AFE5A1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0F8E7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2.项目支出情况</w:t>
      </w:r>
    </w:p>
    <w:p w14:paraId="0D1B7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我局202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年专项资金主要是依据本年度部门预算编制，以及上级考核指标设立。主要包括：1、项目库建设经费；2、重点项目集中开工专项经费；3、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社会信用体系建设专项经费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；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智能粮食管理系统专项经费；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5、县级储备粮流通监管及利息费用补贴费用；6、应急成品粮承储费用；7、仓房及仓储设施维护费；8、粮油质量检测；9、县级储备粮轮换差价；10.粮食储备监管经费；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将专项资金纳入单位部门预算并上报县财政局，通过县财政局对预算资金的审核和县人大常委会审批进行安排、投入的。资金到位后，本单位按财务管理制度等规定进行管理和使用。</w:t>
      </w:r>
    </w:p>
    <w:p w14:paraId="00C81EC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46BF2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（三）"三公"经费使用和管理情况</w:t>
      </w:r>
    </w:p>
    <w:p w14:paraId="41343F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“三公”经费本年共发生支出1999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0元（2022年部门预算控制指标：公务接待费20万元），我单位严格按照预算项目进行财务报销和账务处理，坚持控制三公经费，并按照省里要求缩减相关经费，厉行节约。</w:t>
      </w:r>
    </w:p>
    <w:p w14:paraId="0F0FDD5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三、政府性基金预算支出情况</w:t>
      </w:r>
    </w:p>
    <w:p w14:paraId="069C89A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四、国有资本经营预算支出情况</w:t>
      </w:r>
    </w:p>
    <w:p w14:paraId="48ED984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五、社会保险基金预算支出情况</w:t>
      </w:r>
    </w:p>
    <w:p w14:paraId="28A4E1D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六、部门整体支出绩效情况</w:t>
      </w:r>
    </w:p>
    <w:p w14:paraId="14EFE75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（一）综合评价结论。反映自评得分及评价等级。</w:t>
      </w:r>
    </w:p>
    <w:p w14:paraId="0D930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（二）评价指标分析（或综合评价情况）。</w:t>
      </w:r>
    </w:p>
    <w:p w14:paraId="137F6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（1）项目库建设经费：该专项资金仅用于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开展项目库建设，专项资金仅用于与项目库建设有关支出，包括易地搬迁后扶，乡村振兴等项目库建设支出，保障全年项目库建设工作稳步开展。</w:t>
      </w:r>
    </w:p>
    <w:p w14:paraId="4F768C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（2）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重点项目建设专项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：该专项资金仅用于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开展重点项目集中开工活动，专项资金仅用于与重点项目集中开工活动有关的支出，保障全年重点项目集中开工活动工作的稳步开展。</w:t>
      </w:r>
    </w:p>
    <w:p w14:paraId="371A76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（3）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社会信用体系专项建设经费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：该专项资金仅用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完成社会信用体系建设，专项资金仅用于社会信用体系建设支出，保障全年社会信用建设体系工作稳步开展。</w:t>
      </w:r>
    </w:p>
    <w:p w14:paraId="5E903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县级储备粮流通监管及利息费用补贴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：该专项资金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落实粮食安全县长责任制考核要求，切实做好粮食安全工作，确保我县县级储备粮储备、轮换工作保质保量完成。</w:t>
      </w:r>
    </w:p>
    <w:p w14:paraId="08BC9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（5）县级储备粮轮换价差贴：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该专项资金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经县政府同意，通过省粮食交易中心挂网销售县级储备粮1666吨，产生轮换价差114万元，项目资金拨付到位，确保县级储备粮正常有序轮换。</w:t>
      </w:r>
    </w:p>
    <w:p w14:paraId="70CFAE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（6）应急成品粮承储费用补贴：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该专项资金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落实粮食安全县长责任制考核要求，切实做好粮食安全工作，确保我县县级储备粮储备、轮换工作保质保量完成。</w:t>
      </w:r>
    </w:p>
    <w:p w14:paraId="7AF5C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（7）仓房及仓储设施维护费：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该专项资金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保障粮食仓房及仓储设施完好，确保我县政策性储备粮储备安全。</w:t>
      </w:r>
    </w:p>
    <w:p w14:paraId="75A55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（8）粮油质量检测费：该专项资金用于对库存粮食进行春、秋两季粮食质量检查和政策性粮食出入库质量安全检测，购置粮食质量检测设备及第三方检测机构服务费。</w:t>
      </w:r>
    </w:p>
    <w:p w14:paraId="6E9E4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（9）智能粮食管理系统专项经费：该专项资金用于维持我县智能粮食管理系统的正常运转，保障国有粮食企业信息化应用达到全覆盖，粮食信息服务更加高效。</w:t>
      </w:r>
    </w:p>
    <w:p w14:paraId="2383F9C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七、存在的问题及原因分析</w:t>
      </w:r>
    </w:p>
    <w:p w14:paraId="781AFC2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一是在把握机遇，破解发展难题的能力方面还需进一步提升。二是在围绕全县工作重点，发挥综合协调服务保障作用方面还需进一步加强。三是在加强自身建设，提高队伍整体素质方面还需进一步努力。</w:t>
      </w:r>
    </w:p>
    <w:p w14:paraId="36082582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下一步改进措施</w:t>
      </w:r>
    </w:p>
    <w:p w14:paraId="1C4A5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1.坚持运行监测，实现经济开门红。（1）坚持月监测制度。（2）坚持问题导向。</w:t>
      </w:r>
    </w:p>
    <w:p w14:paraId="1335A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2.坚持项目引领，加快项目建设。（1）深入推进项目谋划编制。（2）做实做细项目前期工作。(3)加快项目建设进度。(4)完善项目日常调度和监管。</w:t>
      </w:r>
    </w:p>
    <w:p w14:paraId="425BE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3.推进碳达峰碳中和，走生态优先，绿色发展之路。（1）严格执行固定资产投资节能报告审查制度。(2)加快发展绿色生态产业。</w:t>
      </w:r>
    </w:p>
    <w:p w14:paraId="14022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4.统筹协调，重点工作同步推进。(1)社会信用体系。(2)固投、其他营利性服务业入库。(3)项目谋划和资金争取。（4）持续优化营商环境。（5）强化价格管理。（6）扎实做好粮食储备管理。（7）做好易地扶贫搬迁后续帮扶同乡村振兴有效衔接。</w:t>
      </w:r>
    </w:p>
    <w:p w14:paraId="13E2C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5.坚持理论学习，持续抓好党建工作。(1)强化政治理论学习。(2)健全党建工作制度。(3)严肃党内政治生活。(4)强化综合监督管理。</w:t>
      </w:r>
    </w:p>
    <w:p w14:paraId="106A32B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九、其他需要说明的情况</w:t>
      </w:r>
    </w:p>
    <w:p w14:paraId="4169648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3CD5420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报告应包括以下附件：</w:t>
      </w:r>
    </w:p>
    <w:p w14:paraId="66A5D3F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1.</w:t>
      </w: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部门整体支出绩效评价基础数据表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</w:t>
      </w:r>
    </w:p>
    <w:p w14:paraId="27B791A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2.</w:t>
      </w:r>
      <w:r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部门整体支出绩效自评表</w:t>
      </w:r>
    </w:p>
    <w:p w14:paraId="672A0B1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2F9A6E9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03939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sectPr>
          <w:footerReference r:id="rId3" w:type="default"/>
          <w:pgSz w:w="11906" w:h="16838"/>
          <w:pgMar w:top="2098" w:right="1800" w:bottom="1984" w:left="1587" w:header="851" w:footer="992" w:gutter="0"/>
          <w:cols w:space="425" w:num="1"/>
          <w:docGrid w:type="lines" w:linePitch="312" w:charSpace="0"/>
        </w:sectPr>
      </w:pPr>
    </w:p>
    <w:p w14:paraId="1688756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附件1-1 </w:t>
      </w:r>
    </w:p>
    <w:p w14:paraId="6A68B179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部门整体支出绩效评价基础数据表</w:t>
      </w:r>
    </w:p>
    <w:p w14:paraId="6A913125"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ind w:left="91"/>
        <w:jc w:val="left"/>
        <w:rPr>
          <w:rFonts w:hint="default" w:eastAsia="仿宋_GB2312"/>
          <w:kern w:val="0"/>
          <w:sz w:val="24"/>
          <w:lang w:val="en-US" w:eastAsia="zh-CN"/>
        </w:rPr>
      </w:pPr>
      <w:r>
        <w:rPr>
          <w:rFonts w:hint="eastAsia" w:eastAsia="仿宋_GB2312"/>
          <w:kern w:val="0"/>
          <w:sz w:val="24"/>
          <w:lang w:val="en-US" w:eastAsia="zh-CN"/>
        </w:rPr>
        <w:t xml:space="preserve">填报单位：                                        </w:t>
      </w:r>
    </w:p>
    <w:tbl>
      <w:tblPr>
        <w:tblStyle w:val="8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969"/>
        <w:gridCol w:w="863"/>
      </w:tblGrid>
      <w:tr w14:paraId="053DE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 w14:paraId="5A787EB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财政供养人员情况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C39697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编制数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18BAB83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年实际在职人数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64A58B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控制率</w:t>
            </w:r>
          </w:p>
        </w:tc>
      </w:tr>
      <w:tr w14:paraId="3CB47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 w14:paraId="2428B38B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noWrap w:val="0"/>
            <w:vAlign w:val="center"/>
          </w:tcPr>
          <w:p w14:paraId="03B0C896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982D7CF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59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DF0B13C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89.3%</w:t>
            </w:r>
          </w:p>
        </w:tc>
      </w:tr>
      <w:tr w14:paraId="7FD89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78BBEB7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经费控制情况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12AF48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0C3267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年预算数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7143CFF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年决算数</w:t>
            </w:r>
          </w:p>
        </w:tc>
      </w:tr>
      <w:tr w14:paraId="6A6FF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5F42135C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三公经费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B12EB07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19.99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90FE2F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BD64D4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19.98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36399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EA94C8C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80B409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E0ED7B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B6E1C2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5D155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1984A03D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63799F5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595B2730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3B5283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06C23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453100EF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AB38E0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56208F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69D3C82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25CFE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5EE85CA4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2、出国经费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BC47D9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F1D19E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AE040C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55F25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45E7FF30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3、公务接待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549E77A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19.99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1A9015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3D3DEB3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19.98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26106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8B849D6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项目支出：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9034F5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273725D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3EEB04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345EF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7E3A9FA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重点项目建设专项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5BACBD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9FB16E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546341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</w:t>
            </w:r>
          </w:p>
        </w:tc>
      </w:tr>
      <w:tr w14:paraId="146FF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0D454486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社会信用体系建设专项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A3DCBB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1B469BA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036721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12</w:t>
            </w:r>
          </w:p>
        </w:tc>
      </w:tr>
      <w:tr w14:paraId="652EC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3354" w:type="dxa"/>
            <w:noWrap w:val="0"/>
            <w:vAlign w:val="center"/>
          </w:tcPr>
          <w:p w14:paraId="7954756A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项目库建设专项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0E56F0D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5705D392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7EF7211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50</w:t>
            </w:r>
          </w:p>
        </w:tc>
      </w:tr>
      <w:tr w14:paraId="4DFAB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5713E0C4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智能粮食管理系统专项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1A2F017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6ABBB85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3EFB04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</w:t>
            </w:r>
          </w:p>
        </w:tc>
      </w:tr>
      <w:tr w14:paraId="04089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3020140F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县级储备粮流通监管及利息费用补贴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6C844A16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193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56399D9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193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1E7E8F0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193</w:t>
            </w:r>
          </w:p>
        </w:tc>
      </w:tr>
      <w:tr w14:paraId="5F43B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4D7B5E35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应急成品粮承储费用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1DCA83B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39.9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AB10C35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35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7D6E233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35</w:t>
            </w:r>
          </w:p>
        </w:tc>
      </w:tr>
      <w:tr w14:paraId="359A1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52B0C122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仓房及仓储设施维护费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107406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AF3D82C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E9FDDE9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30</w:t>
            </w:r>
          </w:p>
        </w:tc>
      </w:tr>
      <w:tr w14:paraId="65DDB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6A288D19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粮油质量检测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32D7BCCD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1F0D8FA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3139A4E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</w:t>
            </w:r>
          </w:p>
        </w:tc>
      </w:tr>
      <w:tr w14:paraId="1A279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1232175B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县级储备粮轮换差价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401705D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140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475FDA1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117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70FC6274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117</w:t>
            </w:r>
          </w:p>
        </w:tc>
      </w:tr>
      <w:tr w14:paraId="44A7C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3354" w:type="dxa"/>
            <w:noWrap w:val="0"/>
            <w:vAlign w:val="center"/>
          </w:tcPr>
          <w:p w14:paraId="4EBE27F6"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粮食储备监管经费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170D25DC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1606A9D8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5829D0D8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</w:p>
        </w:tc>
      </w:tr>
      <w:tr w14:paraId="15B1B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1B703F0">
            <w:pPr>
              <w:widowControl/>
              <w:jc w:val="left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公用经费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5BAAEFCD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153.4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C77B4E5">
            <w:pPr>
              <w:widowControl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104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41570E4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104</w:t>
            </w:r>
          </w:p>
        </w:tc>
      </w:tr>
      <w:tr w14:paraId="76811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371AE681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其中：办公费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DCA4E65"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8 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7031DA3B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6E811BB0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</w:p>
        </w:tc>
      </w:tr>
      <w:tr w14:paraId="5E47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64577945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CA7D6E9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20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39D0C2A2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10.5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02C4BA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10.5</w:t>
            </w:r>
          </w:p>
        </w:tc>
      </w:tr>
      <w:tr w14:paraId="13BE0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3354" w:type="dxa"/>
            <w:noWrap w:val="0"/>
            <w:vAlign w:val="center"/>
          </w:tcPr>
          <w:p w14:paraId="77E49DA4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ED79638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6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2D0A86B0"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06B7C78F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</w:p>
        </w:tc>
      </w:tr>
      <w:tr w14:paraId="40B19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48D0E361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政府采购金额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4B80A9DE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460EBF24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5194625C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14825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54" w:type="dxa"/>
            <w:noWrap w:val="0"/>
            <w:vAlign w:val="center"/>
          </w:tcPr>
          <w:p w14:paraId="18E45FF0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noWrap w:val="0"/>
            <w:vAlign w:val="center"/>
          </w:tcPr>
          <w:p w14:paraId="73D5D409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noWrap w:val="0"/>
            <w:vAlign w:val="center"/>
          </w:tcPr>
          <w:p w14:paraId="0ACCFAD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832" w:type="dxa"/>
            <w:gridSpan w:val="2"/>
            <w:noWrap w:val="0"/>
            <w:vAlign w:val="center"/>
          </w:tcPr>
          <w:p w14:paraId="25139111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27498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3354" w:type="dxa"/>
            <w:vMerge w:val="restart"/>
            <w:noWrap w:val="0"/>
            <w:vAlign w:val="center"/>
          </w:tcPr>
          <w:p w14:paraId="3AFB9065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楼堂馆所控制情况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br w:type="textWrapping"/>
            </w:r>
          </w:p>
        </w:tc>
        <w:tc>
          <w:tcPr>
            <w:tcW w:w="1189" w:type="dxa"/>
            <w:noWrap w:val="0"/>
            <w:vAlign w:val="center"/>
          </w:tcPr>
          <w:p w14:paraId="60BC675C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批复规模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（㎡）</w:t>
            </w:r>
          </w:p>
        </w:tc>
        <w:tc>
          <w:tcPr>
            <w:tcW w:w="849" w:type="dxa"/>
            <w:noWrap w:val="0"/>
            <w:vAlign w:val="center"/>
          </w:tcPr>
          <w:p w14:paraId="1E7A49AB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实际规模（㎡）</w:t>
            </w:r>
          </w:p>
        </w:tc>
        <w:tc>
          <w:tcPr>
            <w:tcW w:w="1129" w:type="dxa"/>
            <w:noWrap w:val="0"/>
            <w:vAlign w:val="center"/>
          </w:tcPr>
          <w:p w14:paraId="77F6E1AC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规模控制率</w:t>
            </w:r>
          </w:p>
        </w:tc>
        <w:tc>
          <w:tcPr>
            <w:tcW w:w="1111" w:type="dxa"/>
            <w:noWrap w:val="0"/>
            <w:vAlign w:val="center"/>
          </w:tcPr>
          <w:p w14:paraId="251E5ED1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预算投资（万元）</w:t>
            </w:r>
          </w:p>
        </w:tc>
        <w:tc>
          <w:tcPr>
            <w:tcW w:w="969" w:type="dxa"/>
            <w:noWrap w:val="0"/>
            <w:vAlign w:val="center"/>
          </w:tcPr>
          <w:p w14:paraId="7B34148C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实际投资（万元）</w:t>
            </w:r>
          </w:p>
        </w:tc>
        <w:tc>
          <w:tcPr>
            <w:tcW w:w="863" w:type="dxa"/>
            <w:noWrap w:val="0"/>
            <w:vAlign w:val="center"/>
          </w:tcPr>
          <w:p w14:paraId="61638E13"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投资概算控制率</w:t>
            </w:r>
          </w:p>
        </w:tc>
      </w:tr>
      <w:tr w14:paraId="658D0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3354" w:type="dxa"/>
            <w:vMerge w:val="continue"/>
            <w:noWrap w:val="0"/>
            <w:vAlign w:val="center"/>
          </w:tcPr>
          <w:p w14:paraId="6EEC19E2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189" w:type="dxa"/>
            <w:noWrap w:val="0"/>
            <w:vAlign w:val="center"/>
          </w:tcPr>
          <w:p w14:paraId="3CC7CA5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849" w:type="dxa"/>
            <w:noWrap w:val="0"/>
            <w:vAlign w:val="center"/>
          </w:tcPr>
          <w:p w14:paraId="6EB03040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129" w:type="dxa"/>
            <w:noWrap w:val="0"/>
            <w:vAlign w:val="center"/>
          </w:tcPr>
          <w:p w14:paraId="790C9CA1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111" w:type="dxa"/>
            <w:noWrap w:val="0"/>
            <w:vAlign w:val="center"/>
          </w:tcPr>
          <w:p w14:paraId="647F2607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69" w:type="dxa"/>
            <w:noWrap w:val="0"/>
            <w:vAlign w:val="center"/>
          </w:tcPr>
          <w:p w14:paraId="113A5CA5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863" w:type="dxa"/>
            <w:noWrap w:val="0"/>
            <w:vAlign w:val="center"/>
          </w:tcPr>
          <w:p w14:paraId="75713BB4">
            <w:pPr>
              <w:widowControl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70E14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354" w:type="dxa"/>
            <w:noWrap w:val="0"/>
            <w:vAlign w:val="center"/>
          </w:tcPr>
          <w:p w14:paraId="37D28003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</w:rPr>
              <w:t>厉行节约保障措施</w:t>
            </w:r>
          </w:p>
        </w:tc>
        <w:tc>
          <w:tcPr>
            <w:tcW w:w="6110" w:type="dxa"/>
            <w:gridSpan w:val="6"/>
            <w:noWrap w:val="0"/>
            <w:vAlign w:val="center"/>
          </w:tcPr>
          <w:p w14:paraId="6170E9A8">
            <w:pPr>
              <w:widowControl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</w:tbl>
    <w:p w14:paraId="46A57ADC">
      <w:pPr>
        <w:pStyle w:val="10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lang w:val="en-US" w:eastAsia="zh-CN"/>
        </w:rPr>
      </w:pPr>
      <w:r>
        <w:rPr>
          <w:rFonts w:eastAsia="仿宋_GB2312"/>
          <w:kern w:val="0"/>
          <w:sz w:val="22"/>
        </w:rPr>
        <w:t>说明：“项目支出”需要填报基本支出以外的所有项目支出情况，“公用经费”填报基本支出中的一般商品和服务支出。</w:t>
      </w:r>
    </w:p>
    <w:p w14:paraId="7EB3136B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祝旭东    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2025.5.12  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联系电话：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15390847064 </w:t>
      </w:r>
    </w:p>
    <w:p w14:paraId="3EA679D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B11761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28FDBA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700B2B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6DE03BE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7DA38D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19FCE01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E9062C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686758C9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6FCF9D9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24BDB46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20AAFE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5E6356F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F4D9C6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4E8BEA1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68077CB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6D898A7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783E13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3337E9E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019B972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47CFC79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0"/>
        <w:textAlignment w:val="auto"/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附件1-2</w:t>
      </w:r>
    </w:p>
    <w:p w14:paraId="44012FB1">
      <w:pPr>
        <w:keepNext w:val="0"/>
        <w:keepLines w:val="0"/>
        <w:pageBreakBefore w:val="0"/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91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整体支出绩效自评表</w:t>
      </w:r>
    </w:p>
    <w:tbl>
      <w:tblPr>
        <w:tblStyle w:val="8"/>
        <w:tblW w:w="92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298"/>
        <w:gridCol w:w="1098"/>
        <w:gridCol w:w="994"/>
        <w:gridCol w:w="976"/>
        <w:gridCol w:w="989"/>
        <w:gridCol w:w="781"/>
        <w:gridCol w:w="716"/>
        <w:gridCol w:w="1409"/>
      </w:tblGrid>
      <w:tr w14:paraId="788C0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09" w:type="dxa"/>
            <w:noWrap w:val="0"/>
            <w:vAlign w:val="center"/>
          </w:tcPr>
          <w:p w14:paraId="2386B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单位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8253" w:type="dxa"/>
            <w:gridSpan w:val="8"/>
            <w:noWrap w:val="0"/>
            <w:vAlign w:val="center"/>
          </w:tcPr>
          <w:p w14:paraId="5872D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辰溪县发展和改革局 </w:t>
            </w:r>
          </w:p>
        </w:tc>
      </w:tr>
      <w:tr w14:paraId="3271F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09" w:type="dxa"/>
            <w:vMerge w:val="restart"/>
            <w:noWrap w:val="0"/>
            <w:vAlign w:val="center"/>
          </w:tcPr>
          <w:p w14:paraId="5CA5BA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年度预算申请</w:t>
            </w:r>
          </w:p>
          <w:p w14:paraId="17220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（万元）</w:t>
            </w:r>
          </w:p>
        </w:tc>
        <w:tc>
          <w:tcPr>
            <w:tcW w:w="2424" w:type="dxa"/>
            <w:gridSpan w:val="2"/>
            <w:noWrap w:val="0"/>
            <w:vAlign w:val="center"/>
          </w:tcPr>
          <w:p w14:paraId="25560B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587A9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年初</w:t>
            </w:r>
          </w:p>
          <w:p w14:paraId="340125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预算数</w:t>
            </w:r>
          </w:p>
        </w:tc>
        <w:tc>
          <w:tcPr>
            <w:tcW w:w="916" w:type="dxa"/>
            <w:noWrap w:val="0"/>
            <w:vAlign w:val="center"/>
          </w:tcPr>
          <w:p w14:paraId="1CDF5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全年预算数</w:t>
            </w:r>
          </w:p>
        </w:tc>
        <w:tc>
          <w:tcPr>
            <w:tcW w:w="992" w:type="dxa"/>
            <w:noWrap w:val="0"/>
            <w:vAlign w:val="center"/>
          </w:tcPr>
          <w:p w14:paraId="57E07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全年执行数</w:t>
            </w:r>
          </w:p>
        </w:tc>
        <w:tc>
          <w:tcPr>
            <w:tcW w:w="786" w:type="dxa"/>
            <w:noWrap w:val="0"/>
            <w:vAlign w:val="center"/>
          </w:tcPr>
          <w:p w14:paraId="1517F8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分值</w:t>
            </w:r>
          </w:p>
        </w:tc>
        <w:tc>
          <w:tcPr>
            <w:tcW w:w="716" w:type="dxa"/>
            <w:noWrap w:val="0"/>
            <w:vAlign w:val="center"/>
          </w:tcPr>
          <w:p w14:paraId="33163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执行率</w:t>
            </w:r>
          </w:p>
        </w:tc>
        <w:tc>
          <w:tcPr>
            <w:tcW w:w="1423" w:type="dxa"/>
            <w:noWrap w:val="0"/>
            <w:vAlign w:val="center"/>
          </w:tcPr>
          <w:p w14:paraId="218F1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得分</w:t>
            </w:r>
          </w:p>
        </w:tc>
      </w:tr>
      <w:tr w14:paraId="39A86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42701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4" w:type="dxa"/>
            <w:gridSpan w:val="2"/>
            <w:noWrap w:val="0"/>
            <w:vAlign w:val="center"/>
          </w:tcPr>
          <w:p w14:paraId="37CD56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年度资金总额</w:t>
            </w:r>
          </w:p>
        </w:tc>
        <w:tc>
          <w:tcPr>
            <w:tcW w:w="996" w:type="dxa"/>
            <w:noWrap w:val="0"/>
            <w:vAlign w:val="center"/>
          </w:tcPr>
          <w:p w14:paraId="0FA6D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1532.86</w:t>
            </w:r>
          </w:p>
        </w:tc>
        <w:tc>
          <w:tcPr>
            <w:tcW w:w="916" w:type="dxa"/>
            <w:noWrap w:val="0"/>
            <w:vAlign w:val="center"/>
          </w:tcPr>
          <w:p w14:paraId="501654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2262.67</w:t>
            </w:r>
          </w:p>
        </w:tc>
        <w:tc>
          <w:tcPr>
            <w:tcW w:w="992" w:type="dxa"/>
            <w:noWrap w:val="0"/>
            <w:vAlign w:val="center"/>
          </w:tcPr>
          <w:p w14:paraId="7781B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1981.9</w:t>
            </w:r>
          </w:p>
        </w:tc>
        <w:tc>
          <w:tcPr>
            <w:tcW w:w="786" w:type="dxa"/>
            <w:noWrap w:val="0"/>
            <w:vAlign w:val="center"/>
          </w:tcPr>
          <w:p w14:paraId="245BD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10</w:t>
            </w:r>
          </w:p>
        </w:tc>
        <w:tc>
          <w:tcPr>
            <w:tcW w:w="716" w:type="dxa"/>
            <w:noWrap w:val="0"/>
            <w:vAlign w:val="center"/>
          </w:tcPr>
          <w:p w14:paraId="104BA1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87.6%</w:t>
            </w:r>
          </w:p>
        </w:tc>
        <w:tc>
          <w:tcPr>
            <w:tcW w:w="1423" w:type="dxa"/>
            <w:noWrap w:val="0"/>
            <w:vAlign w:val="center"/>
          </w:tcPr>
          <w:p w14:paraId="2A6B2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9</w:t>
            </w:r>
          </w:p>
        </w:tc>
      </w:tr>
      <w:tr w14:paraId="790B1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60863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6" w:type="dxa"/>
            <w:gridSpan w:val="4"/>
            <w:noWrap w:val="0"/>
            <w:vAlign w:val="center"/>
          </w:tcPr>
          <w:p w14:paraId="088B2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按收入性质分：</w:t>
            </w:r>
          </w:p>
        </w:tc>
        <w:tc>
          <w:tcPr>
            <w:tcW w:w="3917" w:type="dxa"/>
            <w:gridSpan w:val="4"/>
            <w:noWrap w:val="0"/>
            <w:vAlign w:val="center"/>
          </w:tcPr>
          <w:p w14:paraId="45A12D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按支出性质分：</w:t>
            </w:r>
          </w:p>
        </w:tc>
      </w:tr>
      <w:tr w14:paraId="3A228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74E44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6" w:type="dxa"/>
            <w:gridSpan w:val="4"/>
            <w:noWrap w:val="0"/>
            <w:vAlign w:val="center"/>
          </w:tcPr>
          <w:p w14:paraId="03F2A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  其中：  一般公共预算：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1981.9</w:t>
            </w:r>
          </w:p>
        </w:tc>
        <w:tc>
          <w:tcPr>
            <w:tcW w:w="3917" w:type="dxa"/>
            <w:gridSpan w:val="4"/>
            <w:noWrap w:val="0"/>
            <w:vAlign w:val="center"/>
          </w:tcPr>
          <w:p w14:paraId="293BC3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其中：基本支出：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1587.9</w:t>
            </w:r>
          </w:p>
        </w:tc>
      </w:tr>
      <w:tr w14:paraId="5C1F6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043DD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6" w:type="dxa"/>
            <w:gridSpan w:val="4"/>
            <w:noWrap w:val="0"/>
            <w:vAlign w:val="center"/>
          </w:tcPr>
          <w:p w14:paraId="2AF5F1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800" w:firstLineChars="4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政府性基金拨款：</w:t>
            </w:r>
          </w:p>
        </w:tc>
        <w:tc>
          <w:tcPr>
            <w:tcW w:w="3917" w:type="dxa"/>
            <w:gridSpan w:val="4"/>
            <w:noWrap w:val="0"/>
            <w:vAlign w:val="center"/>
          </w:tcPr>
          <w:p w14:paraId="6E665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600" w:firstLineChars="30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项目支出：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394</w:t>
            </w:r>
          </w:p>
        </w:tc>
      </w:tr>
      <w:tr w14:paraId="11737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70DA80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6" w:type="dxa"/>
            <w:gridSpan w:val="4"/>
            <w:noWrap w:val="0"/>
            <w:vAlign w:val="center"/>
          </w:tcPr>
          <w:p w14:paraId="369D6D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纳入专户管理的非税收入拨款：</w:t>
            </w:r>
          </w:p>
        </w:tc>
        <w:tc>
          <w:tcPr>
            <w:tcW w:w="3917" w:type="dxa"/>
            <w:gridSpan w:val="4"/>
            <w:noWrap w:val="0"/>
            <w:vAlign w:val="center"/>
          </w:tcPr>
          <w:p w14:paraId="2FC84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77BDE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4CF31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6" w:type="dxa"/>
            <w:gridSpan w:val="4"/>
            <w:noWrap w:val="0"/>
            <w:vAlign w:val="center"/>
          </w:tcPr>
          <w:p w14:paraId="1902D7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400" w:firstLineChars="7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其他资金：</w:t>
            </w:r>
          </w:p>
        </w:tc>
        <w:tc>
          <w:tcPr>
            <w:tcW w:w="3917" w:type="dxa"/>
            <w:gridSpan w:val="4"/>
            <w:noWrap w:val="0"/>
            <w:vAlign w:val="center"/>
          </w:tcPr>
          <w:p w14:paraId="74BBEA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592A8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Merge w:val="restart"/>
            <w:noWrap w:val="0"/>
            <w:vAlign w:val="center"/>
          </w:tcPr>
          <w:p w14:paraId="65A00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年度总体目标</w:t>
            </w:r>
          </w:p>
        </w:tc>
        <w:tc>
          <w:tcPr>
            <w:tcW w:w="4336" w:type="dxa"/>
            <w:gridSpan w:val="4"/>
            <w:noWrap w:val="0"/>
            <w:vAlign w:val="center"/>
          </w:tcPr>
          <w:p w14:paraId="422BB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预期目标</w:t>
            </w:r>
          </w:p>
        </w:tc>
        <w:tc>
          <w:tcPr>
            <w:tcW w:w="3917" w:type="dxa"/>
            <w:gridSpan w:val="4"/>
            <w:noWrap w:val="0"/>
            <w:vAlign w:val="center"/>
          </w:tcPr>
          <w:p w14:paraId="25487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实际完成情况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15BEE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1DBA05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36" w:type="dxa"/>
            <w:gridSpan w:val="4"/>
            <w:noWrap w:val="0"/>
            <w:vAlign w:val="center"/>
          </w:tcPr>
          <w:p w14:paraId="7E35BA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拟订并组织实施全县国民经济和社会发展战略，.负责社会发展和国民经济发展的政策衔接，完成县委，县政府交办的其他任务。</w:t>
            </w:r>
          </w:p>
        </w:tc>
        <w:tc>
          <w:tcPr>
            <w:tcW w:w="3917" w:type="dxa"/>
            <w:gridSpan w:val="4"/>
            <w:noWrap w:val="0"/>
            <w:vAlign w:val="center"/>
          </w:tcPr>
          <w:p w14:paraId="461DE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基本完成任务</w:t>
            </w:r>
          </w:p>
        </w:tc>
      </w:tr>
      <w:tr w14:paraId="316A7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09" w:type="dxa"/>
            <w:vMerge w:val="restart"/>
            <w:noWrap w:val="0"/>
            <w:vAlign w:val="center"/>
          </w:tcPr>
          <w:p w14:paraId="16A64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绩</w:t>
            </w:r>
          </w:p>
          <w:p w14:paraId="76AC90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</w:t>
            </w:r>
          </w:p>
          <w:p w14:paraId="23971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</w:t>
            </w:r>
          </w:p>
          <w:p w14:paraId="40CAD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标</w:t>
            </w:r>
          </w:p>
        </w:tc>
        <w:tc>
          <w:tcPr>
            <w:tcW w:w="1312" w:type="dxa"/>
            <w:noWrap w:val="0"/>
            <w:vAlign w:val="center"/>
          </w:tcPr>
          <w:p w14:paraId="2CB3C3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112" w:type="dxa"/>
            <w:noWrap w:val="0"/>
            <w:vAlign w:val="center"/>
          </w:tcPr>
          <w:p w14:paraId="14E7D6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996" w:type="dxa"/>
            <w:noWrap w:val="0"/>
            <w:vAlign w:val="center"/>
          </w:tcPr>
          <w:p w14:paraId="61ED3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916" w:type="dxa"/>
            <w:noWrap w:val="0"/>
            <w:vAlign w:val="center"/>
          </w:tcPr>
          <w:p w14:paraId="2B351D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年度指标值</w:t>
            </w:r>
          </w:p>
        </w:tc>
        <w:tc>
          <w:tcPr>
            <w:tcW w:w="992" w:type="dxa"/>
            <w:noWrap w:val="0"/>
            <w:vAlign w:val="center"/>
          </w:tcPr>
          <w:p w14:paraId="0230B6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实际完成值</w:t>
            </w:r>
          </w:p>
        </w:tc>
        <w:tc>
          <w:tcPr>
            <w:tcW w:w="786" w:type="dxa"/>
            <w:noWrap w:val="0"/>
            <w:vAlign w:val="center"/>
          </w:tcPr>
          <w:p w14:paraId="63E9B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716" w:type="dxa"/>
            <w:noWrap w:val="0"/>
            <w:vAlign w:val="center"/>
          </w:tcPr>
          <w:p w14:paraId="2C5B2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得分</w:t>
            </w:r>
          </w:p>
        </w:tc>
        <w:tc>
          <w:tcPr>
            <w:tcW w:w="1423" w:type="dxa"/>
            <w:noWrap w:val="0"/>
            <w:vAlign w:val="top"/>
          </w:tcPr>
          <w:p w14:paraId="29DB35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偏差原因分析及改进措施</w:t>
            </w:r>
          </w:p>
        </w:tc>
      </w:tr>
      <w:tr w14:paraId="25BA4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76D82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restart"/>
            <w:noWrap w:val="0"/>
            <w:vAlign w:val="center"/>
          </w:tcPr>
          <w:p w14:paraId="5A9006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成本指标</w:t>
            </w:r>
          </w:p>
          <w:p w14:paraId="58911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0分)</w:t>
            </w:r>
          </w:p>
        </w:tc>
        <w:tc>
          <w:tcPr>
            <w:tcW w:w="1112" w:type="dxa"/>
            <w:shd w:val="clear" w:color="auto" w:fill="auto"/>
            <w:noWrap w:val="0"/>
            <w:vAlign w:val="top"/>
          </w:tcPr>
          <w:p w14:paraId="649D74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经济成本指标</w:t>
            </w:r>
          </w:p>
        </w:tc>
        <w:tc>
          <w:tcPr>
            <w:tcW w:w="996" w:type="dxa"/>
            <w:noWrap w:val="0"/>
            <w:vAlign w:val="center"/>
          </w:tcPr>
          <w:p w14:paraId="7CACEC19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部门预算支出</w:t>
            </w:r>
          </w:p>
        </w:tc>
        <w:tc>
          <w:tcPr>
            <w:tcW w:w="916" w:type="dxa"/>
            <w:noWrap w:val="0"/>
            <w:vAlign w:val="center"/>
          </w:tcPr>
          <w:p w14:paraId="08149028">
            <w:pPr>
              <w:pStyle w:val="13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eastAsia="宋体"/>
                <w:lang w:val="en-US" w:eastAsia="zh-CN"/>
              </w:rPr>
              <w:t>2262.67</w:t>
            </w:r>
          </w:p>
        </w:tc>
        <w:tc>
          <w:tcPr>
            <w:tcW w:w="992" w:type="dxa"/>
            <w:noWrap w:val="0"/>
            <w:vAlign w:val="center"/>
          </w:tcPr>
          <w:p w14:paraId="1A9E1478">
            <w:pPr>
              <w:pStyle w:val="13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eastAsia="宋体"/>
                <w:lang w:val="en-US" w:eastAsia="zh-CN"/>
              </w:rPr>
              <w:t>1981.9</w:t>
            </w:r>
          </w:p>
        </w:tc>
        <w:tc>
          <w:tcPr>
            <w:tcW w:w="786" w:type="dxa"/>
            <w:noWrap w:val="0"/>
            <w:vAlign w:val="center"/>
          </w:tcPr>
          <w:p w14:paraId="40C3BCFC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lang w:val="en-US" w:eastAsia="zh-CN"/>
              </w:rPr>
              <w:t>20</w:t>
            </w:r>
          </w:p>
        </w:tc>
        <w:tc>
          <w:tcPr>
            <w:tcW w:w="716" w:type="dxa"/>
            <w:noWrap w:val="0"/>
            <w:vAlign w:val="center"/>
          </w:tcPr>
          <w:p w14:paraId="5DFE327A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lang w:val="en-US" w:eastAsia="zh-CN"/>
              </w:rPr>
              <w:t>18</w:t>
            </w:r>
          </w:p>
        </w:tc>
        <w:tc>
          <w:tcPr>
            <w:tcW w:w="1423" w:type="dxa"/>
            <w:noWrap w:val="0"/>
            <w:vAlign w:val="center"/>
          </w:tcPr>
          <w:p w14:paraId="735DA825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lang w:val="en-US" w:eastAsia="zh-CN"/>
              </w:rPr>
              <w:t>已完成，无偏差</w:t>
            </w:r>
          </w:p>
        </w:tc>
      </w:tr>
      <w:tr w14:paraId="6AA93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49D909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70210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12" w:type="dxa"/>
            <w:shd w:val="clear" w:color="auto" w:fill="auto"/>
            <w:noWrap w:val="0"/>
            <w:vAlign w:val="top"/>
          </w:tcPr>
          <w:p w14:paraId="17AC76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社会成本指标</w:t>
            </w:r>
          </w:p>
        </w:tc>
        <w:tc>
          <w:tcPr>
            <w:tcW w:w="996" w:type="dxa"/>
            <w:noWrap w:val="0"/>
            <w:vAlign w:val="center"/>
          </w:tcPr>
          <w:p w14:paraId="46E2B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 w14:paraId="40114E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 w:val="0"/>
            <w:vAlign w:val="center"/>
          </w:tcPr>
          <w:p w14:paraId="556713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noWrap w:val="0"/>
            <w:vAlign w:val="center"/>
          </w:tcPr>
          <w:p w14:paraId="43E18D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6" w:type="dxa"/>
            <w:noWrap w:val="0"/>
            <w:vAlign w:val="center"/>
          </w:tcPr>
          <w:p w14:paraId="48CAF9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5DAC9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2A3E6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4E4F3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5349C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112" w:type="dxa"/>
            <w:shd w:val="clear" w:color="auto" w:fill="auto"/>
            <w:noWrap w:val="0"/>
            <w:vAlign w:val="top"/>
          </w:tcPr>
          <w:p w14:paraId="1E5185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生态环境成本指标</w:t>
            </w:r>
          </w:p>
        </w:tc>
        <w:tc>
          <w:tcPr>
            <w:tcW w:w="996" w:type="dxa"/>
            <w:noWrap w:val="0"/>
            <w:vAlign w:val="center"/>
          </w:tcPr>
          <w:p w14:paraId="2EEEB0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……</w:t>
            </w:r>
          </w:p>
        </w:tc>
        <w:tc>
          <w:tcPr>
            <w:tcW w:w="916" w:type="dxa"/>
            <w:noWrap w:val="0"/>
            <w:vAlign w:val="center"/>
          </w:tcPr>
          <w:p w14:paraId="3E8D02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noWrap w:val="0"/>
            <w:vAlign w:val="center"/>
          </w:tcPr>
          <w:p w14:paraId="2BB963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noWrap w:val="0"/>
            <w:vAlign w:val="center"/>
          </w:tcPr>
          <w:p w14:paraId="1A028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6" w:type="dxa"/>
            <w:noWrap w:val="0"/>
            <w:vAlign w:val="center"/>
          </w:tcPr>
          <w:p w14:paraId="06E14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5F65A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</w:tr>
      <w:tr w14:paraId="6D3AE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524D1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restart"/>
            <w:noWrap w:val="0"/>
            <w:vAlign w:val="center"/>
          </w:tcPr>
          <w:p w14:paraId="411638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产出指标</w:t>
            </w:r>
          </w:p>
          <w:p w14:paraId="1737A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0分)</w:t>
            </w:r>
          </w:p>
        </w:tc>
        <w:tc>
          <w:tcPr>
            <w:tcW w:w="1112" w:type="dxa"/>
            <w:vMerge w:val="restart"/>
            <w:noWrap w:val="0"/>
            <w:vAlign w:val="center"/>
          </w:tcPr>
          <w:p w14:paraId="4154D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数量指标</w:t>
            </w:r>
          </w:p>
        </w:tc>
        <w:tc>
          <w:tcPr>
            <w:tcW w:w="996" w:type="dxa"/>
            <w:noWrap w:val="0"/>
            <w:vAlign w:val="center"/>
          </w:tcPr>
          <w:p w14:paraId="406E3C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提供服务次数</w:t>
            </w:r>
          </w:p>
        </w:tc>
        <w:tc>
          <w:tcPr>
            <w:tcW w:w="916" w:type="dxa"/>
            <w:noWrap w:val="0"/>
            <w:vAlign w:val="center"/>
          </w:tcPr>
          <w:p w14:paraId="458EF9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92" w:type="dxa"/>
            <w:noWrap w:val="0"/>
            <w:vAlign w:val="center"/>
          </w:tcPr>
          <w:p w14:paraId="7E8E30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86" w:type="dxa"/>
            <w:noWrap w:val="0"/>
            <w:vAlign w:val="center"/>
          </w:tcPr>
          <w:p w14:paraId="64E4DA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716" w:type="dxa"/>
            <w:noWrap w:val="0"/>
            <w:vAlign w:val="center"/>
          </w:tcPr>
          <w:p w14:paraId="16C6A3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23" w:type="dxa"/>
            <w:noWrap w:val="0"/>
            <w:vAlign w:val="center"/>
          </w:tcPr>
          <w:p w14:paraId="160569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eastAsia="宋体"/>
                <w:lang w:val="en-US" w:eastAsia="zh-CN"/>
              </w:rPr>
              <w:t>已完成，无偏差</w:t>
            </w:r>
          </w:p>
        </w:tc>
      </w:tr>
      <w:tr w14:paraId="2BB7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4BE104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6DED6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noWrap w:val="0"/>
            <w:vAlign w:val="center"/>
          </w:tcPr>
          <w:p w14:paraId="1425AD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04DD5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……</w:t>
            </w:r>
          </w:p>
        </w:tc>
        <w:tc>
          <w:tcPr>
            <w:tcW w:w="916" w:type="dxa"/>
            <w:noWrap w:val="0"/>
            <w:vAlign w:val="center"/>
          </w:tcPr>
          <w:p w14:paraId="38860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1830D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5A9FAF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37026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40B153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60206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24BB4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24CE6A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restart"/>
            <w:noWrap w:val="0"/>
            <w:vAlign w:val="center"/>
          </w:tcPr>
          <w:p w14:paraId="1073A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质量指标</w:t>
            </w:r>
          </w:p>
        </w:tc>
        <w:tc>
          <w:tcPr>
            <w:tcW w:w="996" w:type="dxa"/>
            <w:noWrap w:val="0"/>
            <w:vAlign w:val="center"/>
          </w:tcPr>
          <w:p w14:paraId="412576CD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lang w:val="en-US" w:eastAsia="zh-CN"/>
              </w:rPr>
              <w:t>验收通过率</w:t>
            </w:r>
          </w:p>
        </w:tc>
        <w:tc>
          <w:tcPr>
            <w:tcW w:w="916" w:type="dxa"/>
            <w:noWrap w:val="0"/>
            <w:vAlign w:val="center"/>
          </w:tcPr>
          <w:p w14:paraId="64D87E68">
            <w:pPr>
              <w:pStyle w:val="13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  <w:tc>
          <w:tcPr>
            <w:tcW w:w="992" w:type="dxa"/>
            <w:noWrap w:val="0"/>
            <w:vAlign w:val="center"/>
          </w:tcPr>
          <w:p w14:paraId="38765630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达成预期指标</w:t>
            </w:r>
          </w:p>
        </w:tc>
        <w:tc>
          <w:tcPr>
            <w:tcW w:w="786" w:type="dxa"/>
            <w:noWrap w:val="0"/>
            <w:vAlign w:val="center"/>
          </w:tcPr>
          <w:p w14:paraId="5F489316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  <w:tc>
          <w:tcPr>
            <w:tcW w:w="716" w:type="dxa"/>
            <w:noWrap w:val="0"/>
            <w:vAlign w:val="center"/>
          </w:tcPr>
          <w:p w14:paraId="04C5B9BC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  <w:tc>
          <w:tcPr>
            <w:tcW w:w="1423" w:type="dxa"/>
            <w:noWrap w:val="0"/>
            <w:vAlign w:val="center"/>
          </w:tcPr>
          <w:p w14:paraId="2FCF8537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已完成，无偏差</w:t>
            </w:r>
          </w:p>
        </w:tc>
      </w:tr>
      <w:tr w14:paraId="05691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7D12C7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26309C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noWrap w:val="0"/>
            <w:vAlign w:val="center"/>
          </w:tcPr>
          <w:p w14:paraId="2ED5C6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12D54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……</w:t>
            </w:r>
          </w:p>
        </w:tc>
        <w:tc>
          <w:tcPr>
            <w:tcW w:w="916" w:type="dxa"/>
            <w:noWrap w:val="0"/>
            <w:vAlign w:val="center"/>
          </w:tcPr>
          <w:p w14:paraId="57E05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3793A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70FAA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319FD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44A16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3FD35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1263C0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2E7D0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restart"/>
            <w:noWrap w:val="0"/>
            <w:vAlign w:val="center"/>
          </w:tcPr>
          <w:p w14:paraId="161890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时效指标</w:t>
            </w:r>
          </w:p>
        </w:tc>
        <w:tc>
          <w:tcPr>
            <w:tcW w:w="996" w:type="dxa"/>
            <w:noWrap w:val="0"/>
            <w:vAlign w:val="center"/>
          </w:tcPr>
          <w:p w14:paraId="152245D2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项目预算执行进度</w:t>
            </w:r>
          </w:p>
        </w:tc>
        <w:tc>
          <w:tcPr>
            <w:tcW w:w="916" w:type="dxa"/>
            <w:noWrap w:val="0"/>
            <w:vAlign w:val="center"/>
          </w:tcPr>
          <w:p w14:paraId="334B6291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  <w:tc>
          <w:tcPr>
            <w:tcW w:w="992" w:type="dxa"/>
            <w:noWrap w:val="0"/>
            <w:vAlign w:val="center"/>
          </w:tcPr>
          <w:p w14:paraId="3847ED61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100</w:t>
            </w:r>
          </w:p>
        </w:tc>
        <w:tc>
          <w:tcPr>
            <w:tcW w:w="786" w:type="dxa"/>
            <w:noWrap w:val="0"/>
            <w:vAlign w:val="center"/>
          </w:tcPr>
          <w:p w14:paraId="4FE6C8C6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  <w:tc>
          <w:tcPr>
            <w:tcW w:w="716" w:type="dxa"/>
            <w:noWrap w:val="0"/>
            <w:vAlign w:val="center"/>
          </w:tcPr>
          <w:p w14:paraId="31B443FF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  <w:tc>
          <w:tcPr>
            <w:tcW w:w="1423" w:type="dxa"/>
            <w:noWrap w:val="0"/>
            <w:vAlign w:val="center"/>
          </w:tcPr>
          <w:p w14:paraId="400F349B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已完成，无偏差</w:t>
            </w:r>
          </w:p>
        </w:tc>
      </w:tr>
      <w:tr w14:paraId="6D86B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42ED99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29A98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noWrap w:val="0"/>
            <w:vAlign w:val="center"/>
          </w:tcPr>
          <w:p w14:paraId="50037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0AC6ECB8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lang w:val="en-US" w:eastAsia="zh-CN"/>
              </w:rPr>
              <w:t>资金拨付及时率</w:t>
            </w:r>
          </w:p>
        </w:tc>
        <w:tc>
          <w:tcPr>
            <w:tcW w:w="916" w:type="dxa"/>
            <w:noWrap w:val="0"/>
            <w:vAlign w:val="center"/>
          </w:tcPr>
          <w:p w14:paraId="11B7A498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  <w:tc>
          <w:tcPr>
            <w:tcW w:w="992" w:type="dxa"/>
            <w:noWrap w:val="0"/>
            <w:vAlign w:val="center"/>
          </w:tcPr>
          <w:p w14:paraId="50CC206F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100%</w:t>
            </w:r>
          </w:p>
        </w:tc>
        <w:tc>
          <w:tcPr>
            <w:tcW w:w="786" w:type="dxa"/>
            <w:noWrap w:val="0"/>
            <w:vAlign w:val="center"/>
          </w:tcPr>
          <w:p w14:paraId="0AD43FB1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  <w:tc>
          <w:tcPr>
            <w:tcW w:w="716" w:type="dxa"/>
            <w:noWrap w:val="0"/>
            <w:vAlign w:val="center"/>
          </w:tcPr>
          <w:p w14:paraId="585CDA6F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5</w:t>
            </w:r>
          </w:p>
        </w:tc>
        <w:tc>
          <w:tcPr>
            <w:tcW w:w="1423" w:type="dxa"/>
            <w:noWrap w:val="0"/>
            <w:vAlign w:val="center"/>
          </w:tcPr>
          <w:p w14:paraId="51179741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已完成，无偏差</w:t>
            </w:r>
          </w:p>
        </w:tc>
      </w:tr>
      <w:tr w14:paraId="2352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02F28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restart"/>
            <w:noWrap w:val="0"/>
            <w:vAlign w:val="center"/>
          </w:tcPr>
          <w:p w14:paraId="4D309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效益指标</w:t>
            </w:r>
          </w:p>
          <w:p w14:paraId="168859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分）</w:t>
            </w:r>
          </w:p>
        </w:tc>
        <w:tc>
          <w:tcPr>
            <w:tcW w:w="1112" w:type="dxa"/>
            <w:vMerge w:val="restart"/>
            <w:noWrap w:val="0"/>
            <w:vAlign w:val="center"/>
          </w:tcPr>
          <w:p w14:paraId="5A3E1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经济效益指标</w:t>
            </w:r>
          </w:p>
        </w:tc>
        <w:tc>
          <w:tcPr>
            <w:tcW w:w="996" w:type="dxa"/>
            <w:noWrap w:val="0"/>
            <w:vAlign w:val="center"/>
          </w:tcPr>
          <w:p w14:paraId="42AC80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 w14:paraId="7E83E7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574AF8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422BAD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6AB02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5E857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30BC4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31B1A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37B51B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noWrap w:val="0"/>
            <w:vAlign w:val="center"/>
          </w:tcPr>
          <w:p w14:paraId="12452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5E904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……</w:t>
            </w:r>
          </w:p>
        </w:tc>
        <w:tc>
          <w:tcPr>
            <w:tcW w:w="916" w:type="dxa"/>
            <w:noWrap w:val="0"/>
            <w:vAlign w:val="center"/>
          </w:tcPr>
          <w:p w14:paraId="38C728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2F8BB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4C1994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29278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61BBD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4797B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0E8DBF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0EE71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restart"/>
            <w:noWrap w:val="0"/>
            <w:vAlign w:val="center"/>
          </w:tcPr>
          <w:p w14:paraId="03C632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社会效益指标</w:t>
            </w:r>
          </w:p>
        </w:tc>
        <w:tc>
          <w:tcPr>
            <w:tcW w:w="996" w:type="dxa"/>
            <w:noWrap w:val="0"/>
            <w:vAlign w:val="center"/>
          </w:tcPr>
          <w:p w14:paraId="2253F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>服务水平提升</w:t>
            </w:r>
          </w:p>
        </w:tc>
        <w:tc>
          <w:tcPr>
            <w:tcW w:w="916" w:type="dxa"/>
            <w:noWrap w:val="0"/>
            <w:vAlign w:val="center"/>
          </w:tcPr>
          <w:p w14:paraId="7B9F8AC7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明显</w:t>
            </w:r>
          </w:p>
        </w:tc>
        <w:tc>
          <w:tcPr>
            <w:tcW w:w="992" w:type="dxa"/>
            <w:noWrap w:val="0"/>
            <w:vAlign w:val="center"/>
          </w:tcPr>
          <w:p w14:paraId="46A8958E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达成预期指标</w:t>
            </w:r>
          </w:p>
        </w:tc>
        <w:tc>
          <w:tcPr>
            <w:tcW w:w="786" w:type="dxa"/>
            <w:noWrap w:val="0"/>
            <w:vAlign w:val="center"/>
          </w:tcPr>
          <w:p w14:paraId="1932766D">
            <w:pPr>
              <w:pStyle w:val="13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  <w:tc>
          <w:tcPr>
            <w:tcW w:w="716" w:type="dxa"/>
            <w:noWrap w:val="0"/>
            <w:vAlign w:val="center"/>
          </w:tcPr>
          <w:p w14:paraId="33339E5A">
            <w:pPr>
              <w:pStyle w:val="13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8</w:t>
            </w:r>
          </w:p>
        </w:tc>
        <w:tc>
          <w:tcPr>
            <w:tcW w:w="1423" w:type="dxa"/>
            <w:noWrap w:val="0"/>
            <w:vAlign w:val="center"/>
          </w:tcPr>
          <w:p w14:paraId="5DA5416E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已完成，无偏差</w:t>
            </w:r>
          </w:p>
        </w:tc>
      </w:tr>
      <w:tr w14:paraId="2CDBD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6B598E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7E1FB9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noWrap w:val="0"/>
            <w:vAlign w:val="center"/>
          </w:tcPr>
          <w:p w14:paraId="5F2EA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1636E2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……</w:t>
            </w:r>
          </w:p>
        </w:tc>
        <w:tc>
          <w:tcPr>
            <w:tcW w:w="916" w:type="dxa"/>
            <w:noWrap w:val="0"/>
            <w:vAlign w:val="center"/>
          </w:tcPr>
          <w:p w14:paraId="4F88C5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52B9CB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581B7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5A3527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2CD557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1DC7A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5A09E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03EDE6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restart"/>
            <w:noWrap w:val="0"/>
            <w:vAlign w:val="center"/>
          </w:tcPr>
          <w:p w14:paraId="21DA9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生态效益指标</w:t>
            </w:r>
          </w:p>
        </w:tc>
        <w:tc>
          <w:tcPr>
            <w:tcW w:w="996" w:type="dxa"/>
            <w:noWrap w:val="0"/>
            <w:vAlign w:val="center"/>
          </w:tcPr>
          <w:p w14:paraId="47B9AC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 w14:paraId="28DE9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2CC4A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756D3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0F6A9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7A673A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7478E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5B53C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6001A4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noWrap w:val="0"/>
            <w:vAlign w:val="center"/>
          </w:tcPr>
          <w:p w14:paraId="7B33E9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2CE17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……</w:t>
            </w:r>
          </w:p>
        </w:tc>
        <w:tc>
          <w:tcPr>
            <w:tcW w:w="916" w:type="dxa"/>
            <w:noWrap w:val="0"/>
            <w:vAlign w:val="center"/>
          </w:tcPr>
          <w:p w14:paraId="48E4D8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6602EA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7F23DE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113B6B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13798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39E71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4092A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2CD5E6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restart"/>
            <w:noWrap w:val="0"/>
            <w:vAlign w:val="center"/>
          </w:tcPr>
          <w:p w14:paraId="337E7F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可持续影响指标</w:t>
            </w:r>
          </w:p>
        </w:tc>
        <w:tc>
          <w:tcPr>
            <w:tcW w:w="996" w:type="dxa"/>
            <w:noWrap w:val="0"/>
            <w:vAlign w:val="center"/>
          </w:tcPr>
          <w:p w14:paraId="1186B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16" w:type="dxa"/>
            <w:noWrap w:val="0"/>
            <w:vAlign w:val="center"/>
          </w:tcPr>
          <w:p w14:paraId="0E1A99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612007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0506C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5D2C8A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32A310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06017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6609D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073025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noWrap w:val="0"/>
            <w:vAlign w:val="center"/>
          </w:tcPr>
          <w:p w14:paraId="31495B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28370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……</w:t>
            </w:r>
          </w:p>
        </w:tc>
        <w:tc>
          <w:tcPr>
            <w:tcW w:w="916" w:type="dxa"/>
            <w:noWrap w:val="0"/>
            <w:vAlign w:val="center"/>
          </w:tcPr>
          <w:p w14:paraId="16ED6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5AB6A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59680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2FAFF3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5218C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165FC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64259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restart"/>
            <w:noWrap w:val="0"/>
            <w:vAlign w:val="center"/>
          </w:tcPr>
          <w:p w14:paraId="1DA3E9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满意度</w:t>
            </w:r>
          </w:p>
          <w:p w14:paraId="0B8E42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指标</w:t>
            </w:r>
          </w:p>
          <w:p w14:paraId="73D21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（10分）</w:t>
            </w:r>
          </w:p>
        </w:tc>
        <w:tc>
          <w:tcPr>
            <w:tcW w:w="1112" w:type="dxa"/>
            <w:vMerge w:val="restart"/>
            <w:noWrap w:val="0"/>
            <w:vAlign w:val="center"/>
          </w:tcPr>
          <w:p w14:paraId="211F5E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服务对象满意度指标</w:t>
            </w:r>
          </w:p>
        </w:tc>
        <w:tc>
          <w:tcPr>
            <w:tcW w:w="996" w:type="dxa"/>
            <w:noWrap w:val="0"/>
            <w:vAlign w:val="center"/>
          </w:tcPr>
          <w:p w14:paraId="065673E8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lang w:val="en-US" w:eastAsia="zh-CN"/>
              </w:rPr>
              <w:t>服务对象满意度</w:t>
            </w:r>
          </w:p>
        </w:tc>
        <w:tc>
          <w:tcPr>
            <w:tcW w:w="916" w:type="dxa"/>
            <w:noWrap w:val="0"/>
            <w:vAlign w:val="center"/>
          </w:tcPr>
          <w:p w14:paraId="3EFF173F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</w:rPr>
              <w:t>≥</w:t>
            </w:r>
            <w:r>
              <w:rPr>
                <w:rFonts w:hint="eastAsia" w:eastAsia="宋体"/>
                <w:lang w:val="en-US" w:eastAsia="zh-CN"/>
              </w:rPr>
              <w:t>95%</w:t>
            </w:r>
          </w:p>
        </w:tc>
        <w:tc>
          <w:tcPr>
            <w:tcW w:w="992" w:type="dxa"/>
            <w:noWrap w:val="0"/>
            <w:vAlign w:val="center"/>
          </w:tcPr>
          <w:p w14:paraId="7B8B1063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95</w:t>
            </w:r>
          </w:p>
        </w:tc>
        <w:tc>
          <w:tcPr>
            <w:tcW w:w="786" w:type="dxa"/>
            <w:noWrap w:val="0"/>
            <w:vAlign w:val="center"/>
          </w:tcPr>
          <w:p w14:paraId="32F9C980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  <w:tc>
          <w:tcPr>
            <w:tcW w:w="716" w:type="dxa"/>
            <w:noWrap w:val="0"/>
            <w:vAlign w:val="center"/>
          </w:tcPr>
          <w:p w14:paraId="7DC1110F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  <w:tc>
          <w:tcPr>
            <w:tcW w:w="1423" w:type="dxa"/>
            <w:noWrap w:val="0"/>
            <w:vAlign w:val="center"/>
          </w:tcPr>
          <w:p w14:paraId="3046E957">
            <w:pPr>
              <w:pStyle w:val="13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>已完成，无偏差</w:t>
            </w:r>
          </w:p>
        </w:tc>
      </w:tr>
      <w:tr w14:paraId="4C72E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" w:type="dxa"/>
            <w:vMerge w:val="continue"/>
            <w:noWrap w:val="0"/>
            <w:vAlign w:val="center"/>
          </w:tcPr>
          <w:p w14:paraId="112CD5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 w14:paraId="6FCD5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12" w:type="dxa"/>
            <w:vMerge w:val="continue"/>
            <w:noWrap w:val="0"/>
            <w:vAlign w:val="center"/>
          </w:tcPr>
          <w:p w14:paraId="341166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6" w:type="dxa"/>
            <w:noWrap w:val="0"/>
            <w:vAlign w:val="center"/>
          </w:tcPr>
          <w:p w14:paraId="44A0F0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916" w:type="dxa"/>
            <w:noWrap w:val="0"/>
            <w:vAlign w:val="center"/>
          </w:tcPr>
          <w:p w14:paraId="26B1ED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992" w:type="dxa"/>
            <w:noWrap w:val="0"/>
            <w:vAlign w:val="center"/>
          </w:tcPr>
          <w:p w14:paraId="13D563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86" w:type="dxa"/>
            <w:noWrap w:val="0"/>
            <w:vAlign w:val="center"/>
          </w:tcPr>
          <w:p w14:paraId="2912EF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716" w:type="dxa"/>
            <w:noWrap w:val="0"/>
            <w:vAlign w:val="center"/>
          </w:tcPr>
          <w:p w14:paraId="464004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23" w:type="dxa"/>
            <w:noWrap w:val="0"/>
            <w:vAlign w:val="center"/>
          </w:tcPr>
          <w:p w14:paraId="05FCD4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  <w:tr w14:paraId="0F0DA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6337" w:type="dxa"/>
            <w:gridSpan w:val="6"/>
            <w:noWrap w:val="0"/>
            <w:vAlign w:val="center"/>
          </w:tcPr>
          <w:p w14:paraId="3A930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总分</w:t>
            </w:r>
          </w:p>
        </w:tc>
        <w:tc>
          <w:tcPr>
            <w:tcW w:w="786" w:type="dxa"/>
            <w:noWrap w:val="0"/>
            <w:vAlign w:val="center"/>
          </w:tcPr>
          <w:p w14:paraId="6CF072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716" w:type="dxa"/>
            <w:noWrap w:val="0"/>
            <w:vAlign w:val="center"/>
          </w:tcPr>
          <w:p w14:paraId="65C18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96</w:t>
            </w:r>
          </w:p>
        </w:tc>
        <w:tc>
          <w:tcPr>
            <w:tcW w:w="1423" w:type="dxa"/>
            <w:noWrap w:val="0"/>
            <w:vAlign w:val="center"/>
          </w:tcPr>
          <w:p w14:paraId="27FB1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  <w:t xml:space="preserve"> </w:t>
            </w:r>
          </w:p>
        </w:tc>
      </w:tr>
    </w:tbl>
    <w:p w14:paraId="0AF7B71A"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snapToGrid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>填表人：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祝旭东    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填报日期：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2025.5.12       </w:t>
      </w:r>
      <w:r>
        <w:rPr>
          <w:rFonts w:hint="default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  联系电话：</w:t>
      </w:r>
      <w:r>
        <w:rPr>
          <w:rFonts w:hint="eastAsia" w:ascii="Times New Roman" w:hAnsi="Times New Roman" w:eastAsia="仿宋_GB2312" w:cs="Times New Roman"/>
          <w:snapToGrid/>
          <w:color w:val="000000"/>
          <w:kern w:val="0"/>
          <w:sz w:val="24"/>
          <w:szCs w:val="24"/>
          <w:lang w:val="en-US" w:eastAsia="zh-CN" w:bidi="ar-SA"/>
        </w:rPr>
        <w:t xml:space="preserve">15390847064 </w:t>
      </w:r>
    </w:p>
    <w:p w14:paraId="7A94AE38">
      <w:pPr>
        <w:rPr>
          <w:rFonts w:hint="default"/>
          <w:lang w:val="en-US" w:eastAsia="zh-CN"/>
        </w:rPr>
      </w:pPr>
    </w:p>
    <w:sectPr>
      <w:pgSz w:w="11906" w:h="16838"/>
      <w:pgMar w:top="2098" w:right="1800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5A8C6B29-7C8A-4BC6-9159-946F3931E0C7}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2" w:fontKey="{201436D4-9D12-468E-A4D9-8F12B492CEC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4005DCFC-2389-4921-A0E4-492C747AD210}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1" w:csb1="00000000"/>
    <w:embedRegular r:id="rId4" w:fontKey="{E01C7A04-A701-4ECF-A62B-C6F3AB59711D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8772FA8B-B89E-4711-98F7-1C45CC510355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6" w:fontKey="{922CB774-1038-4BE6-B84A-BFB12F818C6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7F2F4DCB-D45F-4755-98E3-D24F2DE49E3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8" w:fontKey="{644C9F9C-9166-433F-8E9A-74916F2FEBE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9" w:fontKey="{75C5D5E7-7283-41EE-9F9C-3819D0C9E79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93657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09000C">
                          <w:pPr>
                            <w:pStyle w:val="4"/>
                          </w:pP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2312" w:hAnsi="方正仿宋_GB2312" w:eastAsia="方正仿宋_GB2312" w:cs="方正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09000C">
                    <w:pPr>
                      <w:pStyle w:val="4"/>
                    </w:pP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2312" w:hAnsi="方正仿宋_GB2312" w:eastAsia="方正仿宋_GB2312" w:cs="方正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8B446D"/>
    <w:multiLevelType w:val="singleLevel"/>
    <w:tmpl w:val="708B446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E1A0C18"/>
    <w:multiLevelType w:val="singleLevel"/>
    <w:tmpl w:val="7E1A0C18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zNDNmZGY5ODE4YTVlYjYxZjc0MjRkNGFmZDRkY2UifQ=="/>
    <w:docVar w:name="KSO_WPS_MARK_KEY" w:val="9920a277-c0c3-43b4-93d3-1636fe398e0b"/>
  </w:docVars>
  <w:rsids>
    <w:rsidRoot w:val="753C4E9B"/>
    <w:rsid w:val="046A73C6"/>
    <w:rsid w:val="05E95AA6"/>
    <w:rsid w:val="0C180A78"/>
    <w:rsid w:val="0CAF7D6D"/>
    <w:rsid w:val="0D276746"/>
    <w:rsid w:val="0D464D9C"/>
    <w:rsid w:val="0DD52794"/>
    <w:rsid w:val="0E956870"/>
    <w:rsid w:val="10C666A5"/>
    <w:rsid w:val="1223366A"/>
    <w:rsid w:val="140247CA"/>
    <w:rsid w:val="143877FD"/>
    <w:rsid w:val="17C820DA"/>
    <w:rsid w:val="19E805B2"/>
    <w:rsid w:val="1E0A75D9"/>
    <w:rsid w:val="20C22CAB"/>
    <w:rsid w:val="22F4053A"/>
    <w:rsid w:val="22FE234B"/>
    <w:rsid w:val="24C7099E"/>
    <w:rsid w:val="277E6F02"/>
    <w:rsid w:val="29990575"/>
    <w:rsid w:val="2AF6742D"/>
    <w:rsid w:val="2E833798"/>
    <w:rsid w:val="312A2265"/>
    <w:rsid w:val="36FC0F5D"/>
    <w:rsid w:val="375773F8"/>
    <w:rsid w:val="38CC5315"/>
    <w:rsid w:val="393E32BB"/>
    <w:rsid w:val="3F8812AE"/>
    <w:rsid w:val="419B2857"/>
    <w:rsid w:val="41CB3A62"/>
    <w:rsid w:val="41D71DA8"/>
    <w:rsid w:val="43412616"/>
    <w:rsid w:val="4535443C"/>
    <w:rsid w:val="45D249F5"/>
    <w:rsid w:val="496B1DAC"/>
    <w:rsid w:val="4C6611ED"/>
    <w:rsid w:val="552A0475"/>
    <w:rsid w:val="578D10CB"/>
    <w:rsid w:val="586331BD"/>
    <w:rsid w:val="5A5915AC"/>
    <w:rsid w:val="5B7471B9"/>
    <w:rsid w:val="6A12486A"/>
    <w:rsid w:val="753C4E9B"/>
    <w:rsid w:val="77CA616D"/>
    <w:rsid w:val="781113A7"/>
    <w:rsid w:val="791E6510"/>
    <w:rsid w:val="7C8D4A41"/>
    <w:rsid w:val="7C9048DB"/>
    <w:rsid w:val="7EEE1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keepNext/>
      <w:keepLines/>
      <w:spacing w:line="560" w:lineRule="exact"/>
      <w:ind w:firstLine="200" w:firstLineChars="200"/>
      <w:outlineLvl w:val="1"/>
    </w:pPr>
    <w:rPr>
      <w:rFonts w:eastAsia="楷体_GB2312" w:asciiTheme="majorAscii" w:hAnsiTheme="majorAscii" w:cstheme="majorBidi"/>
      <w:bCs/>
      <w:sz w:val="32"/>
      <w:szCs w:val="3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autoRedefine/>
    <w:unhideWhenUsed/>
    <w:qFormat/>
    <w:uiPriority w:val="0"/>
    <w:pPr>
      <w:spacing w:beforeLines="0" w:afterLines="0"/>
      <w:ind w:firstLine="640" w:firstLineChars="200"/>
    </w:pPr>
    <w:rPr>
      <w:rFonts w:hint="default"/>
      <w:sz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autoRedefine/>
    <w:unhideWhenUsed/>
    <w:qFormat/>
    <w:uiPriority w:val="99"/>
    <w:pPr>
      <w:spacing w:beforeLines="0" w:afterLines="0"/>
      <w:ind w:firstLine="420"/>
    </w:pPr>
    <w:rPr>
      <w:rFonts w:hint="default"/>
      <w:sz w:val="32"/>
    </w:rPr>
  </w:style>
  <w:style w:type="paragraph" w:customStyle="1" w:styleId="10">
    <w:name w:val="标题1"/>
    <w:basedOn w:val="2"/>
    <w:autoRedefine/>
    <w:qFormat/>
    <w:uiPriority w:val="0"/>
    <w:rPr>
      <w:rFonts w:eastAsia="黑体"/>
    </w:rPr>
  </w:style>
  <w:style w:type="paragraph" w:customStyle="1" w:styleId="11">
    <w:name w:val="首行缩进"/>
    <w:basedOn w:val="1"/>
    <w:autoRedefine/>
    <w:qFormat/>
    <w:uiPriority w:val="0"/>
    <w:pPr>
      <w:ind w:firstLine="480" w:firstLineChars="200"/>
    </w:pPr>
    <w:rPr>
      <w:lang w:val="zh-CN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3524</Words>
  <Characters>3820</Characters>
  <Lines>0</Lines>
  <Paragraphs>0</Paragraphs>
  <TotalTime>2</TotalTime>
  <ScaleCrop>false</ScaleCrop>
  <LinksUpToDate>false</LinksUpToDate>
  <CharactersWithSpaces>4070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2024-02-22T02:03:00Z</dcterms:created>
  <dc:creator>1402836399</dc:creator>
  <cp:lastModifiedBy>祝旭东15390847064</cp:lastModifiedBy>
  <cp:lastPrinted>2024-02-26T03:24:00Z</cp:lastPrinted>
  <dcterms:modified xsi:type="dcterms:W3CDTF">2025-05-13T07:10:56Z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4B545E2748234224AA7888E0D1AE4147_13</vt:lpwstr>
  </property>
  <property fmtid="{D5CDD505-2E9C-101B-9397-08002B2CF9AE}" pid="4" name="KSOTemplateDocerSaveRecord">
    <vt:lpwstr>eyJoZGlkIjoiY2I2ZWFiNTljZTgwMjVjMTlmZDg4OGUyNDQ1ZmQ2MzUiLCJ1c2VySWQiOiIxMDAxNDYyMTM5In0=</vt:lpwstr>
  </property>
</Properties>
</file>