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bCs w:val="0"/>
          <w:i w:val="0"/>
          <w:iCs w:val="0"/>
          <w:caps w:val="0"/>
          <w:color w:val="auto"/>
          <w:spacing w:val="0"/>
          <w:sz w:val="30"/>
          <w:szCs w:val="30"/>
        </w:rPr>
      </w:pPr>
      <w:r>
        <w:rPr>
          <w:rFonts w:hint="default" w:ascii="Helvetica" w:hAnsi="Helvetica" w:eastAsia="Helvetica" w:cs="Helvetica"/>
          <w:b w:val="0"/>
          <w:bCs w:val="0"/>
          <w:i w:val="0"/>
          <w:iCs w:val="0"/>
          <w:caps w:val="0"/>
          <w:color w:val="auto"/>
          <w:spacing w:val="0"/>
          <w:sz w:val="30"/>
          <w:szCs w:val="30"/>
          <w:bdr w:val="none" w:color="auto" w:sz="0" w:space="0"/>
          <w:shd w:val="clear" w:fill="FFFFFF"/>
        </w:rPr>
        <w:t>2022年度辰溪县全民健身服务中心整体支出绩效自评报告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一、部门概况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（一）部门基本情况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（1）部门职能与机构设置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主要职责是为全民健身活动提供后勤保障服</w:t>
      </w:r>
      <w:bookmarkStart w:id="0" w:name="_GoBack"/>
      <w:bookmarkEnd w:id="0"/>
      <w:r>
        <w:rPr>
          <w:rFonts w:hint="default" w:ascii="Helvetica" w:hAnsi="Helvetica" w:eastAsia="Helvetica" w:cs="Helvetica"/>
          <w:i w:val="0"/>
          <w:iCs w:val="0"/>
          <w:caps w:val="0"/>
          <w:color w:val="3D3D3D"/>
          <w:spacing w:val="0"/>
          <w:sz w:val="27"/>
          <w:szCs w:val="27"/>
          <w:bdr w:val="none" w:color="auto" w:sz="0" w:space="0"/>
          <w:shd w:val="clear" w:fill="FFFFFF"/>
        </w:rPr>
        <w:t>务，促进体育事业健康发展，根据全民健身工作计划，负责落实全民健身器材装备配置及安装、维护工作，负责辰溪县体育馆日常管理工作。单位内设科室：办公室、人事财务股、安全保卫股、业务管理股，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（2）人员情况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截至2022.12.31号，辰溪县全民健身服务中心在职4人，退休0人。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（3）重点工作计划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场馆免费或低收费开放360天，接待健身群众10万人次以上。2、全年举办体育活动10次以上，承办大型赛事活动4次以上。3、承接县部门单位其他文体活动10次以上。开展体育培训班3期，培训项目有篮球、羽毛球、乒乓球、跆拳道、举重等，培训人次4000人次以上。4、开展体育讲座和展览4次以上。全民健身日开展排舞、广场舞等大型比赛活动。5、开展国民体质监测4000人次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（二）部门整体资金情况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（1）、年度部门预算安排及支出情况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1.收入支出预算安排情况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2022年部门全年预算总收入为137.90万元，其中财政拨款82.07万元，上年结转55.83万元。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2022年部门全年预算总支出137.90万元，其中基本支出预算数81.41万元，项目支出预算数56.49万元。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2.收入支出预算执行情况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2022年部门决算总收入为137.90万元，其中财政拨82.07万元，上年结转55.83万元。财政拨款较2021年减少了0.38万元，下降了0.27%，主要是因为减少了人员投入。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2022年部门决算总支出137.90万元，其中基本支出决算数82.07万元，项目支出决算数55.83万元，结转下年0万元。决算支出额较2021年减少了60.72万元，下降了30.57%，主要是因为减少了免费开放资金支出。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财政拨款支出主要用于我单位的正常运转、完成日常工作任务以及承担单位应承担的相关业务工作开展。 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般公共预算财政拨款基本支出81.41万元，其中人员经费38.75万元、日常公用42.66万元，是用于保障单位日常支出，包括基本工资、津贴补贴等人员经费以及办公费、印刷费、水电费、办公设备购置等日常公用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3、“三公”经费预算支出情况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2022年辰溪县全民健身服务中心年初无“三公”经费预算数0万元，无“三公”经费支出。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（2）年度专项资金支出情况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1、专项资金安排落实、总投入。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2022年部门预算安排专项总支出56.49万元，年终决算专项资金总支出56.49万元，完成预算的100%。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2、专项资金实际使用情况分析。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2022年部门决算专项支出56.49万元，主要用于体育馆免费开放与体育健身设备支出。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3、专项资金管理情况分析。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为了加强和规范使用专项资金，提高专项资金的使用效益，根据《会计法》、《会计基础工作规范》等相关的财务法律法规的要求，制订了本单位《专项资金管理办法》，单位严格执行专项资金管理规定，做到专款专用，专人保管，资金拨付有完整的审批程序和手续，保证资金使用的合规性，资金使用无截留、挤占、挪用、虚列支出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二、部门专项组织实施情况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（一）专项组织情况分析。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本单位2022年无项目招投标。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（二）专项管理情况分析。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为确保体育馆低收费免费开放项目顺利实施，班子成员开会研究决定，根据县体育馆免费开放的相关条例及上级对体育馆免费开放的绩效考核要求，制订相应的具体免费开放计划，由业务股负责实施，办公室负责对项目实施的考核与监督，人事财务股负责按财务手续依法合规进行财务核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三、资产管理情况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为了规范和加强对单位固定资产管理，维护固定资产的安全和完整，合理配置固定资产，提高固定资产的使用效率，特制定了《固定资产管理制度》。办公室负责固定资产的采购、维护、处置及具体管理制度的建设，财务室负责对固定资产计价、核算、付款，各股室负责人为实物的具体的管理者，各使用者为实物的具体责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四、部门整体支出绩效情况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根据《部门整体支出绩效评价指标》评分，得分95分，财政支出绩效为“优”。主要绩效如下：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1、经济性分析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2022年年初支出预算75.54万元，支出调整预算137.90万元，年终决算支出137.90万元，预算完成率100%。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2、效率性分析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2022年接待到馆人次14万人次；举办了广场舞、太极拳、健康跑、围棋、象棋、乒乓球、羽毛球、篮球、气排球“第二届健康湖南”怀化赛区海选赛，喜迎二十大“火蓝杯”怀化北区消防篮球赛和辰溪电力公司职工运动会，辰溪县第三届财税杯男子篮球赛，组织了3次辰溪县羽毛球俱乐部对抗赛；开展举办了夏季篮球联赛和俱乐部篮球赛事活动，承接县直单位、学校、企业等单位工会各类文体活动30余场次；开展了为期20天的冬训一期，参训人数100人，训练人次4000人次；夏训一期60天，参训人数150人，训练人次9000人次；2022年对16-60岁青少年、老年人进行国民体质监测活动4500人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3、有效性分析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公用经费”控制率100%；无新建楼堂管所情况；本单位严格落实《内部控制制度》等有关管理制度，规范财务审批程序，严格差旅费和接待费支出标准、范围和程序的审核，资金使用合规性；严格落实中央八项规定和有关公务支出标准；加强经费合法合规性审核和预算控制，严格按制度政策办事，资金使用合法合规，支出手续齐全，程序到位；预决算信息及时向社会公众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4、可持续性分析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体育馆低收费免费开放项目实施，激发广大群众的健身热情，提升广大群众健身意识，增强广大群众幸福感、获得感，提高群众身体素质，营造全民健身的氛围。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五、存在的主要问题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通过对整体支出情况的分析，反映出目前在整体支出的预算执行和管理过程中，依然存在一些问题和不足：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由于财政资金紧张，财政资金拨付滞后，项目资金不能及时支付；由于年初未能将上级指标款及其他资金纳入部门预算编制，导致预算控制率不能达标。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六、改进措施和有关建议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0" w:beforeAutospacing="0" w:after="0" w:afterAutospacing="0" w:line="340" w:lineRule="atLeast"/>
        <w:ind w:left="0" w:right="0" w:firstLine="420"/>
        <w:jc w:val="both"/>
        <w:rPr>
          <w:rFonts w:hint="default" w:ascii="Helvetica" w:hAnsi="Helvetica" w:eastAsia="Helvetica" w:cs="Helvetica"/>
          <w:i w:val="0"/>
          <w:iCs w:val="0"/>
          <w:caps w:val="0"/>
          <w:color w:val="3D3D3D"/>
          <w:spacing w:val="0"/>
          <w:sz w:val="27"/>
          <w:szCs w:val="27"/>
        </w:rPr>
      </w:pPr>
      <w:r>
        <w:rPr>
          <w:rFonts w:hint="default" w:ascii="Helvetica" w:hAnsi="Helvetica" w:eastAsia="Helvetica" w:cs="Helvetica"/>
          <w:i w:val="0"/>
          <w:iCs w:val="0"/>
          <w:caps w:val="0"/>
          <w:color w:val="3D3D3D"/>
          <w:spacing w:val="0"/>
          <w:sz w:val="27"/>
          <w:szCs w:val="27"/>
          <w:bdr w:val="none" w:color="auto" w:sz="0" w:space="0"/>
          <w:shd w:val="clear" w:fill="FFFFFF"/>
        </w:rPr>
        <w:t>体育馆日常设备及场馆的维修、后勤服务、设备更新、电费等支出巨大，为了更好地提高体育馆免费开放的服务水平，更好地服务全县全民健身的需要，希财政能加大对体育馆免费开放地方配套资金的投入。</w:t>
      </w:r>
    </w:p>
    <w:p/>
    <w:sectPr>
      <w:pgSz w:w="10641" w:h="17019"/>
      <w:pgMar w:top="1803" w:right="1440" w:bottom="1803" w:left="1440"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b68d9af2-4635-49f2-90de-852d79842138"/>
  </w:docVars>
  <w:rsids>
    <w:rsidRoot w:val="05F56568"/>
    <w:rsid w:val="05F56568"/>
    <w:rsid w:val="0D942D77"/>
    <w:rsid w:val="2AC740FC"/>
    <w:rsid w:val="6B082390"/>
    <w:rsid w:val="75900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Words>
  <Characters>27</Characters>
  <Lines>0</Lines>
  <Paragraphs>0</Paragraphs>
  <TotalTime>0</TotalTime>
  <ScaleCrop>false</ScaleCrop>
  <LinksUpToDate>false</LinksUpToDate>
  <CharactersWithSpaces>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2024-09-06T02:17:00Z</dcterms:created>
  <dc:creator>九月</dc:creator>
  <cp:lastModifiedBy>九月</cp:lastModifiedBy>
  <dcterms:modified xsi:type="dcterms:W3CDTF">2024-09-06T02:18:04Z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7878FC2F1843437198F2AAB8B3676213_11</vt:lpwstr>
  </property>
</Properties>
</file>