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30"/>
          <w:szCs w:val="30"/>
        </w:rPr>
      </w:pPr>
      <w:r>
        <w:rPr>
          <w:rFonts w:hint="eastAsia" w:ascii="仿宋" w:hAnsi="仿宋" w:eastAsia="仿宋"/>
          <w:sz w:val="30"/>
          <w:szCs w:val="30"/>
        </w:rPr>
        <w:t>附件5</w:t>
      </w:r>
    </w:p>
    <w:p>
      <w:pPr>
        <w:jc w:val="center"/>
        <w:rPr>
          <w:rFonts w:ascii="仿宋" w:hAnsi="仿宋" w:eastAsia="仿宋"/>
          <w:sz w:val="36"/>
          <w:szCs w:val="36"/>
        </w:rPr>
      </w:pPr>
      <w:r>
        <w:rPr>
          <w:rFonts w:ascii="仿宋" w:hAnsi="仿宋" w:eastAsia="仿宋"/>
          <w:sz w:val="36"/>
          <w:szCs w:val="36"/>
        </w:rPr>
        <w:t>20</w:t>
      </w:r>
      <w:r>
        <w:rPr>
          <w:rFonts w:hint="eastAsia" w:ascii="仿宋" w:hAnsi="仿宋" w:eastAsia="仿宋"/>
          <w:sz w:val="36"/>
          <w:szCs w:val="36"/>
          <w:lang w:val="en-US" w:eastAsia="zh-CN"/>
        </w:rPr>
        <w:t>21</w:t>
      </w:r>
      <w:bookmarkStart w:id="0" w:name="_GoBack"/>
      <w:bookmarkEnd w:id="0"/>
      <w:r>
        <w:rPr>
          <w:rFonts w:ascii="仿宋" w:hAnsi="仿宋" w:eastAsia="仿宋"/>
          <w:sz w:val="36"/>
          <w:szCs w:val="36"/>
        </w:rPr>
        <w:t>年度部门整体支出绩效自评指标计分表</w:t>
      </w:r>
    </w:p>
    <w:tbl>
      <w:tblPr>
        <w:tblStyle w:val="4"/>
        <w:tblW w:w="9360" w:type="dxa"/>
        <w:tblCellSpacing w:w="0" w:type="dxa"/>
        <w:tblInd w:w="-33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00"/>
        <w:gridCol w:w="1080"/>
        <w:gridCol w:w="1260"/>
        <w:gridCol w:w="900"/>
        <w:gridCol w:w="2327"/>
        <w:gridCol w:w="289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0" w:type="dxa"/>
        </w:trPr>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ascii="仿宋" w:hAnsi="仿宋" w:eastAsia="仿宋"/>
                <w:sz w:val="24"/>
              </w:rPr>
              <w:t>一级</w:t>
            </w:r>
            <w:r>
              <w:rPr>
                <w:rFonts w:ascii="仿宋" w:hAnsi="仿宋" w:eastAsia="仿宋"/>
                <w:sz w:val="24"/>
              </w:rPr>
              <w:br w:type="textWrapping"/>
            </w:r>
            <w:r>
              <w:rPr>
                <w:rFonts w:ascii="仿宋" w:hAnsi="仿宋" w:eastAsia="仿宋"/>
                <w:sz w:val="24"/>
              </w:rPr>
              <w:t>指标</w:t>
            </w:r>
          </w:p>
        </w:tc>
        <w:tc>
          <w:tcPr>
            <w:tcW w:w="108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ascii="仿宋" w:hAnsi="仿宋" w:eastAsia="仿宋"/>
                <w:sz w:val="24"/>
              </w:rPr>
              <w:t>二级指标</w:t>
            </w:r>
          </w:p>
        </w:tc>
        <w:tc>
          <w:tcPr>
            <w:tcW w:w="126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ascii="仿宋" w:hAnsi="仿宋" w:eastAsia="仿宋"/>
                <w:sz w:val="24"/>
              </w:rPr>
              <w:t>三级指标</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ascii="仿宋" w:hAnsi="仿宋" w:eastAsia="仿宋"/>
                <w:sz w:val="24"/>
              </w:rPr>
              <w:t>自评分</w:t>
            </w:r>
          </w:p>
        </w:tc>
        <w:tc>
          <w:tcPr>
            <w:tcW w:w="2327"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ascii="仿宋" w:hAnsi="仿宋" w:eastAsia="仿宋"/>
                <w:sz w:val="24"/>
              </w:rPr>
              <w:t>指标解释</w:t>
            </w:r>
          </w:p>
        </w:tc>
        <w:tc>
          <w:tcPr>
            <w:tcW w:w="2893"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ascii="仿宋" w:hAnsi="仿宋" w:eastAsia="仿宋"/>
                <w:sz w:val="24"/>
              </w:rPr>
              <w:t>指标说明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 xml:space="preserve">投 </w:t>
            </w:r>
            <w:r>
              <w:rPr>
                <w:rFonts w:eastAsia="仿宋"/>
                <w:sz w:val="24"/>
              </w:rPr>
              <w:t>  </w:t>
            </w:r>
            <w:r>
              <w:rPr>
                <w:rFonts w:ascii="仿宋" w:hAnsi="仿宋" w:eastAsia="仿宋"/>
                <w:sz w:val="24"/>
              </w:rPr>
              <w:t>入（20分）</w:t>
            </w:r>
          </w:p>
        </w:tc>
        <w:tc>
          <w:tcPr>
            <w:tcW w:w="108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目标</w:t>
            </w:r>
            <w:r>
              <w:rPr>
                <w:rFonts w:ascii="仿宋" w:hAnsi="仿宋" w:eastAsia="仿宋"/>
                <w:sz w:val="24"/>
              </w:rPr>
              <w:br w:type="textWrapping"/>
            </w:r>
            <w:r>
              <w:rPr>
                <w:rFonts w:ascii="仿宋" w:hAnsi="仿宋" w:eastAsia="仿宋"/>
                <w:sz w:val="24"/>
              </w:rPr>
              <w:t>设定（5分）</w:t>
            </w: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绩效目标合理性（2分）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部门所设立的整体绩效目标依据是否充分，是否符合客观实际，用以反映和考核部门整体绩效目标与部门履职、年度工作任务的相符性情况。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符合国家法律法规、国民经济和社会发展总体规划计1分；</w:t>
            </w:r>
            <w:r>
              <w:rPr>
                <w:rFonts w:hint="eastAsia" w:ascii="仿宋" w:hAnsi="仿宋" w:eastAsia="仿宋"/>
                <w:sz w:val="24"/>
              </w:rPr>
              <w:t>②</w:t>
            </w:r>
            <w:r>
              <w:rPr>
                <w:rFonts w:ascii="仿宋" w:hAnsi="仿宋" w:eastAsia="仿宋"/>
                <w:sz w:val="24"/>
              </w:rPr>
              <w:t>符合部门“三定”方案确定的职责计0.5分；</w:t>
            </w:r>
            <w:r>
              <w:rPr>
                <w:rFonts w:hint="eastAsia" w:ascii="仿宋" w:hAnsi="仿宋" w:eastAsia="仿宋"/>
                <w:sz w:val="24"/>
              </w:rPr>
              <w:t>③</w:t>
            </w:r>
            <w:r>
              <w:rPr>
                <w:rFonts w:ascii="仿宋" w:hAnsi="仿宋" w:eastAsia="仿宋"/>
                <w:sz w:val="24"/>
              </w:rPr>
              <w:t>是否符合部门制定的中长期实施规划计0.5分。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绩效指标明确性（3分）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3</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部门依据整体绩效目标所设定的绩效指标是否清晰、细化、可衡量，用以反映和考核部门整体绩效目标的明细化情况。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将部门整体的绩效目标细化分解为具体的工作任务计1分；</w:t>
            </w:r>
            <w:r>
              <w:rPr>
                <w:rFonts w:hint="eastAsia" w:ascii="仿宋" w:hAnsi="仿宋" w:eastAsia="仿宋"/>
                <w:sz w:val="24"/>
              </w:rPr>
              <w:t>②</w:t>
            </w:r>
            <w:r>
              <w:rPr>
                <w:rFonts w:ascii="仿宋" w:hAnsi="仿宋" w:eastAsia="仿宋"/>
                <w:sz w:val="24"/>
              </w:rPr>
              <w:t>通过清晰、可衡量的指标值予以体现计0.5分。</w:t>
            </w:r>
            <w:r>
              <w:rPr>
                <w:rFonts w:hint="eastAsia" w:ascii="仿宋" w:hAnsi="仿宋" w:eastAsia="仿宋"/>
                <w:sz w:val="24"/>
              </w:rPr>
              <w:t>③</w:t>
            </w:r>
            <w:r>
              <w:rPr>
                <w:rFonts w:ascii="仿宋" w:hAnsi="仿宋" w:eastAsia="仿宋"/>
                <w:sz w:val="24"/>
              </w:rPr>
              <w:t>与部门年度的任务数或计划数相对应计0.5分；</w:t>
            </w:r>
            <w:r>
              <w:rPr>
                <w:rFonts w:hint="eastAsia" w:ascii="仿宋" w:hAnsi="仿宋" w:eastAsia="仿宋"/>
                <w:sz w:val="24"/>
              </w:rPr>
              <w:t>④</w:t>
            </w:r>
            <w:r>
              <w:rPr>
                <w:rFonts w:ascii="仿宋" w:hAnsi="仿宋" w:eastAsia="仿宋"/>
                <w:sz w:val="24"/>
              </w:rPr>
              <w:t>与本年度部门预算资金相匹配计1分。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预算</w:t>
            </w:r>
            <w:r>
              <w:rPr>
                <w:rFonts w:ascii="仿宋" w:hAnsi="仿宋" w:eastAsia="仿宋"/>
                <w:sz w:val="24"/>
              </w:rPr>
              <w:br w:type="textWrapping"/>
            </w:r>
            <w:r>
              <w:rPr>
                <w:rFonts w:ascii="仿宋" w:hAnsi="仿宋" w:eastAsia="仿宋"/>
                <w:sz w:val="24"/>
              </w:rPr>
              <w:t>配置（15分）</w:t>
            </w: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在职人员控制率（5分）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部门本年度实际在职人员数与编制数的比率，用以反映和考核部门对人员成本的控制程度。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在职人员控制率=（在职人员数/编制数）×100%小于或等于1计5分，否则按比例计分。在职人员数：部门实际在职人数，以财政部确定的部门决算编制口径为准。编制数：机构编制部门核定批复的部门的人员编制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“三公经费”</w:t>
            </w:r>
          </w:p>
          <w:p>
            <w:pPr>
              <w:rPr>
                <w:rFonts w:ascii="仿宋" w:hAnsi="仿宋" w:eastAsia="仿宋"/>
                <w:sz w:val="24"/>
              </w:rPr>
            </w:pPr>
            <w:r>
              <w:rPr>
                <w:rFonts w:ascii="仿宋" w:hAnsi="仿宋" w:eastAsia="仿宋"/>
                <w:sz w:val="24"/>
              </w:rPr>
              <w:t>变动率（5分）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部门本年度“三公经费”预算数与上年度“三公经费”预算数的变动比率，用以反映和考核部门对控制重点行政成本的努力程度。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三公经费”变动率=[（本年度“三公经费”总额-上年度“三公经费”总额）/上年度“三公经费”总额]×100%。下降的计5分，增加的按比例扣减。“三公经费”：年度预算安排的因公出国（境）费、公务车辆购置及运行费和公务招待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重点支出安排率（5分）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部门本年度预算安排的重点项目支出与部门项目总支出的比率，用以反映和考核部门对履行主要职责或完成重点任务的保障程度。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重点支出安排率=（重点项目支出/项目总支出）×100%。实际得分=支出安排率*5分。重点项目支出：部门年度预算安排的，与本部门履职和发展密切相关、具有明显社会和经济影响、党委政府关心或社会比较关注的项目支出总额。项目总支出：部门年度预算安排的项目支出总额。</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 xml:space="preserve">      </w:t>
            </w:r>
            <w:r>
              <w:rPr>
                <w:rFonts w:ascii="仿宋" w:hAnsi="仿宋" w:eastAsia="仿宋"/>
                <w:sz w:val="24"/>
              </w:rPr>
              <w:t>过</w:t>
            </w:r>
            <w:r>
              <w:rPr>
                <w:rFonts w:hint="eastAsia" w:ascii="仿宋" w:hAnsi="仿宋" w:eastAsia="仿宋"/>
                <w:sz w:val="24"/>
              </w:rPr>
              <w:t xml:space="preserve"> </w:t>
            </w:r>
            <w:r>
              <w:rPr>
                <w:rFonts w:ascii="仿宋" w:hAnsi="仿宋" w:eastAsia="仿宋"/>
                <w:sz w:val="24"/>
              </w:rPr>
              <w:t>程（30分）</w:t>
            </w:r>
          </w:p>
        </w:tc>
        <w:tc>
          <w:tcPr>
            <w:tcW w:w="108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预算</w:t>
            </w:r>
            <w:r>
              <w:rPr>
                <w:rFonts w:ascii="仿宋" w:hAnsi="仿宋" w:eastAsia="仿宋"/>
                <w:sz w:val="24"/>
              </w:rPr>
              <w:br w:type="textWrapping"/>
            </w:r>
            <w:r>
              <w:rPr>
                <w:rFonts w:ascii="仿宋" w:hAnsi="仿宋" w:eastAsia="仿宋"/>
                <w:sz w:val="24"/>
              </w:rPr>
              <w:t>执行</w:t>
            </w:r>
          </w:p>
          <w:p>
            <w:pPr>
              <w:rPr>
                <w:rFonts w:ascii="仿宋" w:hAnsi="仿宋" w:eastAsia="仿宋"/>
                <w:sz w:val="24"/>
              </w:rPr>
            </w:pPr>
            <w:r>
              <w:rPr>
                <w:rFonts w:ascii="仿宋" w:hAnsi="仿宋" w:eastAsia="仿宋"/>
                <w:sz w:val="24"/>
              </w:rPr>
              <w:t>（20分）</w:t>
            </w: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预算完成率（4分）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4</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部门本年度预算完成数与预算数的比率，用以反映和考核部门预算完成程度。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预算完成率=（预算完成数/预算数）×100%。完成年初预算计4分，未完成年初预算按比例扣减，预算完成数：部门本年度实际完成的预算数。预算数：财政部门批复的本年度部门预算数。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预算调整率（2分）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部门本年度预算调整数与预算数的比率，用以反映和考核部门预算的调整程度。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支付进度率（2分）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部门实际支付进度与既定支付进度的比率，用以反映和考核部门预算执行的及时性和均衡性程度。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结转结余控制率（4分）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部门本年度结转结余总额与上年结转结余总额增减比例，用以反映和考核部门对存量资金的实际控制程度。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结转结余控制率=（本年结转结余总额-上年结转结余总额）/上年结转结余总额×100%。低于15%的计4分，每超过5个百分点扣1分，扣完为止。结转结余总额：部门本年度的结转资金与结余资金之和（以决算数为准）。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公用经费</w:t>
            </w:r>
          </w:p>
          <w:p>
            <w:pPr>
              <w:rPr>
                <w:rFonts w:ascii="仿宋" w:hAnsi="仿宋" w:eastAsia="仿宋"/>
                <w:sz w:val="24"/>
              </w:rPr>
            </w:pPr>
            <w:r>
              <w:rPr>
                <w:rFonts w:ascii="仿宋" w:hAnsi="仿宋" w:eastAsia="仿宋"/>
                <w:sz w:val="24"/>
              </w:rPr>
              <w:t>控制率（2分）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部门本年度实际支出的公用经费总额与预算安排的公用经费总额的比率，用以反映和考核部门对机构运转成本的实际控制程度。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公用经费控制率=（实际支出公用经费总额/预算安排公用经费总额）×100%。为100%的计2分，每超过1个百分点扣0.1分，扣完为止。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“三公经费”控制率（2分）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部门本年度“三公经费”实际支出数与预算安排数的比率，用以反映和考核部门对“三公经费”的实际控制程度。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“三公经费”控制率=（“三公经费”实际支出数/“三公经费”预算安排数）×100%。为100%的计2分，每超过1个百分点扣0.5分，扣完为止。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政府采购</w:t>
            </w:r>
          </w:p>
          <w:p>
            <w:pPr>
              <w:rPr>
                <w:rFonts w:ascii="仿宋" w:hAnsi="仿宋" w:eastAsia="仿宋"/>
                <w:sz w:val="24"/>
              </w:rPr>
            </w:pPr>
            <w:r>
              <w:rPr>
                <w:rFonts w:ascii="仿宋" w:hAnsi="仿宋" w:eastAsia="仿宋"/>
                <w:sz w:val="24"/>
              </w:rPr>
              <w:t>执行率（4分）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4</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部门本年度实际政府采购金额与年初政府采购预算的比率，用以反映和考核部门政府采购预算执行情况。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政府采购执行率=（实际政府采购金额/政府采购预算数）×100%，为100%的计2分，每低于1个百分点扣0.5分，扣完为止；政府采购预算：采购机关根据事业发展计划和行政任务编制的、并经过规定程序批准的年度政府采购计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预算</w:t>
            </w:r>
          </w:p>
          <w:p>
            <w:pPr>
              <w:rPr>
                <w:rFonts w:ascii="仿宋" w:hAnsi="仿宋" w:eastAsia="仿宋"/>
                <w:sz w:val="24"/>
              </w:rPr>
            </w:pPr>
            <w:r>
              <w:rPr>
                <w:rFonts w:ascii="仿宋" w:hAnsi="仿宋" w:eastAsia="仿宋"/>
                <w:sz w:val="24"/>
              </w:rPr>
              <w:t>管理</w:t>
            </w:r>
          </w:p>
          <w:p>
            <w:pPr>
              <w:rPr>
                <w:rFonts w:ascii="仿宋" w:hAnsi="仿宋" w:eastAsia="仿宋"/>
                <w:sz w:val="24"/>
              </w:rPr>
            </w:pPr>
            <w:r>
              <w:rPr>
                <w:rFonts w:ascii="仿宋" w:hAnsi="仿宋" w:eastAsia="仿宋"/>
                <w:sz w:val="24"/>
              </w:rPr>
              <w:t>（5分）</w:t>
            </w: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管理制度</w:t>
            </w:r>
          </w:p>
          <w:p>
            <w:pPr>
              <w:rPr>
                <w:rFonts w:ascii="仿宋" w:hAnsi="仿宋" w:eastAsia="仿宋"/>
                <w:sz w:val="24"/>
              </w:rPr>
            </w:pPr>
            <w:r>
              <w:rPr>
                <w:rFonts w:ascii="仿宋" w:hAnsi="仿宋" w:eastAsia="仿宋"/>
                <w:sz w:val="24"/>
              </w:rPr>
              <w:t>健全性（2分）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1.5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部门为加强预算管理、规范财务行为而制定的管理制度是否健全完整，用以反映和考核部门预算管理制度对完成主要职责或促进事业发展的保障情况。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已制定或具有预算资金管理办法、内部财务管理制度、会计核算制度等管理制度计1分；相关管理制度合法、合规、完整计0.5分；相关管理制度得到有效执行计0.5分。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资金使用</w:t>
            </w:r>
          </w:p>
          <w:p>
            <w:pPr>
              <w:rPr>
                <w:rFonts w:ascii="仿宋" w:hAnsi="仿宋" w:eastAsia="仿宋"/>
                <w:sz w:val="24"/>
              </w:rPr>
            </w:pPr>
            <w:r>
              <w:rPr>
                <w:rFonts w:ascii="仿宋" w:hAnsi="仿宋" w:eastAsia="仿宋"/>
                <w:sz w:val="24"/>
              </w:rPr>
              <w:t>合规性（1分）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1</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部门使用预算资金是否符合相关的预算财务管理制度的规定，用以反映和考核部门预算资金的规范运行情况。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符合国家财经法规和财务管理制度规定以及有关专项资金管理办法的规定计0.2分；</w:t>
            </w:r>
            <w:r>
              <w:rPr>
                <w:rFonts w:hint="eastAsia" w:ascii="仿宋" w:hAnsi="仿宋" w:eastAsia="仿宋"/>
                <w:sz w:val="24"/>
              </w:rPr>
              <w:t>②</w:t>
            </w:r>
            <w:r>
              <w:rPr>
                <w:rFonts w:ascii="仿宋" w:hAnsi="仿宋" w:eastAsia="仿宋"/>
                <w:sz w:val="24"/>
              </w:rPr>
              <w:t>资金的拨付有完整的审批程序和手续计0.2分；</w:t>
            </w:r>
            <w:r>
              <w:rPr>
                <w:rFonts w:hint="eastAsia" w:ascii="仿宋" w:hAnsi="仿宋" w:eastAsia="仿宋"/>
                <w:sz w:val="24"/>
              </w:rPr>
              <w:t>③</w:t>
            </w:r>
            <w:r>
              <w:rPr>
                <w:rFonts w:ascii="仿宋" w:hAnsi="仿宋" w:eastAsia="仿宋"/>
                <w:sz w:val="24"/>
              </w:rPr>
              <w:t>项目的重大开支经过评估论证计0.2分；</w:t>
            </w:r>
            <w:r>
              <w:rPr>
                <w:rFonts w:hint="eastAsia" w:ascii="仿宋" w:hAnsi="仿宋" w:eastAsia="仿宋"/>
                <w:sz w:val="24"/>
              </w:rPr>
              <w:t>④</w:t>
            </w:r>
            <w:r>
              <w:rPr>
                <w:rFonts w:ascii="仿宋" w:hAnsi="仿宋" w:eastAsia="仿宋"/>
                <w:sz w:val="24"/>
              </w:rPr>
              <w:t>符合部门预算批复的用途计0.2分；</w:t>
            </w:r>
            <w:r>
              <w:rPr>
                <w:rFonts w:hint="eastAsia" w:ascii="仿宋" w:hAnsi="仿宋" w:eastAsia="仿宋"/>
                <w:sz w:val="24"/>
              </w:rPr>
              <w:t>⑤</w:t>
            </w:r>
            <w:r>
              <w:rPr>
                <w:rFonts w:ascii="仿宋" w:hAnsi="仿宋" w:eastAsia="仿宋"/>
                <w:sz w:val="24"/>
              </w:rPr>
              <w:t>不存在截留、挤占、挪用、虚列支出等情况计0.2分。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预决算信</w:t>
            </w:r>
          </w:p>
          <w:p>
            <w:pPr>
              <w:rPr>
                <w:rFonts w:ascii="仿宋" w:hAnsi="仿宋" w:eastAsia="仿宋"/>
                <w:sz w:val="24"/>
              </w:rPr>
            </w:pPr>
            <w:r>
              <w:rPr>
                <w:rFonts w:ascii="仿宋" w:hAnsi="仿宋" w:eastAsia="仿宋"/>
                <w:sz w:val="24"/>
              </w:rPr>
              <w:t>息公开性（1分）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1</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部门是否按照政府信息公开有关规定公开相关预决算信息，用以反映和考核部门预决算管理的公开透明情况。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按规定内容公开预决算信息计0.5分；</w:t>
            </w:r>
            <w:r>
              <w:rPr>
                <w:rFonts w:hint="eastAsia" w:ascii="仿宋" w:hAnsi="仿宋" w:eastAsia="仿宋"/>
                <w:sz w:val="24"/>
              </w:rPr>
              <w:t>②</w:t>
            </w:r>
            <w:r>
              <w:rPr>
                <w:rFonts w:ascii="仿宋" w:hAnsi="仿宋" w:eastAsia="仿宋"/>
                <w:sz w:val="24"/>
              </w:rPr>
              <w:t>按规定时限公开预决算信息计0.5分。预决算信息是指与部门预算、执行、决算、监督、绩效等管理相关的信息。</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基础信息</w:t>
            </w:r>
          </w:p>
          <w:p>
            <w:pPr>
              <w:rPr>
                <w:rFonts w:ascii="仿宋" w:hAnsi="仿宋" w:eastAsia="仿宋"/>
                <w:sz w:val="24"/>
              </w:rPr>
            </w:pPr>
            <w:r>
              <w:rPr>
                <w:rFonts w:ascii="仿宋" w:hAnsi="仿宋" w:eastAsia="仿宋"/>
                <w:sz w:val="24"/>
              </w:rPr>
              <w:t>完善性（1分）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1</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部门基础信息是否完善，用以反映和考核基础信息对预算管理工作的支撑情况。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基础数据信息和会计信息资料真实计0.4分；</w:t>
            </w:r>
            <w:r>
              <w:rPr>
                <w:rFonts w:hint="eastAsia" w:ascii="仿宋" w:hAnsi="仿宋" w:eastAsia="仿宋"/>
                <w:sz w:val="24"/>
              </w:rPr>
              <w:t>②</w:t>
            </w:r>
            <w:r>
              <w:rPr>
                <w:rFonts w:ascii="仿宋" w:hAnsi="仿宋" w:eastAsia="仿宋"/>
                <w:sz w:val="24"/>
              </w:rPr>
              <w:t>基础数据信息和会计信息资料完整计0.3分；</w:t>
            </w:r>
            <w:r>
              <w:rPr>
                <w:rFonts w:hint="eastAsia" w:ascii="仿宋" w:hAnsi="仿宋" w:eastAsia="仿宋"/>
                <w:sz w:val="24"/>
              </w:rPr>
              <w:t>③</w:t>
            </w:r>
            <w:r>
              <w:rPr>
                <w:rFonts w:ascii="仿宋" w:hAnsi="仿宋" w:eastAsia="仿宋"/>
                <w:sz w:val="24"/>
              </w:rPr>
              <w:t>基础数据信息和会计信息资料准确计0.3分。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资产</w:t>
            </w:r>
            <w:r>
              <w:rPr>
                <w:rFonts w:ascii="仿宋" w:hAnsi="仿宋" w:eastAsia="仿宋"/>
                <w:sz w:val="24"/>
              </w:rPr>
              <w:br w:type="textWrapping"/>
            </w:r>
            <w:r>
              <w:rPr>
                <w:rFonts w:ascii="仿宋" w:hAnsi="仿宋" w:eastAsia="仿宋"/>
                <w:sz w:val="24"/>
              </w:rPr>
              <w:t>管理</w:t>
            </w:r>
          </w:p>
          <w:p>
            <w:pPr>
              <w:rPr>
                <w:rFonts w:ascii="仿宋" w:hAnsi="仿宋" w:eastAsia="仿宋"/>
                <w:sz w:val="24"/>
              </w:rPr>
            </w:pPr>
            <w:r>
              <w:rPr>
                <w:rFonts w:ascii="仿宋" w:hAnsi="仿宋" w:eastAsia="仿宋"/>
                <w:sz w:val="24"/>
              </w:rPr>
              <w:t>（5分）</w:t>
            </w: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管理制度</w:t>
            </w:r>
          </w:p>
          <w:p>
            <w:pPr>
              <w:rPr>
                <w:rFonts w:ascii="仿宋" w:hAnsi="仿宋" w:eastAsia="仿宋"/>
                <w:sz w:val="24"/>
              </w:rPr>
            </w:pPr>
            <w:r>
              <w:rPr>
                <w:rFonts w:ascii="仿宋" w:hAnsi="仿宋" w:eastAsia="仿宋"/>
                <w:sz w:val="24"/>
              </w:rPr>
              <w:t>健全性（2分）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部门为加强资产管理、规范资产管理行为而制定的管理制度是否健全完整，用以反映和考核部门资产管理制度对完成主要职责或促进社会发展的保障情况。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制定或具有资产管理制度计1分；</w:t>
            </w:r>
            <w:r>
              <w:rPr>
                <w:rFonts w:hint="eastAsia" w:ascii="仿宋" w:hAnsi="仿宋" w:eastAsia="仿宋"/>
                <w:sz w:val="24"/>
              </w:rPr>
              <w:t>②</w:t>
            </w:r>
            <w:r>
              <w:rPr>
                <w:rFonts w:ascii="仿宋" w:hAnsi="仿宋" w:eastAsia="仿宋"/>
                <w:sz w:val="24"/>
              </w:rPr>
              <w:t>相关资金管理制度合法、合规、完整计0.5分；</w:t>
            </w:r>
            <w:r>
              <w:rPr>
                <w:rFonts w:hint="eastAsia" w:ascii="仿宋" w:hAnsi="仿宋" w:eastAsia="仿宋"/>
                <w:sz w:val="24"/>
              </w:rPr>
              <w:t>③</w:t>
            </w:r>
            <w:r>
              <w:rPr>
                <w:rFonts w:ascii="仿宋" w:hAnsi="仿宋" w:eastAsia="仿宋"/>
                <w:sz w:val="24"/>
              </w:rPr>
              <w:t>相关资产管理制度得到有效执行计0.5分。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资产管理</w:t>
            </w:r>
          </w:p>
          <w:p>
            <w:pPr>
              <w:rPr>
                <w:rFonts w:ascii="仿宋" w:hAnsi="仿宋" w:eastAsia="仿宋"/>
                <w:sz w:val="24"/>
              </w:rPr>
            </w:pPr>
            <w:r>
              <w:rPr>
                <w:rFonts w:ascii="仿宋" w:hAnsi="仿宋" w:eastAsia="仿宋"/>
                <w:sz w:val="24"/>
              </w:rPr>
              <w:t>安全性（2分）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2</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部门的资产是否保存完整、使用合规、配置合理、处置规范、收入及时足额上缴，用以反映和考核部门资产安全运行情况。</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仿宋" w:hAnsi="仿宋" w:eastAsia="仿宋"/>
                <w:sz w:val="24"/>
              </w:rPr>
              <w:t>①</w:t>
            </w:r>
            <w:r>
              <w:rPr>
                <w:rFonts w:ascii="仿宋" w:hAnsi="仿宋" w:eastAsia="仿宋"/>
                <w:sz w:val="24"/>
              </w:rPr>
              <w:t>资产保存完整计0.4分；</w:t>
            </w:r>
            <w:r>
              <w:rPr>
                <w:rFonts w:hint="eastAsia" w:ascii="仿宋" w:hAnsi="仿宋" w:eastAsia="仿宋"/>
                <w:sz w:val="24"/>
              </w:rPr>
              <w:t>②</w:t>
            </w:r>
            <w:r>
              <w:rPr>
                <w:rFonts w:ascii="仿宋" w:hAnsi="仿宋" w:eastAsia="仿宋"/>
                <w:sz w:val="24"/>
              </w:rPr>
              <w:t>资产配置合理计0.4分；</w:t>
            </w:r>
            <w:r>
              <w:rPr>
                <w:rFonts w:hint="eastAsia" w:ascii="仿宋" w:hAnsi="仿宋" w:eastAsia="仿宋"/>
                <w:sz w:val="24"/>
              </w:rPr>
              <w:t>③</w:t>
            </w:r>
            <w:r>
              <w:rPr>
                <w:rFonts w:ascii="仿宋" w:hAnsi="仿宋" w:eastAsia="仿宋"/>
                <w:sz w:val="24"/>
              </w:rPr>
              <w:t>资产处置规范计0.4分；</w:t>
            </w:r>
            <w:r>
              <w:rPr>
                <w:rFonts w:hint="eastAsia" w:ascii="仿宋" w:hAnsi="仿宋" w:eastAsia="仿宋"/>
                <w:sz w:val="24"/>
              </w:rPr>
              <w:t>④</w:t>
            </w:r>
            <w:r>
              <w:rPr>
                <w:rFonts w:ascii="仿宋" w:hAnsi="仿宋" w:eastAsia="仿宋"/>
                <w:sz w:val="24"/>
              </w:rPr>
              <w:t>资产账务管理合规、帐实相符计0.4分；</w:t>
            </w:r>
            <w:r>
              <w:rPr>
                <w:rFonts w:hint="eastAsia" w:ascii="仿宋" w:hAnsi="仿宋" w:eastAsia="仿宋"/>
                <w:sz w:val="24"/>
              </w:rPr>
              <w:t>⑤</w:t>
            </w:r>
            <w:r>
              <w:rPr>
                <w:rFonts w:ascii="仿宋" w:hAnsi="仿宋" w:eastAsia="仿宋"/>
                <w:sz w:val="24"/>
              </w:rPr>
              <w:t>资产有偿使用及处置收入及时足额上缴计0.4分。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固定资产</w:t>
            </w:r>
          </w:p>
          <w:p>
            <w:pPr>
              <w:rPr>
                <w:rFonts w:ascii="仿宋" w:hAnsi="仿宋" w:eastAsia="仿宋"/>
                <w:sz w:val="24"/>
              </w:rPr>
            </w:pPr>
            <w:r>
              <w:rPr>
                <w:rFonts w:ascii="仿宋" w:hAnsi="仿宋" w:eastAsia="仿宋"/>
                <w:sz w:val="24"/>
              </w:rPr>
              <w:t>利用率（1分）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1</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部门实际在用固定资产总额与所有固定资产总额的比率，用以反映和考核部门固定资产使用效率程度。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固定资产利用率=（实际在用固定资产总额/所有固定资产总额）×100%。利用率为100%的计1分，每降1个百分点扣0.1分，扣完为止。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vAlign w:val="center"/>
          </w:tcPr>
          <w:p>
            <w:pPr>
              <w:ind w:firstLine="240" w:firstLineChars="100"/>
              <w:rPr>
                <w:rFonts w:hint="eastAsia" w:ascii="仿宋" w:hAnsi="仿宋" w:eastAsia="仿宋"/>
                <w:sz w:val="24"/>
              </w:rPr>
            </w:pPr>
            <w:r>
              <w:rPr>
                <w:rFonts w:ascii="仿宋" w:hAnsi="仿宋" w:eastAsia="仿宋"/>
                <w:sz w:val="24"/>
              </w:rPr>
              <w:t>产出</w:t>
            </w:r>
          </w:p>
          <w:p>
            <w:pPr>
              <w:rPr>
                <w:rFonts w:ascii="仿宋" w:hAnsi="仿宋" w:eastAsia="仿宋"/>
                <w:sz w:val="24"/>
              </w:rPr>
            </w:pPr>
            <w:r>
              <w:rPr>
                <w:rFonts w:ascii="仿宋" w:hAnsi="仿宋" w:eastAsia="仿宋"/>
                <w:sz w:val="24"/>
              </w:rPr>
              <w:t>（30分）</w:t>
            </w:r>
          </w:p>
        </w:tc>
        <w:tc>
          <w:tcPr>
            <w:tcW w:w="108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职责</w:t>
            </w:r>
            <w:r>
              <w:rPr>
                <w:rFonts w:ascii="仿宋" w:hAnsi="仿宋" w:eastAsia="仿宋"/>
                <w:sz w:val="24"/>
              </w:rPr>
              <w:br w:type="textWrapping"/>
            </w:r>
            <w:r>
              <w:rPr>
                <w:rFonts w:ascii="仿宋" w:hAnsi="仿宋" w:eastAsia="仿宋"/>
                <w:sz w:val="24"/>
              </w:rPr>
              <w:t>履行</w:t>
            </w: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实际完成率（8分）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7.5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部门履行职责而实际完成工作数与计划工作数的比率，用以反映和考核部门履职工作任务目标的实现程度。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实际完成率得分=完成市委市政府绩效考核得分或上级主管部门考核指标得分/指标分值*8分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完成及时率（4分）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4</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部门在规定时限内及时完成的实际工作数与计划工作数的比率,用以反映和考核部门履职时效目标的实现程度。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完成及时率=（及时完成实际工作数/计划工作数）×100%。1-4季度各得1分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质量达标率（8分）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7.5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达到质量标准（绩效标准值）的实际工作数与计划工作数的比率,用以反映和考核部门履职质量目标的实现程度。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质量达标率=（质量达标实际工作数/计划工作数）×100%。实际得分=达标率*8分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重点工作</w:t>
            </w:r>
          </w:p>
          <w:p>
            <w:pPr>
              <w:rPr>
                <w:rFonts w:ascii="仿宋" w:hAnsi="仿宋" w:eastAsia="仿宋"/>
                <w:sz w:val="24"/>
              </w:rPr>
            </w:pPr>
            <w:r>
              <w:rPr>
                <w:rFonts w:ascii="仿宋" w:hAnsi="仿宋" w:eastAsia="仿宋"/>
                <w:sz w:val="24"/>
              </w:rPr>
              <w:t>办结率（10分）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10</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部门年度重点工作实际完成数与交办或下达数的比率，用以反映部门对重点工作的办理落实程度。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重点工作办结率=（重点工作实际完成数/交办或下达数）×100%。实际得分=办结率*10分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效 果（20分）</w:t>
            </w:r>
          </w:p>
        </w:tc>
        <w:tc>
          <w:tcPr>
            <w:tcW w:w="1080"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履职</w:t>
            </w:r>
            <w:r>
              <w:rPr>
                <w:rFonts w:ascii="仿宋" w:hAnsi="仿宋" w:eastAsia="仿宋"/>
                <w:sz w:val="24"/>
              </w:rPr>
              <w:br w:type="textWrapping"/>
            </w:r>
            <w:r>
              <w:rPr>
                <w:rFonts w:ascii="仿宋" w:hAnsi="仿宋" w:eastAsia="仿宋"/>
                <w:sz w:val="24"/>
              </w:rPr>
              <w:t>效益（20分）</w:t>
            </w: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经济效益（5分）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部门履行职责对经济发展所带来的直接或间接影响。</w:t>
            </w:r>
          </w:p>
        </w:tc>
        <w:tc>
          <w:tcPr>
            <w:tcW w:w="2893" w:type="dxa"/>
            <w:vMerge w:val="restart"/>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按经济效益实现程度计算得分（5分）；按社会效益实现程度计算得分（5分）；按生态效益实现程度计算得分（5分）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社会效益（5分）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部门履行职责对社会发展所带来的直接或间接影响。</w:t>
            </w:r>
          </w:p>
        </w:tc>
        <w:tc>
          <w:tcPr>
            <w:tcW w:w="2893"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生态效益（5分）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部门履行职责对生态环境所带来的直接或间接影响。</w:t>
            </w:r>
          </w:p>
        </w:tc>
        <w:tc>
          <w:tcPr>
            <w:tcW w:w="2893"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90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080" w:type="dxa"/>
            <w:vMerge w:val="continue"/>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p>
        </w:tc>
        <w:tc>
          <w:tcPr>
            <w:tcW w:w="1260"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社会公众</w:t>
            </w:r>
          </w:p>
          <w:p>
            <w:pPr>
              <w:rPr>
                <w:rFonts w:ascii="仿宋" w:hAnsi="仿宋" w:eastAsia="仿宋"/>
                <w:sz w:val="24"/>
              </w:rPr>
            </w:pPr>
            <w:r>
              <w:rPr>
                <w:rFonts w:ascii="仿宋" w:hAnsi="仿宋" w:eastAsia="仿宋"/>
                <w:sz w:val="24"/>
              </w:rPr>
              <w:t>或服务对</w:t>
            </w:r>
          </w:p>
          <w:p>
            <w:pPr>
              <w:rPr>
                <w:rFonts w:ascii="仿宋" w:hAnsi="仿宋" w:eastAsia="仿宋"/>
                <w:sz w:val="24"/>
              </w:rPr>
            </w:pPr>
            <w:r>
              <w:rPr>
                <w:rFonts w:ascii="仿宋" w:hAnsi="仿宋" w:eastAsia="仿宋"/>
                <w:sz w:val="24"/>
              </w:rPr>
              <w:t>象满意度（5分）</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社会公众或部门的服务对象对部门履职效果的满意程度。</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按收集到的服务对象的满意率计算得分（5分）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0" w:type="dxa"/>
        </w:trPr>
        <w:tc>
          <w:tcPr>
            <w:tcW w:w="3240" w:type="dxa"/>
            <w:gridSpan w:val="3"/>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ascii="仿宋" w:hAnsi="仿宋" w:eastAsia="仿宋"/>
                <w:sz w:val="24"/>
              </w:rPr>
              <w:t xml:space="preserve">合 </w:t>
            </w:r>
            <w:r>
              <w:rPr>
                <w:rFonts w:hint="eastAsia" w:ascii="宋体" w:hAnsi="宋体" w:cs="宋体"/>
                <w:sz w:val="24"/>
              </w:rPr>
              <w:t>  </w:t>
            </w:r>
            <w:r>
              <w:rPr>
                <w:rFonts w:ascii="仿宋" w:hAnsi="仿宋" w:eastAsia="仿宋"/>
                <w:sz w:val="24"/>
              </w:rPr>
              <w:t>计</w:t>
            </w:r>
          </w:p>
        </w:tc>
        <w:tc>
          <w:tcPr>
            <w:tcW w:w="900" w:type="dxa"/>
            <w:tcBorders>
              <w:top w:val="outset" w:color="auto" w:sz="6" w:space="0"/>
              <w:left w:val="outset" w:color="auto" w:sz="6" w:space="0"/>
              <w:bottom w:val="outset" w:color="auto" w:sz="6" w:space="0"/>
              <w:right w:val="outset" w:color="auto" w:sz="6" w:space="0"/>
            </w:tcBorders>
            <w:vAlign w:val="center"/>
          </w:tcPr>
          <w:p>
            <w:pPr>
              <w:jc w:val="center"/>
              <w:rPr>
                <w:rFonts w:ascii="仿宋" w:hAnsi="仿宋" w:eastAsia="仿宋"/>
                <w:sz w:val="24"/>
              </w:rPr>
            </w:pPr>
            <w:r>
              <w:rPr>
                <w:rFonts w:hint="eastAsia" w:ascii="仿宋" w:hAnsi="仿宋" w:eastAsia="仿宋"/>
                <w:sz w:val="24"/>
              </w:rPr>
              <w:t>96.5</w:t>
            </w:r>
          </w:p>
        </w:tc>
        <w:tc>
          <w:tcPr>
            <w:tcW w:w="2327"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宋体" w:hAnsi="宋体" w:cs="宋体"/>
                <w:sz w:val="24"/>
              </w:rPr>
              <w:t> </w:t>
            </w:r>
          </w:p>
        </w:tc>
        <w:tc>
          <w:tcPr>
            <w:tcW w:w="2893" w:type="dxa"/>
            <w:tcBorders>
              <w:top w:val="outset" w:color="auto" w:sz="6" w:space="0"/>
              <w:left w:val="outset" w:color="auto" w:sz="6" w:space="0"/>
              <w:bottom w:val="outset" w:color="auto" w:sz="6" w:space="0"/>
              <w:right w:val="outset" w:color="auto" w:sz="6" w:space="0"/>
            </w:tcBorders>
            <w:vAlign w:val="center"/>
          </w:tcPr>
          <w:p>
            <w:pPr>
              <w:rPr>
                <w:rFonts w:ascii="仿宋" w:hAnsi="仿宋" w:eastAsia="仿宋"/>
                <w:sz w:val="24"/>
              </w:rPr>
            </w:pPr>
            <w:r>
              <w:rPr>
                <w:rFonts w:hint="eastAsia" w:ascii="宋体" w:hAnsi="宋体" w:cs="宋体"/>
                <w:sz w:val="24"/>
              </w:rPr>
              <w:t> </w:t>
            </w:r>
          </w:p>
        </w:tc>
      </w:tr>
    </w:tbl>
    <w:p>
      <w:pPr>
        <w:rPr>
          <w:rFonts w:ascii="仿宋" w:hAnsi="仿宋" w:eastAsia="仿宋"/>
          <w:sz w:val="24"/>
        </w:rPr>
      </w:pPr>
    </w:p>
    <w:p>
      <w:pPr>
        <w:rPr>
          <w:rFonts w:ascii="仿宋" w:hAnsi="仿宋" w:eastAsia="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40F"/>
    <w:rsid w:val="0008067E"/>
    <w:rsid w:val="001E1FD2"/>
    <w:rsid w:val="002409AA"/>
    <w:rsid w:val="00773ACA"/>
    <w:rsid w:val="008D024A"/>
    <w:rsid w:val="008F246A"/>
    <w:rsid w:val="00A73DB3"/>
    <w:rsid w:val="00A9778F"/>
    <w:rsid w:val="00AB66B8"/>
    <w:rsid w:val="00C2240F"/>
    <w:rsid w:val="00D94E26"/>
    <w:rsid w:val="00DE4558"/>
    <w:rsid w:val="00E661D5"/>
    <w:rsid w:val="00F308E5"/>
    <w:rsid w:val="199227F8"/>
    <w:rsid w:val="763C7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587</Words>
  <Characters>3346</Characters>
  <Lines>27</Lines>
  <Paragraphs>7</Paragraphs>
  <TotalTime>42</TotalTime>
  <ScaleCrop>false</ScaleCrop>
  <LinksUpToDate>false</LinksUpToDate>
  <CharactersWithSpaces>3926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2020-09-19T07:19:00Z</dcterms:created>
  <dc:creator>Administrator</dc:creator>
  <cp:lastModifiedBy>mazouri 。</cp:lastModifiedBy>
  <dcterms:modified xsi:type="dcterms:W3CDTF">2021-09-01T06:50:38Z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3F1DABFD65A342DCA1681B01E0FEA41F</vt:lpwstr>
  </property>
</Properties>
</file>