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仿宋_GB2312"/>
          <w:sz w:val="32"/>
          <w:szCs w:val="32"/>
        </w:rPr>
      </w:pPr>
      <w:r>
        <w:rPr>
          <w:rFonts w:hint="eastAsia" w:eastAsia="黑体"/>
          <w:sz w:val="32"/>
          <w:szCs w:val="32"/>
        </w:rPr>
        <w:t>附件</w:t>
      </w:r>
      <w:r>
        <w:rPr>
          <w:rFonts w:eastAsia="黑体"/>
          <w:sz w:val="32"/>
          <w:szCs w:val="32"/>
        </w:rPr>
        <w:t>1</w:t>
      </w:r>
    </w:p>
    <w:p>
      <w:pPr>
        <w:spacing w:beforeLines="50" w:afterLines="50"/>
        <w:jc w:val="center"/>
        <w:rPr>
          <w:rFonts w:eastAsia="方正小标宋_GBK"/>
          <w:bCs/>
          <w:sz w:val="36"/>
          <w:szCs w:val="36"/>
        </w:rPr>
      </w:pPr>
      <w:r>
        <w:rPr>
          <w:rFonts w:hint="eastAsia" w:eastAsia="方正小标宋_GBK"/>
          <w:bCs/>
          <w:sz w:val="36"/>
          <w:szCs w:val="36"/>
        </w:rPr>
        <w:t>部门整体支出绩效评价共性指标框架</w:t>
      </w:r>
    </w:p>
    <w:tbl>
      <w:tblPr>
        <w:tblStyle w:val="5"/>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866" w:type="dxa"/>
            <w:tcMar>
              <w:top w:w="10" w:type="dxa"/>
              <w:left w:w="10" w:type="dxa"/>
              <w:bottom w:w="0" w:type="dxa"/>
              <w:right w:w="10" w:type="dxa"/>
            </w:tcMar>
            <w:vAlign w:val="center"/>
          </w:tcPr>
          <w:p>
            <w:pPr>
              <w:ind w:right="-174" w:rightChars="-83"/>
              <w:jc w:val="center"/>
              <w:rPr>
                <w:rFonts w:ascii="仿宋_GB2312" w:eastAsia="仿宋_GB2312"/>
                <w:b/>
                <w:bCs/>
                <w:szCs w:val="21"/>
              </w:rPr>
            </w:pPr>
            <w:r>
              <w:rPr>
                <w:rFonts w:hint="eastAsia" w:ascii="仿宋_GB2312" w:eastAsia="仿宋_GB2312"/>
                <w:b/>
                <w:bCs/>
                <w:szCs w:val="21"/>
              </w:rPr>
              <w:t>二级</w:t>
            </w:r>
          </w:p>
          <w:p>
            <w:pPr>
              <w:ind w:right="-174" w:rightChars="-83"/>
              <w:jc w:val="center"/>
              <w:rPr>
                <w:rFonts w:ascii="仿宋_GB2312" w:eastAsia="仿宋_GB2312"/>
                <w:b/>
                <w:bCs/>
                <w:szCs w:val="21"/>
              </w:rPr>
            </w:pPr>
            <w:r>
              <w:rPr>
                <w:rFonts w:hint="eastAsia" w:ascii="仿宋_GB2312" w:eastAsia="仿宋_GB2312"/>
                <w:b/>
                <w:bCs/>
                <w:szCs w:val="21"/>
              </w:rPr>
              <w:t>指标</w:t>
            </w:r>
          </w:p>
        </w:tc>
        <w:tc>
          <w:tcPr>
            <w:tcW w:w="95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w:t>
            </w:r>
          </w:p>
          <w:p>
            <w:pPr>
              <w:jc w:val="center"/>
              <w:rPr>
                <w:rFonts w:ascii="仿宋_GB2312" w:eastAsia="仿宋_GB2312"/>
                <w:b/>
                <w:bCs/>
                <w:szCs w:val="21"/>
              </w:rPr>
            </w:pPr>
            <w:r>
              <w:rPr>
                <w:rFonts w:hint="eastAsia" w:ascii="仿宋_GB2312" w:eastAsia="仿宋_GB2312"/>
                <w:b/>
                <w:bCs/>
                <w:szCs w:val="21"/>
              </w:rPr>
              <w:t>指标</w:t>
            </w:r>
          </w:p>
        </w:tc>
        <w:tc>
          <w:tcPr>
            <w:tcW w:w="2908"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评分及标准</w:t>
            </w:r>
          </w:p>
        </w:tc>
        <w:tc>
          <w:tcPr>
            <w:tcW w:w="4252"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指标说明</w:t>
            </w:r>
          </w:p>
        </w:tc>
        <w:tc>
          <w:tcPr>
            <w:tcW w:w="938" w:type="dxa"/>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投</w:t>
            </w:r>
            <w:r>
              <w:rPr>
                <w:rFonts w:ascii="仿宋_GB2312" w:eastAsia="仿宋_GB2312"/>
                <w:szCs w:val="21"/>
              </w:rPr>
              <w:t xml:space="preserve">   </w:t>
            </w:r>
            <w:r>
              <w:rPr>
                <w:rFonts w:hint="eastAsia" w:ascii="仿宋_GB2312" w:eastAsia="仿宋_GB2312"/>
                <w:szCs w:val="21"/>
              </w:rPr>
              <w:t>入</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目标</w:t>
            </w:r>
            <w:r>
              <w:rPr>
                <w:rFonts w:ascii="仿宋_GB2312" w:eastAsia="仿宋_GB2312"/>
                <w:szCs w:val="21"/>
              </w:rPr>
              <w:br w:type="textWrapping"/>
            </w:r>
            <w:r>
              <w:rPr>
                <w:rFonts w:hint="eastAsia" w:ascii="仿宋_GB2312" w:eastAsia="仿宋_GB2312"/>
                <w:szCs w:val="21"/>
              </w:rPr>
              <w:t>设定</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14</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绩效目标</w:t>
            </w:r>
          </w:p>
          <w:p>
            <w:pPr>
              <w:spacing w:line="320" w:lineRule="exact"/>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bookmarkStart w:id="0" w:name="_GoBack"/>
            <w:bookmarkEnd w:id="0"/>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③</w:t>
            </w:r>
            <w:r>
              <w:rPr>
                <w:rFonts w:hint="eastAsia" w:ascii="仿宋_GB2312" w:eastAsia="仿宋_GB2312"/>
                <w:szCs w:val="21"/>
              </w:rPr>
              <w:t>是否符合部门制定的中长期实施规划</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绩效指标</w:t>
            </w:r>
          </w:p>
          <w:p>
            <w:pPr>
              <w:spacing w:line="320" w:lineRule="exact"/>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r>
              <w:rPr>
                <w:rFonts w:ascii="仿宋_GB2312" w:eastAsia="仿宋_GB2312"/>
                <w:szCs w:val="21"/>
              </w:rPr>
              <w:t xml:space="preserve">    </w:t>
            </w: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配置</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在职人员</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w:t>
            </w:r>
            <w:r>
              <w:rPr>
                <w:rFonts w:ascii="仿宋_GB2312" w:eastAsia="仿宋_GB2312"/>
                <w:szCs w:val="21"/>
              </w:rPr>
              <w:t>100%</w:t>
            </w:r>
            <w:r>
              <w:rPr>
                <w:rFonts w:hint="eastAsia" w:ascii="仿宋_GB2312" w:eastAsia="仿宋_GB2312"/>
                <w:szCs w:val="21"/>
              </w:rPr>
              <w:t>为标准，在职人员控制率≤</w:t>
            </w:r>
            <w:r>
              <w:rPr>
                <w:rFonts w:ascii="仿宋_GB2312" w:eastAsia="仿宋_GB2312"/>
                <w:szCs w:val="21"/>
              </w:rPr>
              <w:t>100%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分；每超过一个百分点扣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在职人员控制率</w:t>
            </w:r>
            <w:r>
              <w:rPr>
                <w:rFonts w:ascii="仿宋_GB2312" w:eastAsia="仿宋_GB2312"/>
                <w:szCs w:val="21"/>
              </w:rPr>
              <w:t>=</w:t>
            </w:r>
            <w:r>
              <w:rPr>
                <w:rFonts w:hint="eastAsia" w:ascii="仿宋_GB2312" w:eastAsia="仿宋_GB2312"/>
                <w:szCs w:val="21"/>
              </w:rPr>
              <w:t>（在职人员数</w:t>
            </w:r>
            <w:r>
              <w:rPr>
                <w:rFonts w:ascii="仿宋_GB2312" w:eastAsia="仿宋_GB2312"/>
                <w:szCs w:val="21"/>
              </w:rPr>
              <w:t>/</w:t>
            </w:r>
            <w:r>
              <w:rPr>
                <w:rFonts w:hint="eastAsia" w:ascii="仿宋_GB2312" w:eastAsia="仿宋_GB2312"/>
                <w:szCs w:val="21"/>
              </w:rPr>
              <w:t>编制数）×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在职人员数：部门实际在职人数，以财政部确定的部门决算编制口径为准。</w:t>
            </w:r>
            <w:r>
              <w:rPr>
                <w:rFonts w:ascii="仿宋_GB2312" w:eastAsia="仿宋_GB2312"/>
                <w:szCs w:val="21"/>
              </w:rPr>
              <w:br w:type="textWrapping"/>
            </w:r>
            <w:r>
              <w:rPr>
                <w:rFonts w:hint="eastAsia" w:ascii="仿宋_GB2312" w:eastAsia="仿宋_GB2312"/>
                <w:szCs w:val="21"/>
              </w:rPr>
              <w:t>编制数：机构编制部门核定批复的部门的人员编制数。</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“三公经费”变动率为</w:t>
            </w:r>
            <w:r>
              <w:rPr>
                <w:rFonts w:ascii="仿宋_GB2312" w:eastAsia="仿宋_GB2312"/>
                <w:szCs w:val="21"/>
              </w:rPr>
              <w:t>0</w:t>
            </w:r>
            <w:r>
              <w:rPr>
                <w:rFonts w:hint="eastAsia" w:ascii="仿宋_GB2312" w:eastAsia="仿宋_GB2312"/>
                <w:szCs w:val="21"/>
              </w:rPr>
              <w:t>，计</w:t>
            </w:r>
            <w:r>
              <w:rPr>
                <w:rFonts w:ascii="仿宋_GB2312" w:eastAsia="仿宋_GB2312"/>
                <w:szCs w:val="21"/>
              </w:rPr>
              <w:t>5</w:t>
            </w:r>
            <w:r>
              <w:rPr>
                <w:rFonts w:hint="eastAsia" w:ascii="仿宋_GB2312" w:eastAsia="仿宋_GB2312"/>
                <w:szCs w:val="21"/>
              </w:rPr>
              <w:t>分；“三公经费”＞</w:t>
            </w:r>
            <w:r>
              <w:rPr>
                <w:rFonts w:ascii="仿宋_GB2312" w:eastAsia="仿宋_GB2312"/>
                <w:szCs w:val="21"/>
              </w:rPr>
              <w:t>0</w:t>
            </w:r>
            <w:r>
              <w:rPr>
                <w:rFonts w:hint="eastAsia" w:ascii="仿宋_GB2312" w:eastAsia="仿宋_GB2312"/>
                <w:szCs w:val="21"/>
              </w:rPr>
              <w:t>，每超过一个百分点扣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“三公经费”变动率</w:t>
            </w:r>
            <w:r>
              <w:rPr>
                <w:rFonts w:ascii="仿宋_GB2312" w:eastAsia="仿宋_GB2312"/>
                <w:szCs w:val="21"/>
              </w:rPr>
              <w:t>=[</w:t>
            </w:r>
            <w:r>
              <w:rPr>
                <w:rFonts w:hint="eastAsia" w:ascii="仿宋_GB2312" w:eastAsia="仿宋_GB2312"/>
                <w:szCs w:val="21"/>
              </w:rPr>
              <w:t>（本年度“三公经费”总额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“三公经费”：年度预算安排的因公出国（境）费、公务车辆购置及运行费和公务招待费。</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1"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重点支出</w:t>
            </w:r>
          </w:p>
          <w:p>
            <w:pPr>
              <w:spacing w:line="320" w:lineRule="exact"/>
              <w:jc w:val="center"/>
              <w:rPr>
                <w:rFonts w:ascii="仿宋_GB2312" w:eastAsia="仿宋_GB2312"/>
                <w:szCs w:val="21"/>
              </w:rPr>
            </w:pPr>
            <w:r>
              <w:rPr>
                <w:rFonts w:hint="eastAsia" w:ascii="仿宋_GB2312" w:eastAsia="仿宋_GB2312"/>
                <w:szCs w:val="21"/>
              </w:rPr>
              <w:t>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“重点支出安排率”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分，每下降一个百分点扣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重点支出安排率</w:t>
            </w:r>
            <w:r>
              <w:rPr>
                <w:rFonts w:ascii="仿宋_GB2312" w:eastAsia="仿宋_GB2312"/>
                <w:szCs w:val="21"/>
              </w:rPr>
              <w:t>=</w:t>
            </w:r>
            <w:r>
              <w:rPr>
                <w:rFonts w:hint="eastAsia" w:ascii="仿宋_GB2312" w:eastAsia="仿宋_GB2312"/>
                <w:szCs w:val="21"/>
              </w:rPr>
              <w:t>（重点预算支出</w:t>
            </w:r>
            <w:r>
              <w:rPr>
                <w:rFonts w:ascii="仿宋_GB2312" w:eastAsia="仿宋_GB2312"/>
                <w:szCs w:val="21"/>
              </w:rPr>
              <w:t>/</w:t>
            </w:r>
            <w:r>
              <w:rPr>
                <w:rFonts w:hint="eastAsia" w:ascii="仿宋_GB2312" w:eastAsia="仿宋_GB2312"/>
                <w:szCs w:val="21"/>
              </w:rPr>
              <w:t>预算总支出）×</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重点预算支出：部门年度预算安排的，与本部门履职和发展密切相关、具有明显社会和经济影响、党委政府关心或社会比较关注的预算支出支出总额。</w:t>
            </w:r>
            <w:r>
              <w:rPr>
                <w:rFonts w:ascii="仿宋_GB2312" w:eastAsia="仿宋_GB2312"/>
                <w:szCs w:val="21"/>
              </w:rPr>
              <w:br w:type="textWrapping"/>
            </w:r>
            <w:r>
              <w:rPr>
                <w:rFonts w:hint="eastAsia" w:ascii="仿宋_GB2312" w:eastAsia="仿宋_GB2312"/>
                <w:szCs w:val="21"/>
              </w:rPr>
              <w:t>预算总支出：部门年度预算安排的预算支出支出总额。</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（预算执行数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预算执行数：部门本年度实际完成的预算数。</w:t>
            </w:r>
            <w:r>
              <w:rPr>
                <w:rFonts w:ascii="仿宋_GB2312" w:eastAsia="仿宋_GB2312"/>
                <w:szCs w:val="21"/>
              </w:rPr>
              <w:br w:type="textWrapping"/>
            </w:r>
            <w:r>
              <w:rPr>
                <w:rFonts w:hint="eastAsia" w:ascii="仿宋_GB2312" w:eastAsia="仿宋_GB2312"/>
                <w:szCs w:val="21"/>
              </w:rPr>
              <w:t>预算数：财政部门批复的本年度部门预算数。</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调整率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预算调整率</w:t>
            </w:r>
            <w:r>
              <w:rPr>
                <w:rFonts w:ascii="仿宋_GB2312" w:eastAsia="仿宋_GB2312"/>
                <w:szCs w:val="21"/>
              </w:rPr>
              <w:t>=</w:t>
            </w:r>
            <w:r>
              <w:rPr>
                <w:rFonts w:hint="eastAsia" w:ascii="仿宋_GB2312" w:eastAsia="仿宋_GB2312"/>
                <w:szCs w:val="21"/>
              </w:rPr>
              <w:t>（预算调整数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支付</w:t>
            </w:r>
          </w:p>
          <w:p>
            <w:pPr>
              <w:spacing w:line="320" w:lineRule="exact"/>
              <w:jc w:val="center"/>
              <w:rPr>
                <w:rFonts w:ascii="仿宋_GB2312" w:eastAsia="仿宋_GB2312"/>
                <w:szCs w:val="21"/>
              </w:rPr>
            </w:pPr>
            <w:r>
              <w:rPr>
                <w:rFonts w:hint="eastAsia" w:ascii="仿宋_GB2312" w:eastAsia="仿宋_GB2312"/>
                <w:szCs w:val="21"/>
              </w:rPr>
              <w:t>进度率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支付进度率</w:t>
            </w:r>
            <w:r>
              <w:rPr>
                <w:rFonts w:ascii="仿宋_GB2312" w:eastAsia="仿宋_GB2312"/>
                <w:szCs w:val="21"/>
              </w:rPr>
              <w:t>=</w:t>
            </w:r>
            <w:r>
              <w:rPr>
                <w:rFonts w:hint="eastAsia" w:ascii="仿宋_GB2312" w:eastAsia="仿宋_GB2312"/>
                <w:szCs w:val="21"/>
              </w:rPr>
              <w:t>（实际支付进度</w:t>
            </w:r>
            <w:r>
              <w:rPr>
                <w:rFonts w:ascii="仿宋_GB2312" w:eastAsia="仿宋_GB2312"/>
                <w:szCs w:val="21"/>
              </w:rPr>
              <w:t>/</w:t>
            </w:r>
            <w:r>
              <w:rPr>
                <w:rFonts w:hint="eastAsia" w:ascii="仿宋_GB2312" w:eastAsia="仿宋_GB2312"/>
                <w:szCs w:val="21"/>
              </w:rPr>
              <w:t>既定支付进度）×</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实际支付进度：部门在某一时点的支出预算执行总数与年度支出预算数的比率。</w:t>
            </w:r>
            <w:r>
              <w:rPr>
                <w:rFonts w:ascii="仿宋_GB2312" w:eastAsia="仿宋_GB2312"/>
                <w:szCs w:val="21"/>
              </w:rPr>
              <w:br w:type="textWrapping"/>
            </w:r>
            <w:r>
              <w:rPr>
                <w:rFonts w:hint="eastAsia" w:ascii="仿宋_GB2312" w:eastAsia="仿宋_GB2312"/>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continue"/>
            <w:tcMar>
              <w:top w:w="10" w:type="dxa"/>
              <w:left w:w="10" w:type="dxa"/>
              <w:bottom w:w="0" w:type="dxa"/>
              <w:right w:w="10" w:type="dxa"/>
            </w:tcMar>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w:t>
            </w:r>
          </w:p>
          <w:p>
            <w:pPr>
              <w:spacing w:line="320" w:lineRule="exact"/>
              <w:jc w:val="center"/>
              <w:rPr>
                <w:rFonts w:ascii="仿宋_GB2312" w:eastAsia="仿宋_GB2312"/>
                <w:szCs w:val="21"/>
              </w:rPr>
            </w:pPr>
            <w:r>
              <w:rPr>
                <w:rFonts w:hint="eastAsia" w:ascii="仿宋_GB2312" w:eastAsia="仿宋_GB2312"/>
                <w:szCs w:val="21"/>
              </w:rPr>
              <w:t>结余率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结转结余率</w:t>
            </w:r>
            <w:r>
              <w:rPr>
                <w:rFonts w:ascii="仿宋_GB2312" w:eastAsia="仿宋_GB2312"/>
                <w:szCs w:val="21"/>
              </w:rPr>
              <w:t>=</w:t>
            </w:r>
            <w:r>
              <w:rPr>
                <w:rFonts w:hint="eastAsia" w:ascii="仿宋_GB2312" w:eastAsia="仿宋_GB2312"/>
                <w:szCs w:val="21"/>
              </w:rPr>
              <w:t>结转结余总额</w:t>
            </w:r>
            <w:r>
              <w:rPr>
                <w:rFonts w:ascii="仿宋_GB2312" w:eastAsia="仿宋_GB2312"/>
                <w:szCs w:val="21"/>
              </w:rPr>
              <w:t>/</w:t>
            </w:r>
            <w:r>
              <w:rPr>
                <w:rFonts w:hint="eastAsia" w:ascii="仿宋_GB2312" w:eastAsia="仿宋_GB2312"/>
                <w:szCs w:val="21"/>
              </w:rPr>
              <w:t>支出预算数×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结转结余总额：部门本年度的结转资金与结余资金之和（以决算数为准）。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结转结余</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结转结余变动率</w:t>
            </w:r>
            <w:r>
              <w:rPr>
                <w:rFonts w:ascii="仿宋_GB2312" w:eastAsia="仿宋_GB2312"/>
                <w:szCs w:val="21"/>
              </w:rPr>
              <w:t>=[</w:t>
            </w:r>
            <w:r>
              <w:rPr>
                <w:rFonts w:hint="eastAsia" w:ascii="仿宋_GB2312" w:eastAsia="仿宋_GB2312"/>
                <w:szCs w:val="21"/>
              </w:rPr>
              <w:t>（本年度累计结转结余资金总额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公用经费</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公用经费控制率</w:t>
            </w:r>
            <w:r>
              <w:rPr>
                <w:rFonts w:ascii="仿宋_GB2312" w:eastAsia="仿宋_GB2312"/>
                <w:szCs w:val="21"/>
              </w:rPr>
              <w:t>=</w:t>
            </w:r>
            <w:r>
              <w:rPr>
                <w:rFonts w:hint="eastAsia" w:ascii="仿宋_GB2312" w:eastAsia="仿宋_GB2312"/>
                <w:szCs w:val="21"/>
              </w:rPr>
              <w:t>（实际支出公用经费总额</w:t>
            </w:r>
            <w:r>
              <w:rPr>
                <w:rFonts w:ascii="仿宋_GB2312" w:eastAsia="仿宋_GB2312"/>
                <w:szCs w:val="21"/>
              </w:rPr>
              <w:t>/</w:t>
            </w:r>
            <w:r>
              <w:rPr>
                <w:rFonts w:hint="eastAsia" w:ascii="仿宋_GB2312" w:eastAsia="仿宋_GB2312"/>
                <w:szCs w:val="21"/>
              </w:rPr>
              <w:t>预算安排公用经费总额）×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“三公经费”控制率（</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“三公经费”控制率</w:t>
            </w:r>
            <w:r>
              <w:rPr>
                <w:rFonts w:ascii="仿宋_GB2312" w:eastAsia="仿宋_GB2312"/>
                <w:szCs w:val="21"/>
              </w:rPr>
              <w:t>=</w:t>
            </w:r>
            <w:r>
              <w:rPr>
                <w:rFonts w:hint="eastAsia" w:ascii="仿宋_GB2312" w:eastAsia="仿宋_GB2312"/>
                <w:szCs w:val="21"/>
              </w:rPr>
              <w:t>（“三公经费”实际支出数</w:t>
            </w:r>
            <w:r>
              <w:rPr>
                <w:rFonts w:ascii="仿宋_GB2312" w:eastAsia="仿宋_GB2312"/>
                <w:szCs w:val="21"/>
              </w:rPr>
              <w:t>/</w:t>
            </w:r>
            <w:r>
              <w:rPr>
                <w:rFonts w:hint="eastAsia" w:ascii="仿宋_GB2312" w:eastAsia="仿宋_GB2312"/>
                <w:szCs w:val="21"/>
              </w:rPr>
              <w:t>“三公经费”预算安排数）×</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政府采购</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政府采购执行率</w:t>
            </w:r>
            <w:r>
              <w:rPr>
                <w:rFonts w:ascii="仿宋_GB2312" w:eastAsia="仿宋_GB2312"/>
                <w:szCs w:val="21"/>
              </w:rPr>
              <w:t>=</w:t>
            </w:r>
            <w:r>
              <w:rPr>
                <w:rFonts w:hint="eastAsia" w:ascii="仿宋_GB2312" w:eastAsia="仿宋_GB2312"/>
                <w:szCs w:val="21"/>
              </w:rPr>
              <w:t>（实际政府采购金额</w:t>
            </w:r>
            <w:r>
              <w:rPr>
                <w:rFonts w:ascii="仿宋_GB2312" w:eastAsia="仿宋_GB2312"/>
                <w:szCs w:val="21"/>
              </w:rPr>
              <w:t>/</w:t>
            </w:r>
            <w:r>
              <w:rPr>
                <w:rFonts w:hint="eastAsia" w:ascii="仿宋_GB2312" w:eastAsia="仿宋_GB2312"/>
                <w:szCs w:val="21"/>
              </w:rPr>
              <w:t>政府采购预算数）×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政府采购预算：采购机关根据事业发展计划和行政任务编制的、并经过规定程序批准的年度政府采购计划。</w:t>
            </w:r>
            <w:r>
              <w:rPr>
                <w:rFonts w:ascii="仿宋_GB2312" w:eastAsia="仿宋_GB2312"/>
                <w:szCs w:val="21"/>
              </w:rPr>
              <w:t xml:space="preserve"> </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p>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w:t>
            </w:r>
            <w:r>
              <w:rPr>
                <w:rFonts w:hint="eastAsia" w:ascii="仿宋_GB2312" w:eastAsia="仿宋_GB2312"/>
                <w:szCs w:val="21"/>
              </w:rPr>
              <w:t>有内部财务管理制度，会计核算制度等管理制度，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2.</w:t>
            </w:r>
            <w:r>
              <w:rPr>
                <w:rFonts w:hint="eastAsia" w:ascii="仿宋_GB2312" w:eastAsia="仿宋_GB2312"/>
                <w:szCs w:val="21"/>
              </w:rPr>
              <w:t>有本部门厉行节约制度，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3.</w:t>
            </w:r>
            <w:r>
              <w:rPr>
                <w:rFonts w:hint="eastAsia" w:ascii="仿宋_GB2312" w:eastAsia="仿宋_GB2312"/>
                <w:szCs w:val="21"/>
              </w:rPr>
              <w:t>相关管理制度合法、合规、完整，</w:t>
            </w:r>
            <w:r>
              <w:rPr>
                <w:rFonts w:ascii="仿宋_GB2312" w:eastAsia="仿宋_GB2312"/>
                <w:szCs w:val="21"/>
              </w:rPr>
              <w:t>0.5</w:t>
            </w:r>
            <w:r>
              <w:rPr>
                <w:rFonts w:hint="eastAsia" w:ascii="仿宋_GB2312" w:eastAsia="仿宋_GB2312"/>
                <w:szCs w:val="21"/>
              </w:rPr>
              <w:t>分；</w:t>
            </w:r>
            <w:r>
              <w:rPr>
                <w:rFonts w:ascii="仿宋_GB2312" w:eastAsia="仿宋_GB2312"/>
                <w:szCs w:val="21"/>
              </w:rPr>
              <w:t>4.</w:t>
            </w:r>
            <w:r>
              <w:rPr>
                <w:rFonts w:hint="eastAsia" w:ascii="仿宋_GB2312" w:eastAsia="仿宋_GB2312"/>
                <w:szCs w:val="21"/>
              </w:rPr>
              <w:t>相关管理制度得到有效执行，</w:t>
            </w:r>
            <w:r>
              <w:rPr>
                <w:rFonts w:ascii="仿宋_GB2312" w:eastAsia="仿宋_GB2312"/>
                <w:szCs w:val="21"/>
              </w:rPr>
              <w:t>0.5</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资金使用</w:t>
            </w:r>
          </w:p>
          <w:p>
            <w:pPr>
              <w:spacing w:line="320" w:lineRule="exact"/>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spacing w:line="300" w:lineRule="exact"/>
              <w:rPr>
                <w:rFonts w:ascii="仿宋_GB2312" w:eastAsia="仿宋_GB2312"/>
                <w:szCs w:val="21"/>
              </w:rPr>
            </w:pPr>
            <w:r>
              <w:rPr>
                <w:rFonts w:ascii="仿宋_GB2312" w:eastAsia="仿宋_GB2312"/>
                <w:szCs w:val="21"/>
              </w:rPr>
              <w:t>1.</w:t>
            </w:r>
            <w:r>
              <w:rPr>
                <w:rFonts w:hint="eastAsia" w:ascii="仿宋_GB2312" w:eastAsia="仿宋_GB2312"/>
                <w:szCs w:val="21"/>
              </w:rPr>
              <w:t>支出符合国家财经法规和财务管理制度规定以及有关专项资金管理办法的规定；</w:t>
            </w:r>
            <w:r>
              <w:rPr>
                <w:rFonts w:ascii="仿宋_GB2312" w:eastAsia="仿宋_GB2312"/>
                <w:szCs w:val="21"/>
              </w:rPr>
              <w:t>2.</w:t>
            </w:r>
            <w:r>
              <w:rPr>
                <w:rFonts w:hint="eastAsia" w:ascii="仿宋_GB2312" w:eastAsia="仿宋_GB2312"/>
                <w:szCs w:val="21"/>
              </w:rPr>
              <w:t>资金拨付有完整的审批程序和手续；</w:t>
            </w:r>
            <w:r>
              <w:rPr>
                <w:rFonts w:ascii="仿宋_GB2312" w:eastAsia="仿宋_GB2312"/>
                <w:szCs w:val="21"/>
              </w:rPr>
              <w:t>3.</w:t>
            </w:r>
            <w:r>
              <w:rPr>
                <w:rFonts w:hint="eastAsia" w:ascii="仿宋_GB2312" w:eastAsia="仿宋_GB2312"/>
                <w:szCs w:val="21"/>
              </w:rPr>
              <w:t>项目支出按规定经过评估论证；</w:t>
            </w:r>
            <w:r>
              <w:rPr>
                <w:rFonts w:ascii="仿宋_GB2312" w:eastAsia="仿宋_GB2312"/>
                <w:szCs w:val="21"/>
              </w:rPr>
              <w:t>4.</w:t>
            </w:r>
            <w:r>
              <w:rPr>
                <w:rFonts w:hint="eastAsia" w:ascii="仿宋_GB2312" w:eastAsia="仿宋_GB2312"/>
                <w:szCs w:val="21"/>
              </w:rPr>
              <w:t>支出符合部门预算批复的用途；</w:t>
            </w:r>
            <w:r>
              <w:rPr>
                <w:rFonts w:ascii="仿宋_GB2312" w:eastAsia="仿宋_GB2312"/>
                <w:szCs w:val="21"/>
              </w:rPr>
              <w:t>5.</w:t>
            </w:r>
            <w:r>
              <w:rPr>
                <w:rFonts w:hint="eastAsia" w:ascii="仿宋_GB2312" w:eastAsia="仿宋_GB2312"/>
                <w:szCs w:val="21"/>
              </w:rPr>
              <w:t>资金使用无截留、挤占、挪用、虚列支出等情况。</w:t>
            </w:r>
          </w:p>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以上情况每出现一例不符合要求的扣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3"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预决算信</w:t>
            </w:r>
          </w:p>
          <w:p>
            <w:pPr>
              <w:spacing w:line="320" w:lineRule="exact"/>
              <w:jc w:val="center"/>
              <w:rPr>
                <w:rFonts w:ascii="仿宋_GB2312" w:eastAsia="仿宋_GB2312"/>
                <w:szCs w:val="21"/>
              </w:rPr>
            </w:pPr>
            <w:r>
              <w:rPr>
                <w:rFonts w:hint="eastAsia" w:ascii="仿宋_GB2312" w:eastAsia="仿宋_GB2312"/>
                <w:szCs w:val="21"/>
              </w:rPr>
              <w:t>息公开性（</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rPr>
                <w:rFonts w:ascii="仿宋_GB2312" w:eastAsia="仿宋_GB2312"/>
                <w:szCs w:val="21"/>
              </w:rPr>
            </w:pPr>
            <w:r>
              <w:rPr>
                <w:rFonts w:hint="eastAsia" w:ascii="仿宋_GB2312" w:eastAsia="仿宋_GB2312"/>
                <w:szCs w:val="21"/>
              </w:rPr>
              <w:t>部门预算、执行、决算、监督、绩效等管理相关的信息未公开，每一项扣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r>
              <w:rPr>
                <w:rFonts w:ascii="仿宋_GB2312" w:eastAsia="仿宋_GB2312"/>
                <w:szCs w:val="21"/>
              </w:rPr>
              <w:br w:type="textWrapping"/>
            </w:r>
            <w:r>
              <w:rPr>
                <w:rFonts w:hint="eastAsia" w:ascii="仿宋_GB2312" w:eastAsia="仿宋_GB2312"/>
                <w:szCs w:val="21"/>
              </w:rPr>
              <w:t>预决算信息是指与部门预算、执行、决算、监督、绩效等管理相关的信息。</w:t>
            </w:r>
          </w:p>
        </w:tc>
        <w:tc>
          <w:tcPr>
            <w:tcW w:w="938" w:type="dxa"/>
            <w:vAlign w:val="center"/>
          </w:tcPr>
          <w:p>
            <w:pPr>
              <w:spacing w:line="320" w:lineRule="exact"/>
              <w:ind w:left="105" w:leftChars="50" w:right="105" w:rightChars="50"/>
              <w:jc w:val="center"/>
              <w:rPr>
                <w:rFonts w:ascii="仿宋_GB2312" w:eastAsia="仿宋_GB2312"/>
                <w:szCs w:val="21"/>
              </w:rPr>
            </w:pPr>
            <w:r>
              <w:rPr>
                <w:rFonts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基础信息</w:t>
            </w:r>
          </w:p>
          <w:p>
            <w:pPr>
              <w:spacing w:line="320" w:lineRule="exact"/>
              <w:jc w:val="center"/>
              <w:rPr>
                <w:rFonts w:ascii="仿宋_GB2312" w:eastAsia="仿宋_GB2312"/>
                <w:szCs w:val="21"/>
              </w:rPr>
            </w:pPr>
            <w:r>
              <w:rPr>
                <w:rFonts w:hint="eastAsia" w:ascii="仿宋_GB2312" w:eastAsia="仿宋_GB2312"/>
                <w:szCs w:val="21"/>
              </w:rPr>
              <w:t>完善性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部门基础信息是否完善，缺一项扣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部门有加强资产管理、规范资产管理行为而制定的管理制度的计</w:t>
            </w:r>
            <w:r>
              <w:rPr>
                <w:rFonts w:ascii="仿宋_GB2312" w:eastAsia="仿宋_GB2312"/>
                <w:szCs w:val="21"/>
              </w:rPr>
              <w:t>1</w:t>
            </w:r>
            <w:r>
              <w:rPr>
                <w:rFonts w:hint="eastAsia" w:ascii="仿宋_GB2312" w:eastAsia="仿宋_GB2312"/>
                <w:szCs w:val="21"/>
              </w:rPr>
              <w:t>分；有效执行相关文件的计</w:t>
            </w:r>
            <w:r>
              <w:rPr>
                <w:rFonts w:ascii="仿宋_GB2312" w:eastAsia="仿宋_GB2312"/>
                <w:szCs w:val="21"/>
              </w:rPr>
              <w:t>1</w:t>
            </w:r>
            <w:r>
              <w:rPr>
                <w:rFonts w:hint="eastAsia" w:ascii="仿宋_GB2312" w:eastAsia="仿宋_GB2312"/>
                <w:szCs w:val="21"/>
              </w:rPr>
              <w:t>分。反之不计分。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是否已制定或具有资产管理制度；</w:t>
            </w:r>
            <w:r>
              <w:rPr>
                <w:rFonts w:ascii="仿宋_GB2312" w:eastAsia="仿宋_GB2312"/>
                <w:szCs w:val="21"/>
              </w:rPr>
              <w:t xml:space="preserve">           </w:t>
            </w: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资产管理</w:t>
            </w:r>
          </w:p>
          <w:p>
            <w:pPr>
              <w:spacing w:line="320" w:lineRule="exact"/>
              <w:jc w:val="center"/>
              <w:rPr>
                <w:rFonts w:ascii="仿宋_GB2312" w:eastAsia="仿宋_GB2312"/>
                <w:szCs w:val="21"/>
              </w:rPr>
            </w:pPr>
            <w:r>
              <w:rPr>
                <w:rFonts w:hint="eastAsia" w:ascii="仿宋_GB2312" w:eastAsia="仿宋_GB2312"/>
                <w:szCs w:val="21"/>
              </w:rPr>
              <w:t>安全性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761"/>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部门的资产是否保存完整、使用合规、配置合理、处置规范、收入及时足额上缴计满分，每一项不达标扣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资产保存是否完整；</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固定资产</w:t>
            </w:r>
          </w:p>
          <w:p>
            <w:pPr>
              <w:spacing w:line="320" w:lineRule="exact"/>
              <w:jc w:val="center"/>
              <w:rPr>
                <w:rFonts w:ascii="仿宋_GB2312" w:eastAsia="仿宋_GB2312"/>
                <w:szCs w:val="21"/>
              </w:rPr>
            </w:pPr>
            <w:r>
              <w:rPr>
                <w:rFonts w:hint="eastAsia" w:ascii="仿宋_GB2312" w:eastAsia="仿宋_GB2312"/>
                <w:szCs w:val="21"/>
              </w:rPr>
              <w:t>利用率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固定资产利用率</w:t>
            </w:r>
            <w:r>
              <w:rPr>
                <w:rFonts w:ascii="仿宋_GB2312" w:eastAsia="仿宋_GB2312"/>
                <w:szCs w:val="21"/>
              </w:rPr>
              <w:t>=</w:t>
            </w:r>
            <w:r>
              <w:rPr>
                <w:rFonts w:hint="eastAsia" w:ascii="仿宋_GB2312" w:eastAsia="仿宋_GB2312"/>
                <w:szCs w:val="21"/>
              </w:rPr>
              <w:t>（实际在用固定资产总额</w:t>
            </w:r>
            <w:r>
              <w:rPr>
                <w:rFonts w:ascii="仿宋_GB2312" w:eastAsia="仿宋_GB2312"/>
                <w:szCs w:val="21"/>
              </w:rPr>
              <w:t>/</w:t>
            </w:r>
            <w:r>
              <w:rPr>
                <w:rFonts w:hint="eastAsia" w:ascii="仿宋_GB2312" w:eastAsia="仿宋_GB2312"/>
                <w:szCs w:val="21"/>
              </w:rPr>
              <w:t>所有固定资产总额）×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9" w:hRule="atLeast"/>
          <w:jc w:val="center"/>
        </w:trPr>
        <w:tc>
          <w:tcPr>
            <w:tcW w:w="666" w:type="dxa"/>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产出（</w:t>
            </w:r>
            <w:r>
              <w:rPr>
                <w:rFonts w:ascii="仿宋_GB2312" w:eastAsia="仿宋_GB2312"/>
                <w:szCs w:val="21"/>
              </w:rPr>
              <w:t>20</w:t>
            </w:r>
            <w:r>
              <w:rPr>
                <w:rFonts w:hint="eastAsia" w:ascii="仿宋_GB2312" w:eastAsia="仿宋_GB2312"/>
                <w:szCs w:val="21"/>
              </w:rPr>
              <w:t>分）</w:t>
            </w:r>
          </w:p>
        </w:tc>
        <w:tc>
          <w:tcPr>
            <w:tcW w:w="866"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实际</w:t>
            </w:r>
          </w:p>
          <w:p>
            <w:pPr>
              <w:spacing w:line="320" w:lineRule="exact"/>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（实际完成工作数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实际完成工作数：一定时期（年度或规划期）内部门实际完成工作任务的数量。</w:t>
            </w:r>
            <w:r>
              <w:rPr>
                <w:rFonts w:ascii="仿宋_GB2312" w:eastAsia="仿宋_GB2312"/>
                <w:szCs w:val="21"/>
              </w:rPr>
              <w:br w:type="textWrapping"/>
            </w:r>
            <w:r>
              <w:rPr>
                <w:rFonts w:hint="eastAsia" w:ascii="仿宋_GB2312" w:eastAsia="仿宋_GB2312"/>
                <w:szCs w:val="21"/>
              </w:rPr>
              <w:t>计划工作数：部门整体绩效目标确定的一定时期（年度或规划期）内预计完成工作任务的数量。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5"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产</w:t>
            </w:r>
          </w:p>
          <w:p>
            <w:pPr>
              <w:spacing w:line="320" w:lineRule="exact"/>
              <w:jc w:val="center"/>
              <w:rPr>
                <w:rFonts w:ascii="仿宋_GB2312" w:eastAsia="仿宋_GB2312"/>
                <w:szCs w:val="21"/>
              </w:rPr>
            </w:pPr>
            <w:r>
              <w:rPr>
                <w:rFonts w:hint="eastAsia" w:ascii="仿宋_GB2312" w:eastAsia="仿宋_GB2312"/>
                <w:szCs w:val="21"/>
              </w:rPr>
              <w:t>出</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完成</w:t>
            </w:r>
          </w:p>
          <w:p>
            <w:pPr>
              <w:spacing w:line="320" w:lineRule="exact"/>
              <w:jc w:val="center"/>
              <w:rPr>
                <w:rFonts w:ascii="仿宋_GB2312" w:eastAsia="仿宋_GB2312"/>
                <w:szCs w:val="21"/>
              </w:rPr>
            </w:pPr>
            <w:r>
              <w:rPr>
                <w:rFonts w:hint="eastAsia" w:ascii="仿宋_GB2312" w:eastAsia="仿宋_GB2312"/>
                <w:szCs w:val="21"/>
              </w:rPr>
              <w:t>及时率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完成及时率</w:t>
            </w:r>
            <w:r>
              <w:rPr>
                <w:rFonts w:ascii="仿宋_GB2312" w:eastAsia="仿宋_GB2312"/>
                <w:szCs w:val="21"/>
              </w:rPr>
              <w:t>=</w:t>
            </w:r>
            <w:r>
              <w:rPr>
                <w:rFonts w:hint="eastAsia" w:ascii="仿宋_GB2312" w:eastAsia="仿宋_GB2312"/>
                <w:szCs w:val="21"/>
              </w:rPr>
              <w:t>（及时完成实际工作数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及时完成实际工作数：部门按照整体绩效目标确定的时限实际完成的工作任务数量。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质量</w:t>
            </w:r>
          </w:p>
          <w:p>
            <w:pPr>
              <w:spacing w:line="320" w:lineRule="exact"/>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质量达标实际工作数：一定时期（年度或规划期）内部门实际完成工作数中达到部门绩效目标要求（绩效标准值）的工作任务数量。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重点工作</w:t>
            </w:r>
          </w:p>
          <w:p>
            <w:pPr>
              <w:spacing w:line="320" w:lineRule="exact"/>
              <w:jc w:val="center"/>
              <w:rPr>
                <w:rFonts w:ascii="仿宋_GB2312" w:eastAsia="仿宋_GB2312"/>
                <w:szCs w:val="21"/>
              </w:rPr>
            </w:pPr>
            <w:r>
              <w:rPr>
                <w:rFonts w:hint="eastAsia" w:ascii="仿宋_GB2312" w:eastAsia="仿宋_GB2312"/>
                <w:szCs w:val="21"/>
              </w:rPr>
              <w:t>办结率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根据绩效办</w:t>
            </w:r>
            <w:r>
              <w:rPr>
                <w:rFonts w:ascii="仿宋_GB2312" w:eastAsia="仿宋_GB2312"/>
                <w:szCs w:val="21"/>
              </w:rPr>
              <w:t>2019</w:t>
            </w:r>
            <w:r>
              <w:rPr>
                <w:rFonts w:hint="eastAsia" w:ascii="仿宋_GB2312" w:eastAsia="仿宋_GB2312"/>
                <w:szCs w:val="21"/>
              </w:rPr>
              <w:t>年对各部门为民办实事和部门重点工程与重点工作考核分数折算。该项得分</w:t>
            </w:r>
            <w:r>
              <w:rPr>
                <w:rFonts w:ascii="仿宋_GB2312" w:eastAsia="仿宋_GB2312"/>
                <w:szCs w:val="21"/>
              </w:rPr>
              <w:t>=</w:t>
            </w:r>
            <w:r>
              <w:rPr>
                <w:rFonts w:hint="eastAsia" w:ascii="仿宋_GB2312" w:eastAsia="仿宋_GB2312"/>
                <w:szCs w:val="21"/>
              </w:rPr>
              <w:t>（绩效办对应部分考核得分）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重点工作办结率</w:t>
            </w:r>
            <w:r>
              <w:rPr>
                <w:rFonts w:ascii="仿宋_GB2312" w:eastAsia="仿宋_GB2312"/>
                <w:szCs w:val="21"/>
              </w:rPr>
              <w:t>=</w:t>
            </w:r>
            <w:r>
              <w:rPr>
                <w:rFonts w:hint="eastAsia" w:ascii="仿宋_GB2312" w:eastAsia="仿宋_GB2312"/>
                <w:szCs w:val="21"/>
              </w:rPr>
              <w:t>（重点工作实际完成数</w:t>
            </w:r>
            <w:r>
              <w:rPr>
                <w:rFonts w:ascii="仿宋_GB2312" w:eastAsia="仿宋_GB2312"/>
                <w:szCs w:val="21"/>
              </w:rPr>
              <w:t>/</w:t>
            </w:r>
            <w:r>
              <w:rPr>
                <w:rFonts w:hint="eastAsia" w:ascii="仿宋_GB2312" w:eastAsia="仿宋_GB2312"/>
                <w:szCs w:val="21"/>
              </w:rPr>
              <w:t>交办或下达数）×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重点工作是指党委、政府、人大、相关部门交办或下达的工作任务。</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效</w:t>
            </w:r>
          </w:p>
          <w:p>
            <w:pPr>
              <w:spacing w:line="320" w:lineRule="exact"/>
              <w:jc w:val="center"/>
              <w:rPr>
                <w:rFonts w:ascii="仿宋_GB2312" w:eastAsia="仿宋_GB2312"/>
                <w:szCs w:val="21"/>
              </w:rPr>
            </w:pPr>
            <w:r>
              <w:rPr>
                <w:rFonts w:hint="eastAsia" w:ascii="仿宋_GB2312" w:eastAsia="仿宋_GB2312"/>
                <w:szCs w:val="21"/>
              </w:rPr>
              <w:t>果</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履职</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经济效益（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部门履行职责对经济发展所带来的直接或间接影响。</w:t>
            </w:r>
          </w:p>
        </w:tc>
        <w:tc>
          <w:tcPr>
            <w:tcW w:w="4252" w:type="dxa"/>
            <w:vMerge w:val="restart"/>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部门履行职责对社会发展所带来的直接或间接影响。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生态效益（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部门履行职责对生态环境所带来的直接或间接影响。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社会公众</w:t>
            </w:r>
          </w:p>
          <w:p>
            <w:pPr>
              <w:spacing w:line="320" w:lineRule="exact"/>
              <w:jc w:val="center"/>
              <w:rPr>
                <w:rFonts w:ascii="仿宋_GB2312" w:eastAsia="仿宋_GB2312"/>
                <w:szCs w:val="21"/>
              </w:rPr>
            </w:pPr>
            <w:r>
              <w:rPr>
                <w:rFonts w:hint="eastAsia" w:ascii="仿宋_GB2312" w:eastAsia="仿宋_GB2312"/>
                <w:szCs w:val="21"/>
              </w:rPr>
              <w:t>或服务对</w:t>
            </w:r>
          </w:p>
          <w:p>
            <w:pPr>
              <w:spacing w:line="320" w:lineRule="exact"/>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社会公众或部门的服务对象对部门履职效果的满意程度。</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社会公众或服务对象是指部门履行职责而影响到的部门、群体或个人。一般采取社会调查的方式。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9643" w:type="dxa"/>
            <w:gridSpan w:val="5"/>
            <w:vAlign w:val="center"/>
          </w:tcPr>
          <w:p>
            <w:pPr>
              <w:spacing w:line="320" w:lineRule="exact"/>
              <w:ind w:left="105" w:leftChars="50" w:right="105" w:rightChars="50"/>
              <w:jc w:val="center"/>
              <w:rPr>
                <w:rFonts w:hint="eastAsia" w:ascii="仿宋_GB2312" w:eastAsia="仿宋_GB2312"/>
                <w:szCs w:val="21"/>
                <w:lang w:eastAsia="zh-CN"/>
              </w:rPr>
            </w:pPr>
            <w:r>
              <w:rPr>
                <w:rFonts w:hint="eastAsia" w:ascii="仿宋_GB2312" w:eastAsia="仿宋_GB2312"/>
                <w:szCs w:val="21"/>
                <w:lang w:eastAsia="zh-CN"/>
              </w:rPr>
              <w:t>合计</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98</w:t>
            </w:r>
          </w:p>
        </w:tc>
      </w:tr>
    </w:tbl>
    <w:p/>
    <w:p/>
    <w:p/>
    <w:p/>
    <w:p/>
    <w:p/>
    <w:p/>
    <w:p/>
    <w:p/>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eastAsia="仿宋_GB2312"/>
          <w:sz w:val="32"/>
          <w:szCs w:val="32"/>
        </w:rPr>
      </w:pPr>
      <w:r>
        <w:rPr>
          <w:rFonts w:hint="eastAsia" w:eastAsia="黑体"/>
          <w:sz w:val="32"/>
          <w:szCs w:val="32"/>
        </w:rPr>
        <w:t>附件</w:t>
      </w:r>
      <w:r>
        <w:rPr>
          <w:rFonts w:eastAsia="黑体"/>
          <w:sz w:val="32"/>
          <w:szCs w:val="32"/>
        </w:rPr>
        <w:t>2</w:t>
      </w:r>
    </w:p>
    <w:p>
      <w:pPr>
        <w:jc w:val="center"/>
        <w:rPr>
          <w:rFonts w:ascii="仿宋" w:hAnsi="仿宋" w:eastAsia="仿宋"/>
          <w:b/>
          <w:bCs/>
          <w:sz w:val="44"/>
          <w:szCs w:val="44"/>
        </w:rPr>
      </w:pPr>
      <w:r>
        <w:rPr>
          <w:rFonts w:hint="eastAsia" w:ascii="仿宋" w:hAnsi="仿宋" w:eastAsia="仿宋"/>
          <w:b/>
          <w:bCs/>
          <w:sz w:val="44"/>
          <w:szCs w:val="44"/>
        </w:rPr>
        <w:t>部门整体支出绩效评价基础数据表</w:t>
      </w:r>
    </w:p>
    <w:p>
      <w:pPr>
        <w:rPr>
          <w:rFonts w:hint="default" w:ascii="仿宋" w:hAnsi="仿宋" w:eastAsia="仿宋"/>
          <w:lang w:val="en-US" w:eastAsia="zh-CN"/>
        </w:rPr>
      </w:pPr>
      <w:r>
        <w:rPr>
          <w:rFonts w:hint="eastAsia" w:ascii="仿宋" w:hAnsi="仿宋" w:eastAsia="仿宋"/>
        </w:rPr>
        <w:t>填报单位：</w:t>
      </w:r>
      <w:r>
        <w:rPr>
          <w:rFonts w:hint="eastAsia" w:ascii="仿宋" w:hAnsi="仿宋" w:eastAsia="仿宋"/>
          <w:lang w:val="en-US" w:eastAsia="zh-CN"/>
        </w:rPr>
        <w:t>后塘瑶族乡人民政府</w:t>
      </w:r>
    </w:p>
    <w:tbl>
      <w:tblPr>
        <w:tblStyle w:val="5"/>
        <w:tblW w:w="103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97"/>
        <w:gridCol w:w="2181"/>
        <w:gridCol w:w="2292"/>
        <w:gridCol w:w="2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3597" w:type="dxa"/>
            <w:vMerge w:val="restart"/>
            <w:vAlign w:val="center"/>
          </w:tcPr>
          <w:p>
            <w:pPr>
              <w:spacing w:line="440" w:lineRule="exact"/>
              <w:jc w:val="center"/>
              <w:rPr>
                <w:rFonts w:ascii="仿宋" w:hAnsi="仿宋" w:eastAsia="仿宋"/>
              </w:rPr>
            </w:pPr>
            <w:r>
              <w:rPr>
                <w:rFonts w:hint="eastAsia" w:ascii="仿宋" w:hAnsi="仿宋" w:eastAsia="仿宋"/>
              </w:rPr>
              <w:t>财政供养人员情况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rPr>
              <w:t>编制数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年实际在职人数</w:t>
            </w:r>
          </w:p>
        </w:tc>
        <w:tc>
          <w:tcPr>
            <w:tcW w:w="2244" w:type="dxa"/>
            <w:tcBorders>
              <w:left w:val="nil"/>
            </w:tcBorders>
            <w:vAlign w:val="center"/>
          </w:tcPr>
          <w:p>
            <w:pPr>
              <w:spacing w:line="440" w:lineRule="exact"/>
              <w:jc w:val="center"/>
              <w:rPr>
                <w:rFonts w:ascii="仿宋" w:hAnsi="仿宋" w:eastAsia="仿宋"/>
              </w:rPr>
            </w:pPr>
            <w:r>
              <w:rPr>
                <w:rFonts w:hint="eastAsia" w:ascii="仿宋" w:hAnsi="仿宋" w:eastAsia="仿宋"/>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3597" w:type="dxa"/>
            <w:vMerge w:val="continue"/>
            <w:vAlign w:val="center"/>
          </w:tcPr>
          <w:p>
            <w:pPr>
              <w:widowControl/>
              <w:spacing w:line="440" w:lineRule="exact"/>
              <w:jc w:val="left"/>
              <w:rPr>
                <w:rFonts w:ascii="仿宋" w:hAnsi="仿宋" w:eastAsia="仿宋"/>
              </w:rPr>
            </w:pPr>
          </w:p>
        </w:tc>
        <w:tc>
          <w:tcPr>
            <w:tcW w:w="2181"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50</w:t>
            </w:r>
          </w:p>
        </w:tc>
        <w:tc>
          <w:tcPr>
            <w:tcW w:w="2292"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46</w:t>
            </w:r>
          </w:p>
        </w:tc>
        <w:tc>
          <w:tcPr>
            <w:tcW w:w="2244"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经费控制情况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lang w:eastAsia="zh-CN"/>
              </w:rPr>
              <w:t>20</w:t>
            </w:r>
            <w:r>
              <w:rPr>
                <w:rFonts w:hint="eastAsia" w:ascii="仿宋" w:hAnsi="仿宋" w:eastAsia="仿宋"/>
                <w:lang w:val="en-US" w:eastAsia="zh-CN"/>
              </w:rPr>
              <w:t>19</w:t>
            </w:r>
            <w:r>
              <w:rPr>
                <w:rFonts w:hint="eastAsia" w:ascii="仿宋" w:hAnsi="仿宋" w:eastAsia="仿宋"/>
              </w:rPr>
              <w:t>年决算数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年预算数</w:t>
            </w:r>
          </w:p>
        </w:tc>
        <w:tc>
          <w:tcPr>
            <w:tcW w:w="2244"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三公经费</w:t>
            </w:r>
          </w:p>
        </w:tc>
        <w:tc>
          <w:tcPr>
            <w:tcW w:w="2181" w:type="dxa"/>
            <w:tcBorders>
              <w:left w:val="nil"/>
            </w:tcBorders>
            <w:vAlign w:val="top"/>
          </w:tcPr>
          <w:p>
            <w:pPr>
              <w:spacing w:line="440" w:lineRule="exact"/>
              <w:jc w:val="center"/>
              <w:rPr>
                <w:rFonts w:hint="default" w:ascii="仿宋" w:hAnsi="仿宋" w:eastAsia="仿宋"/>
                <w:b w:val="0"/>
                <w:bCs w:val="0"/>
                <w:lang w:val="en-US" w:eastAsia="zh-CN"/>
              </w:rPr>
            </w:pPr>
            <w:r>
              <w:rPr>
                <w:rFonts w:hint="eastAsia" w:ascii="仿宋" w:hAnsi="仿宋" w:eastAsia="仿宋"/>
                <w:lang w:val="en-US" w:eastAsia="zh-CN"/>
              </w:rPr>
              <w:t>27.81万元</w:t>
            </w:r>
          </w:p>
        </w:tc>
        <w:tc>
          <w:tcPr>
            <w:tcW w:w="2292" w:type="dxa"/>
            <w:tcBorders>
              <w:left w:val="nil"/>
            </w:tcBorders>
            <w:vAlign w:val="top"/>
          </w:tcPr>
          <w:p>
            <w:pPr>
              <w:spacing w:line="440" w:lineRule="exact"/>
              <w:jc w:val="center"/>
              <w:rPr>
                <w:rFonts w:hint="default" w:ascii="仿宋" w:hAnsi="仿宋" w:eastAsia="仿宋"/>
                <w:b w:val="0"/>
                <w:bCs w:val="0"/>
                <w:lang w:val="en-US" w:eastAsia="zh-CN"/>
              </w:rPr>
            </w:pPr>
            <w:r>
              <w:rPr>
                <w:rFonts w:hint="eastAsia" w:ascii="仿宋" w:hAnsi="仿宋" w:eastAsia="仿宋"/>
                <w:lang w:val="en-US" w:eastAsia="zh-CN"/>
              </w:rPr>
              <w:t>32万元</w:t>
            </w:r>
          </w:p>
        </w:tc>
        <w:tc>
          <w:tcPr>
            <w:tcW w:w="2244" w:type="dxa"/>
            <w:tcBorders>
              <w:left w:val="nil"/>
            </w:tcBorders>
            <w:vAlign w:val="top"/>
          </w:tcPr>
          <w:p>
            <w:pPr>
              <w:spacing w:line="440" w:lineRule="exact"/>
              <w:jc w:val="center"/>
              <w:rPr>
                <w:rFonts w:hint="default" w:ascii="仿宋" w:hAnsi="仿宋" w:eastAsia="仿宋"/>
                <w:b w:val="0"/>
                <w:bCs w:val="0"/>
                <w:lang w:val="en-US" w:eastAsia="zh-CN"/>
              </w:rPr>
            </w:pPr>
            <w:r>
              <w:rPr>
                <w:rFonts w:hint="eastAsia" w:ascii="仿宋" w:hAnsi="仿宋" w:eastAsia="仿宋"/>
                <w:lang w:val="en-US" w:eastAsia="zh-CN"/>
              </w:rPr>
              <w:t>27.27万元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、公务用车购置和维护经费</w:t>
            </w:r>
          </w:p>
        </w:tc>
        <w:tc>
          <w:tcPr>
            <w:tcW w:w="2181" w:type="dxa"/>
            <w:tcBorders>
              <w:left w:val="nil"/>
            </w:tcBorders>
            <w:vAlign w:val="top"/>
          </w:tcPr>
          <w:p>
            <w:pPr>
              <w:spacing w:line="440" w:lineRule="exact"/>
              <w:rPr>
                <w:rFonts w:ascii="仿宋" w:hAnsi="仿宋" w:eastAsia="仿宋"/>
                <w:b w:val="0"/>
                <w:bCs w:val="0"/>
              </w:rPr>
            </w:pPr>
          </w:p>
        </w:tc>
        <w:tc>
          <w:tcPr>
            <w:tcW w:w="2292" w:type="dxa"/>
            <w:tcBorders>
              <w:left w:val="nil"/>
            </w:tcBorders>
            <w:vAlign w:val="top"/>
          </w:tcPr>
          <w:p>
            <w:pPr>
              <w:spacing w:line="440" w:lineRule="exact"/>
              <w:rPr>
                <w:rFonts w:ascii="仿宋" w:hAnsi="仿宋" w:eastAsia="仿宋"/>
                <w:b w:val="0"/>
                <w:bCs w:val="0"/>
              </w:rPr>
            </w:pPr>
          </w:p>
        </w:tc>
        <w:tc>
          <w:tcPr>
            <w:tcW w:w="2244" w:type="dxa"/>
            <w:tcBorders>
              <w:left w:val="nil"/>
            </w:tcBorders>
            <w:vAlign w:val="top"/>
          </w:tcPr>
          <w:p>
            <w:pPr>
              <w:spacing w:line="440" w:lineRule="exact"/>
              <w:rPr>
                <w:rFonts w:ascii="仿宋" w:hAnsi="仿宋" w:eastAsia="仿宋"/>
                <w:b w:val="0"/>
                <w:bCs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其中：公车购置</w:t>
            </w:r>
          </w:p>
        </w:tc>
        <w:tc>
          <w:tcPr>
            <w:tcW w:w="2181" w:type="dxa"/>
            <w:tcBorders>
              <w:left w:val="nil"/>
            </w:tcBorders>
            <w:vAlign w:val="top"/>
          </w:tcPr>
          <w:p>
            <w:pPr>
              <w:spacing w:line="440" w:lineRule="exact"/>
              <w:jc w:val="center"/>
              <w:rPr>
                <w:rFonts w:ascii="仿宋" w:hAnsi="仿宋" w:eastAsia="仿宋"/>
                <w:b w:val="0"/>
                <w:bCs w:val="0"/>
              </w:rPr>
            </w:pPr>
          </w:p>
        </w:tc>
        <w:tc>
          <w:tcPr>
            <w:tcW w:w="2292" w:type="dxa"/>
            <w:tcBorders>
              <w:left w:val="nil"/>
            </w:tcBorders>
            <w:vAlign w:val="top"/>
          </w:tcPr>
          <w:p>
            <w:pPr>
              <w:spacing w:line="440" w:lineRule="exact"/>
              <w:jc w:val="center"/>
              <w:rPr>
                <w:rFonts w:ascii="仿宋" w:hAnsi="仿宋" w:eastAsia="仿宋"/>
                <w:b w:val="0"/>
                <w:bCs w:val="0"/>
              </w:rPr>
            </w:pPr>
          </w:p>
        </w:tc>
        <w:tc>
          <w:tcPr>
            <w:tcW w:w="2244" w:type="dxa"/>
            <w:tcBorders>
              <w:left w:val="nil"/>
            </w:tcBorders>
            <w:vAlign w:val="top"/>
          </w:tcPr>
          <w:p>
            <w:pPr>
              <w:spacing w:line="440" w:lineRule="exact"/>
              <w:jc w:val="center"/>
              <w:rPr>
                <w:rFonts w:ascii="仿宋" w:hAnsi="仿宋" w:eastAsia="仿宋"/>
                <w:b w:val="0"/>
                <w:bCs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公车运行维护</w:t>
            </w:r>
          </w:p>
        </w:tc>
        <w:tc>
          <w:tcPr>
            <w:tcW w:w="2181" w:type="dxa"/>
            <w:tcBorders>
              <w:left w:val="nil"/>
            </w:tcBorders>
            <w:vAlign w:val="top"/>
          </w:tcPr>
          <w:p>
            <w:pPr>
              <w:spacing w:line="440" w:lineRule="exact"/>
              <w:jc w:val="center"/>
              <w:rPr>
                <w:rFonts w:hint="default" w:ascii="仿宋" w:hAnsi="仿宋" w:eastAsia="仿宋"/>
                <w:b w:val="0"/>
                <w:bCs w:val="0"/>
                <w:lang w:val="en-US" w:eastAsia="zh-CN"/>
              </w:rPr>
            </w:pPr>
            <w:r>
              <w:rPr>
                <w:rFonts w:hint="eastAsia" w:ascii="仿宋" w:hAnsi="仿宋" w:eastAsia="仿宋"/>
                <w:lang w:val="en-US" w:eastAsia="zh-CN"/>
              </w:rPr>
              <w:t>16.46万元</w:t>
            </w:r>
          </w:p>
        </w:tc>
        <w:tc>
          <w:tcPr>
            <w:tcW w:w="2292" w:type="dxa"/>
            <w:tcBorders>
              <w:left w:val="nil"/>
            </w:tcBorders>
            <w:vAlign w:val="top"/>
          </w:tcPr>
          <w:p>
            <w:pPr>
              <w:spacing w:line="440" w:lineRule="exact"/>
              <w:jc w:val="center"/>
              <w:rPr>
                <w:rFonts w:hint="default" w:ascii="仿宋" w:hAnsi="仿宋" w:eastAsia="仿宋"/>
                <w:b w:val="0"/>
                <w:bCs w:val="0"/>
                <w:lang w:val="en-US" w:eastAsia="zh-CN"/>
              </w:rPr>
            </w:pPr>
            <w:r>
              <w:rPr>
                <w:rFonts w:hint="eastAsia" w:ascii="仿宋" w:hAnsi="仿宋" w:eastAsia="仿宋"/>
                <w:lang w:val="en-US" w:eastAsia="zh-CN"/>
              </w:rPr>
              <w:t>17万元</w:t>
            </w:r>
          </w:p>
        </w:tc>
        <w:tc>
          <w:tcPr>
            <w:tcW w:w="2244" w:type="dxa"/>
            <w:tcBorders>
              <w:left w:val="nil"/>
            </w:tcBorders>
            <w:vAlign w:val="top"/>
          </w:tcPr>
          <w:p>
            <w:pPr>
              <w:spacing w:line="440" w:lineRule="exact"/>
              <w:jc w:val="center"/>
              <w:rPr>
                <w:rFonts w:hint="default" w:ascii="仿宋" w:hAnsi="仿宋" w:eastAsia="仿宋"/>
                <w:b w:val="0"/>
                <w:bCs w:val="0"/>
                <w:lang w:val="en-US" w:eastAsia="zh-CN"/>
              </w:rPr>
            </w:pPr>
            <w:r>
              <w:rPr>
                <w:rFonts w:hint="eastAsia" w:ascii="仿宋" w:hAnsi="仿宋" w:eastAsia="仿宋"/>
                <w:lang w:val="en-US" w:eastAsia="zh-CN"/>
              </w:rPr>
              <w:t>16.02万元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、出国经费</w:t>
            </w:r>
          </w:p>
        </w:tc>
        <w:tc>
          <w:tcPr>
            <w:tcW w:w="2181" w:type="dxa"/>
            <w:tcBorders>
              <w:left w:val="nil"/>
            </w:tcBorders>
            <w:vAlign w:val="top"/>
          </w:tcPr>
          <w:p>
            <w:pPr>
              <w:spacing w:line="440" w:lineRule="exact"/>
              <w:jc w:val="center"/>
              <w:rPr>
                <w:rFonts w:ascii="仿宋" w:hAnsi="仿宋" w:eastAsia="仿宋"/>
                <w:b w:val="0"/>
                <w:bCs w:val="0"/>
              </w:rPr>
            </w:pPr>
          </w:p>
        </w:tc>
        <w:tc>
          <w:tcPr>
            <w:tcW w:w="2292" w:type="dxa"/>
            <w:tcBorders>
              <w:left w:val="nil"/>
            </w:tcBorders>
            <w:vAlign w:val="top"/>
          </w:tcPr>
          <w:p>
            <w:pPr>
              <w:spacing w:line="440" w:lineRule="exact"/>
              <w:jc w:val="center"/>
              <w:rPr>
                <w:rFonts w:ascii="仿宋" w:hAnsi="仿宋" w:eastAsia="仿宋"/>
                <w:b w:val="0"/>
                <w:bCs w:val="0"/>
              </w:rPr>
            </w:pPr>
          </w:p>
        </w:tc>
        <w:tc>
          <w:tcPr>
            <w:tcW w:w="2244" w:type="dxa"/>
            <w:tcBorders>
              <w:left w:val="nil"/>
            </w:tcBorders>
            <w:vAlign w:val="top"/>
          </w:tcPr>
          <w:p>
            <w:pPr>
              <w:spacing w:line="440" w:lineRule="exact"/>
              <w:jc w:val="center"/>
              <w:rPr>
                <w:rFonts w:ascii="仿宋" w:hAnsi="仿宋" w:eastAsia="仿宋"/>
                <w:b w:val="0"/>
                <w:bCs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3</w:t>
            </w:r>
            <w:r>
              <w:rPr>
                <w:rFonts w:hint="eastAsia" w:ascii="仿宋" w:hAnsi="仿宋" w:eastAsia="仿宋"/>
              </w:rPr>
              <w:t>、公务接待</w:t>
            </w:r>
          </w:p>
        </w:tc>
        <w:tc>
          <w:tcPr>
            <w:tcW w:w="2181" w:type="dxa"/>
            <w:tcBorders>
              <w:left w:val="nil"/>
            </w:tcBorders>
            <w:vAlign w:val="top"/>
          </w:tcPr>
          <w:p>
            <w:pPr>
              <w:spacing w:line="440" w:lineRule="exact"/>
              <w:jc w:val="center"/>
              <w:rPr>
                <w:rFonts w:hint="default" w:ascii="仿宋" w:hAnsi="仿宋" w:eastAsia="仿宋"/>
                <w:b w:val="0"/>
                <w:bCs w:val="0"/>
                <w:lang w:val="en-US" w:eastAsia="zh-CN"/>
              </w:rPr>
            </w:pPr>
            <w:r>
              <w:rPr>
                <w:rFonts w:hint="eastAsia" w:ascii="仿宋" w:hAnsi="仿宋" w:eastAsia="仿宋"/>
                <w:lang w:val="en-US" w:eastAsia="zh-CN"/>
              </w:rPr>
              <w:t>11.35万元</w:t>
            </w:r>
          </w:p>
        </w:tc>
        <w:tc>
          <w:tcPr>
            <w:tcW w:w="2292" w:type="dxa"/>
            <w:tcBorders>
              <w:left w:val="nil"/>
            </w:tcBorders>
            <w:vAlign w:val="top"/>
          </w:tcPr>
          <w:p>
            <w:pPr>
              <w:spacing w:line="440" w:lineRule="exact"/>
              <w:jc w:val="center"/>
              <w:rPr>
                <w:rFonts w:hint="default" w:ascii="仿宋" w:hAnsi="仿宋" w:eastAsia="仿宋"/>
                <w:b w:val="0"/>
                <w:bCs w:val="0"/>
                <w:lang w:val="en-US" w:eastAsia="zh-CN"/>
              </w:rPr>
            </w:pPr>
            <w:r>
              <w:rPr>
                <w:rFonts w:hint="eastAsia" w:ascii="仿宋" w:hAnsi="仿宋" w:eastAsia="仿宋"/>
                <w:lang w:val="en-US" w:eastAsia="zh-CN"/>
              </w:rPr>
              <w:t>15万元</w:t>
            </w:r>
          </w:p>
        </w:tc>
        <w:tc>
          <w:tcPr>
            <w:tcW w:w="2244" w:type="dxa"/>
            <w:tcBorders>
              <w:left w:val="nil"/>
            </w:tcBorders>
            <w:vAlign w:val="top"/>
          </w:tcPr>
          <w:p>
            <w:pPr>
              <w:spacing w:line="440" w:lineRule="exact"/>
              <w:jc w:val="center"/>
              <w:rPr>
                <w:rFonts w:hint="default" w:ascii="仿宋" w:hAnsi="仿宋" w:eastAsia="仿宋"/>
                <w:b w:val="0"/>
                <w:bCs w:val="0"/>
                <w:lang w:val="en-US" w:eastAsia="zh-CN"/>
              </w:rPr>
            </w:pPr>
            <w:r>
              <w:rPr>
                <w:rFonts w:hint="eastAsia" w:ascii="仿宋" w:hAnsi="仿宋" w:eastAsia="仿宋"/>
                <w:lang w:val="en-US" w:eastAsia="zh-CN"/>
              </w:rPr>
              <w:t>11.25万元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项目支出：</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、业务工作专项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、运行维护专项</w:t>
            </w:r>
          </w:p>
        </w:tc>
        <w:tc>
          <w:tcPr>
            <w:tcW w:w="2181" w:type="dxa"/>
            <w:tcBorders>
              <w:left w:val="nil"/>
            </w:tcBorders>
            <w:vAlign w:val="top"/>
          </w:tcPr>
          <w:p>
            <w:pPr>
              <w:spacing w:line="440" w:lineRule="exact"/>
              <w:jc w:val="center"/>
              <w:rPr>
                <w:rFonts w:hint="default" w:ascii="仿宋" w:hAnsi="仿宋" w:eastAsia="仿宋" w:cs="Times New Roman"/>
                <w:kern w:val="2"/>
                <w:sz w:val="21"/>
                <w:szCs w:val="24"/>
                <w:lang w:val="en-US" w:eastAsia="zh-CN" w:bidi="ar-SA"/>
              </w:rPr>
            </w:pPr>
          </w:p>
        </w:tc>
        <w:tc>
          <w:tcPr>
            <w:tcW w:w="2292" w:type="dxa"/>
            <w:tcBorders>
              <w:left w:val="nil"/>
            </w:tcBorders>
            <w:vAlign w:val="top"/>
          </w:tcPr>
          <w:p>
            <w:pPr>
              <w:spacing w:line="440" w:lineRule="exact"/>
              <w:jc w:val="center"/>
              <w:rPr>
                <w:rFonts w:hint="default" w:ascii="仿宋" w:hAnsi="仿宋" w:eastAsia="仿宋" w:cs="Times New Roman"/>
                <w:kern w:val="2"/>
                <w:sz w:val="21"/>
                <w:szCs w:val="24"/>
                <w:lang w:val="en-US" w:eastAsia="zh-CN" w:bidi="ar-SA"/>
              </w:rPr>
            </w:pPr>
          </w:p>
        </w:tc>
        <w:tc>
          <w:tcPr>
            <w:tcW w:w="2244" w:type="dxa"/>
            <w:tcBorders>
              <w:left w:val="nil"/>
            </w:tcBorders>
            <w:vAlign w:val="top"/>
          </w:tcPr>
          <w:p>
            <w:pPr>
              <w:spacing w:line="440" w:lineRule="exact"/>
              <w:jc w:val="center"/>
              <w:rPr>
                <w:rFonts w:hint="default" w:ascii="仿宋" w:hAnsi="仿宋" w:eastAsia="仿宋" w:cs="Times New Roman"/>
                <w:kern w:val="2"/>
                <w:sz w:val="21"/>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w:t>
            </w:r>
            <w:r>
              <w:rPr>
                <w:rFonts w:ascii="宋体" w:cs="宋体"/>
              </w:rPr>
              <w:t> </w:t>
            </w:r>
            <w:r>
              <w:rPr>
                <w:rFonts w:hint="eastAsia" w:ascii="仿宋" w:hAnsi="仿宋" w:eastAsia="仿宋"/>
              </w:rPr>
              <w:t>…</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公用经费</w:t>
            </w:r>
          </w:p>
        </w:tc>
        <w:tc>
          <w:tcPr>
            <w:tcW w:w="2181" w:type="dxa"/>
            <w:tcBorders>
              <w:left w:val="nil"/>
            </w:tcBorders>
            <w:vAlign w:val="top"/>
          </w:tcPr>
          <w:p>
            <w:pPr>
              <w:spacing w:line="440" w:lineRule="exact"/>
              <w:jc w:val="center"/>
              <w:rPr>
                <w:rFonts w:hint="default" w:ascii="仿宋" w:hAnsi="仿宋" w:eastAsia="仿宋" w:cs="Times New Roman"/>
                <w:kern w:val="2"/>
                <w:sz w:val="21"/>
                <w:szCs w:val="24"/>
                <w:lang w:val="en-US" w:eastAsia="zh-CN" w:bidi="ar-SA"/>
              </w:rPr>
            </w:pPr>
            <w:r>
              <w:rPr>
                <w:rFonts w:hint="eastAsia" w:ascii="仿宋" w:hAnsi="仿宋" w:eastAsia="仿宋"/>
                <w:lang w:val="en-US" w:eastAsia="zh-CN"/>
              </w:rPr>
              <w:t>183.9万元</w:t>
            </w:r>
          </w:p>
        </w:tc>
        <w:tc>
          <w:tcPr>
            <w:tcW w:w="2292" w:type="dxa"/>
            <w:tcBorders>
              <w:left w:val="nil"/>
            </w:tcBorders>
            <w:vAlign w:val="top"/>
          </w:tcPr>
          <w:p>
            <w:pPr>
              <w:spacing w:line="440" w:lineRule="exact"/>
              <w:jc w:val="center"/>
              <w:rPr>
                <w:rFonts w:hint="default" w:ascii="仿宋" w:hAnsi="仿宋" w:eastAsia="仿宋" w:cs="Times New Roman"/>
                <w:kern w:val="2"/>
                <w:sz w:val="21"/>
                <w:szCs w:val="24"/>
                <w:lang w:val="en-US" w:eastAsia="zh-CN" w:bidi="ar-SA"/>
              </w:rPr>
            </w:pPr>
            <w:r>
              <w:rPr>
                <w:rFonts w:hint="eastAsia" w:ascii="仿宋" w:hAnsi="仿宋" w:eastAsia="仿宋"/>
                <w:lang w:val="en-US" w:eastAsia="zh-CN"/>
              </w:rPr>
              <w:t>200万元</w:t>
            </w:r>
          </w:p>
        </w:tc>
        <w:tc>
          <w:tcPr>
            <w:tcW w:w="2244" w:type="dxa"/>
            <w:tcBorders>
              <w:left w:val="nil"/>
            </w:tcBorders>
            <w:vAlign w:val="top"/>
          </w:tcPr>
          <w:p>
            <w:pPr>
              <w:spacing w:line="440" w:lineRule="exact"/>
              <w:jc w:val="center"/>
              <w:rPr>
                <w:rFonts w:hint="default" w:ascii="仿宋" w:hAnsi="仿宋" w:eastAsia="仿宋" w:cs="Times New Roman"/>
                <w:kern w:val="2"/>
                <w:sz w:val="21"/>
                <w:szCs w:val="24"/>
                <w:lang w:val="en-US" w:eastAsia="zh-CN" w:bidi="ar-SA"/>
              </w:rPr>
            </w:pPr>
            <w:r>
              <w:rPr>
                <w:rFonts w:hint="eastAsia" w:ascii="仿宋" w:hAnsi="仿宋" w:eastAsia="仿宋"/>
                <w:lang w:val="en-US" w:eastAsia="zh-CN"/>
              </w:rPr>
              <w:t>203.36万元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其中：办公经费</w:t>
            </w:r>
          </w:p>
        </w:tc>
        <w:tc>
          <w:tcPr>
            <w:tcW w:w="2181" w:type="dxa"/>
            <w:tcBorders>
              <w:left w:val="nil"/>
            </w:tcBorders>
            <w:vAlign w:val="top"/>
          </w:tcPr>
          <w:p>
            <w:pPr>
              <w:spacing w:line="440" w:lineRule="exact"/>
              <w:jc w:val="center"/>
              <w:rPr>
                <w:rFonts w:hint="default" w:ascii="仿宋" w:hAnsi="仿宋" w:eastAsia="仿宋"/>
                <w:lang w:val="en-US" w:eastAsia="zh-CN"/>
              </w:rPr>
            </w:pPr>
          </w:p>
        </w:tc>
        <w:tc>
          <w:tcPr>
            <w:tcW w:w="2292" w:type="dxa"/>
            <w:tcBorders>
              <w:left w:val="nil"/>
            </w:tcBorders>
          </w:tcPr>
          <w:p>
            <w:pPr>
              <w:spacing w:line="440" w:lineRule="exact"/>
              <w:jc w:val="center"/>
              <w:rPr>
                <w:rFonts w:hint="default" w:ascii="仿宋" w:hAnsi="仿宋" w:eastAsia="仿宋"/>
                <w:lang w:val="en-US" w:eastAsia="zh-CN"/>
              </w:rPr>
            </w:pPr>
          </w:p>
        </w:tc>
        <w:tc>
          <w:tcPr>
            <w:tcW w:w="2244" w:type="dxa"/>
            <w:tcBorders>
              <w:left w:val="nil"/>
            </w:tcBorders>
            <w:vAlign w:val="top"/>
          </w:tcPr>
          <w:p>
            <w:pPr>
              <w:spacing w:line="440" w:lineRule="exact"/>
              <w:jc w:val="center"/>
              <w:rPr>
                <w:rFonts w:hint="default" w:ascii="仿宋" w:hAnsi="仿宋" w:eastAsia="仿宋"/>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水费、电费、差旅费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23.47万元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30万元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28.02万元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会议费、培训费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6.84万元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7万元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5.94万元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政府采购金额</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部门整体支出预算调整</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bl>
    <w:p>
      <w:pPr>
        <w:spacing w:line="400" w:lineRule="exact"/>
        <w:rPr>
          <w:rFonts w:hint="eastAsia" w:ascii="仿宋" w:hAnsi="仿宋" w:eastAsia="仿宋"/>
        </w:rPr>
      </w:pPr>
      <w:r>
        <w:rPr>
          <w:rFonts w:hint="eastAsia" w:ascii="仿宋" w:hAnsi="仿宋" w:eastAsia="仿宋"/>
        </w:rPr>
        <w:t>说明：“项目支出”需要填报除专项资金和基本支出以外的所有项目情况，包括业务工作项目、运行维护项目等；“公用经费”填报基本支出中的一般商品和服务支出。</w:t>
      </w: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600" w:lineRule="exact"/>
        <w:rPr>
          <w:rFonts w:eastAsia="黑体"/>
          <w:sz w:val="32"/>
          <w:szCs w:val="32"/>
        </w:rPr>
      </w:pPr>
      <w:r>
        <w:rPr>
          <w:rFonts w:hint="eastAsia" w:eastAsia="黑体"/>
          <w:sz w:val="32"/>
          <w:szCs w:val="32"/>
        </w:rPr>
        <w:t>附件</w:t>
      </w:r>
      <w:r>
        <w:rPr>
          <w:rFonts w:eastAsia="黑体"/>
          <w:sz w:val="32"/>
          <w:szCs w:val="32"/>
        </w:rPr>
        <w:t>4-1</w:t>
      </w:r>
    </w:p>
    <w:p>
      <w:pPr>
        <w:spacing w:line="400" w:lineRule="exact"/>
        <w:rPr>
          <w:rFonts w:eastAsia="黑体"/>
          <w:sz w:val="32"/>
          <w:szCs w:val="32"/>
        </w:rPr>
      </w:pPr>
    </w:p>
    <w:p>
      <w:pPr>
        <w:spacing w:afterLines="50" w:line="400" w:lineRule="exact"/>
        <w:jc w:val="center"/>
        <w:rPr>
          <w:rFonts w:eastAsia="方正小标宋_GBK"/>
          <w:bCs/>
          <w:sz w:val="36"/>
          <w:szCs w:val="36"/>
        </w:rPr>
      </w:pPr>
      <w:r>
        <w:rPr>
          <w:rFonts w:hint="eastAsia" w:eastAsia="方正小标宋_GBK"/>
          <w:bCs/>
          <w:sz w:val="36"/>
          <w:szCs w:val="36"/>
        </w:rPr>
        <w:t>预算支出绩效评价共性指标体系框架</w:t>
      </w:r>
    </w:p>
    <w:tbl>
      <w:tblPr>
        <w:tblStyle w:val="5"/>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77"/>
        <w:gridCol w:w="674"/>
        <w:gridCol w:w="1071"/>
        <w:gridCol w:w="1975"/>
        <w:gridCol w:w="4482"/>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777"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674"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二级</w:t>
            </w:r>
            <w:r>
              <w:rPr>
                <w:rFonts w:ascii="仿宋_GB2312" w:eastAsia="仿宋_GB2312"/>
                <w:b/>
                <w:bCs/>
                <w:szCs w:val="21"/>
              </w:rPr>
              <w:br w:type="textWrapping"/>
            </w:r>
            <w:r>
              <w:rPr>
                <w:rFonts w:hint="eastAsia" w:ascii="仿宋_GB2312" w:eastAsia="仿宋_GB2312"/>
                <w:b/>
                <w:bCs/>
                <w:szCs w:val="21"/>
              </w:rPr>
              <w:t>指标</w:t>
            </w:r>
          </w:p>
        </w:tc>
        <w:tc>
          <w:tcPr>
            <w:tcW w:w="107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三级指标</w:t>
            </w:r>
          </w:p>
        </w:tc>
        <w:tc>
          <w:tcPr>
            <w:tcW w:w="1975"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评分及标准</w:t>
            </w:r>
          </w:p>
        </w:tc>
        <w:tc>
          <w:tcPr>
            <w:tcW w:w="4482"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指标说明</w:t>
            </w:r>
          </w:p>
        </w:tc>
        <w:tc>
          <w:tcPr>
            <w:tcW w:w="954" w:type="dxa"/>
            <w:vAlign w:val="center"/>
          </w:tcPr>
          <w:p>
            <w:pPr>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决</w:t>
            </w:r>
          </w:p>
          <w:p>
            <w:pPr>
              <w:jc w:val="center"/>
              <w:rPr>
                <w:rFonts w:ascii="仿宋_GB2312" w:eastAsia="仿宋_GB2312"/>
                <w:szCs w:val="21"/>
              </w:rPr>
            </w:pPr>
            <w:r>
              <w:rPr>
                <w:rFonts w:hint="eastAsia" w:ascii="仿宋_GB2312" w:eastAsia="仿宋_GB2312"/>
                <w:szCs w:val="21"/>
              </w:rPr>
              <w:t>策</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预算支出决策</w:t>
            </w:r>
          </w:p>
          <w:p>
            <w:pPr>
              <w:jc w:val="center"/>
              <w:rPr>
                <w:rFonts w:ascii="仿宋_GB2312" w:eastAsia="仿宋_GB2312"/>
                <w:szCs w:val="21"/>
              </w:rPr>
            </w:pPr>
            <w:r>
              <w:rPr>
                <w:rFonts w:hint="eastAsia" w:ascii="仿宋_GB2312" w:eastAsia="仿宋_GB2312"/>
                <w:szCs w:val="21"/>
              </w:rPr>
              <w:t>（项目立项）（</w:t>
            </w:r>
            <w:r>
              <w:rPr>
                <w:rFonts w:ascii="仿宋_GB2312" w:eastAsia="仿宋_GB2312"/>
                <w:szCs w:val="21"/>
              </w:rPr>
              <w:t>4</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预算支出决策（项目立项）依据</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充分性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决策（立项）是否符合国家相关法律法规、国民经济发展规划和相关政策；</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决策（立项）是否符合行业发展规划和政策要求；</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决策（立项）是否与部门职责范围相符，属于部门履职所需；</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预算支出是否属于公共财政支持范围，是否符合中央、地方事权支出责任划分原则；</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⑤</w:t>
            </w:r>
            <w:r>
              <w:rPr>
                <w:rFonts w:hint="eastAsia" w:ascii="仿宋_GB2312" w:eastAsia="仿宋_GB2312"/>
                <w:szCs w:val="21"/>
              </w:rPr>
              <w:t>预算支出是否与相关部门同类预算支出或部门内部相关预算支出重复。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5"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决策（立项）程序规范性</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1"/>
              </w:numPr>
              <w:spacing w:line="260" w:lineRule="exact"/>
              <w:ind w:firstLineChars="0"/>
              <w:rPr>
                <w:rFonts w:ascii="仿宋_GB2312" w:eastAsia="仿宋_GB2312"/>
                <w:szCs w:val="21"/>
              </w:rPr>
            </w:pPr>
            <w:r>
              <w:rPr>
                <w:rFonts w:hint="eastAsia" w:ascii="仿宋_GB2312" w:eastAsia="仿宋_GB2312"/>
                <w:szCs w:val="21"/>
              </w:rPr>
              <w:t>预算支出是否按照规定的程序申请设立；</w:t>
            </w:r>
          </w:p>
          <w:p>
            <w:pPr>
              <w:pStyle w:val="8"/>
              <w:numPr>
                <w:ilvl w:val="0"/>
                <w:numId w:val="1"/>
              </w:numPr>
              <w:spacing w:line="260" w:lineRule="exact"/>
              <w:ind w:firstLineChars="0"/>
              <w:rPr>
                <w:rFonts w:ascii="仿宋_GB2312" w:eastAsia="仿宋_GB2312"/>
                <w:szCs w:val="21"/>
              </w:rPr>
            </w:pPr>
            <w:r>
              <w:rPr>
                <w:rFonts w:hint="eastAsia" w:ascii="仿宋_GB2312" w:eastAsia="仿宋_GB2312"/>
                <w:szCs w:val="21"/>
              </w:rPr>
              <w:t>审批文件、材料是否符合相关要求；</w:t>
            </w:r>
          </w:p>
          <w:p>
            <w:pPr>
              <w:spacing w:line="260" w:lineRule="exact"/>
              <w:ind w:left="105" w:lef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事前是否已经过必要的可行性研究、专家论证、风险评估、绩效评估、集体决策。</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3"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绩效</w:t>
            </w:r>
          </w:p>
          <w:p>
            <w:pPr>
              <w:jc w:val="center"/>
              <w:rPr>
                <w:rFonts w:ascii="仿宋_GB2312" w:eastAsia="仿宋_GB2312"/>
                <w:szCs w:val="21"/>
              </w:rPr>
            </w:pPr>
            <w:r>
              <w:rPr>
                <w:rFonts w:hint="eastAsia" w:ascii="仿宋_GB2312" w:eastAsia="仿宋_GB2312"/>
                <w:szCs w:val="21"/>
              </w:rPr>
              <w:t>目标（</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绩效目标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eastAsia="仿宋_GB2312"/>
                <w:szCs w:val="21"/>
              </w:rPr>
              <w:t>（如未设定预算绩效目标，也可考核其他工作任务目标）</w:t>
            </w:r>
          </w:p>
          <w:p>
            <w:pPr>
              <w:pStyle w:val="8"/>
              <w:numPr>
                <w:ilvl w:val="0"/>
                <w:numId w:val="2"/>
              </w:numPr>
              <w:spacing w:line="260" w:lineRule="exact"/>
              <w:ind w:right="105" w:rightChars="50" w:firstLineChars="0"/>
              <w:rPr>
                <w:rFonts w:ascii="仿宋_GB2312" w:eastAsia="仿宋_GB2312"/>
                <w:szCs w:val="21"/>
              </w:rPr>
            </w:pPr>
            <w:r>
              <w:rPr>
                <w:rFonts w:hint="eastAsia" w:ascii="仿宋_GB2312" w:eastAsia="仿宋_GB2312"/>
                <w:szCs w:val="21"/>
              </w:rPr>
              <w:t>预算支出是否有绩效目标；</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预算支出绩效目标与实际工作内容是否具有相关性；</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预算支出预期产出效益和效果是否符合正常的业绩水平；是否与预算确定的预算支出投资额或资金量相匹配。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绩效指标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是否将预算支出绩效目标细化分解为具体的绩效指标；</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是否通过清晰、可衡量的指标值体现。</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是否与预算支出目标任务数相对应。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资金</w:t>
            </w:r>
          </w:p>
          <w:p>
            <w:pPr>
              <w:jc w:val="center"/>
              <w:rPr>
                <w:rFonts w:ascii="仿宋_GB2312" w:eastAsia="仿宋_GB2312"/>
                <w:szCs w:val="21"/>
              </w:rPr>
            </w:pPr>
            <w:r>
              <w:rPr>
                <w:rFonts w:hint="eastAsia" w:ascii="仿宋_GB2312" w:eastAsia="仿宋_GB2312"/>
                <w:szCs w:val="21"/>
              </w:rPr>
              <w:t>投入（</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预算编制</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科学性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3"/>
              </w:numPr>
              <w:spacing w:line="260" w:lineRule="exact"/>
              <w:ind w:right="105" w:rightChars="50" w:firstLineChars="0"/>
              <w:rPr>
                <w:rFonts w:ascii="仿宋_GB2312" w:eastAsia="仿宋_GB2312"/>
                <w:szCs w:val="21"/>
              </w:rPr>
            </w:pPr>
            <w:r>
              <w:rPr>
                <w:rFonts w:hint="eastAsia" w:ascii="仿宋_GB2312" w:eastAsia="仿宋_GB2312"/>
                <w:szCs w:val="21"/>
              </w:rPr>
              <w:t>预算编制是否经过科学论证；</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预算内容与支出内容是否匹配；</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预算额度测算依据是否充分，是否按照标准编制；</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预算确定的预算支出投资额或资金量是否与工作任务相匹配</w:t>
            </w:r>
            <w:r>
              <w:rPr>
                <w:rFonts w:ascii="仿宋_GB2312" w:eastAsia="仿宋_GB2312"/>
                <w:szCs w:val="21"/>
              </w:rPr>
              <w:t>1</w:t>
            </w:r>
            <w:r>
              <w:rPr>
                <w:rFonts w:hint="eastAsia" w:ascii="仿宋_GB2312" w:eastAsia="仿宋_GB2312"/>
                <w:szCs w:val="21"/>
              </w:rPr>
              <w:t>分。</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资金分配</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4"/>
              </w:numPr>
              <w:spacing w:line="260" w:lineRule="exact"/>
              <w:ind w:right="105" w:rightChars="50" w:firstLineChars="0"/>
              <w:rPr>
                <w:rFonts w:ascii="仿宋_GB2312" w:eastAsia="仿宋_GB2312"/>
                <w:szCs w:val="21"/>
              </w:rPr>
            </w:pPr>
            <w:r>
              <w:rPr>
                <w:rFonts w:hint="eastAsia" w:ascii="仿宋_GB2312" w:eastAsia="仿宋_GB2312"/>
                <w:szCs w:val="21"/>
              </w:rPr>
              <w:t>预算资金分配依据是否充分；</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资金分配额度是否合理，与项目实施单位或地方实际是否相适应。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2" w:hRule="atLeast"/>
          <w:jc w:val="center"/>
        </w:trPr>
        <w:tc>
          <w:tcPr>
            <w:tcW w:w="777" w:type="dxa"/>
            <w:vMerge w:val="restart"/>
            <w:vAlign w:val="center"/>
          </w:tcPr>
          <w:p>
            <w:pPr>
              <w:jc w:val="center"/>
              <w:rPr>
                <w:rFonts w:ascii="仿宋_GB2312" w:eastAsia="仿宋_GB2312"/>
                <w:szCs w:val="21"/>
              </w:rPr>
            </w:pPr>
            <w:r>
              <w:rPr>
                <w:rFonts w:hint="eastAsia" w:ascii="仿宋_GB2312" w:eastAsia="仿宋_GB2312"/>
                <w:szCs w:val="21"/>
              </w:rPr>
              <w:t>过</w:t>
            </w: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资金</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到位率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w:t>
            </w:r>
            <w:r>
              <w:rPr>
                <w:rFonts w:hint="eastAsia" w:ascii="仿宋_GB2312" w:eastAsia="仿宋_GB2312"/>
                <w:szCs w:val="21"/>
              </w:rPr>
              <w:t>预算资金）×</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实际到位资金：一定时期（本年度或预算支出期）内落实到具体预算支出的资金。</w:t>
            </w:r>
            <w:r>
              <w:rPr>
                <w:rFonts w:ascii="仿宋_GB2312" w:eastAsia="仿宋_GB2312"/>
                <w:szCs w:val="21"/>
              </w:rPr>
              <w:br w:type="textWrapping"/>
            </w:r>
            <w:r>
              <w:rPr>
                <w:rFonts w:hint="eastAsia" w:ascii="仿宋_GB2312" w:eastAsia="仿宋_GB2312"/>
                <w:szCs w:val="21"/>
              </w:rPr>
              <w:t>预算资金：一定时期（本年度或预算支出期）内预算安排到具体预算支出的资金。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jc w:val="center"/>
        </w:trPr>
        <w:tc>
          <w:tcPr>
            <w:tcW w:w="777" w:type="dxa"/>
            <w:vMerge w:val="continue"/>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（实际支出资金</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100%</w:t>
            </w:r>
            <w:r>
              <w:rPr>
                <w:rFonts w:hint="eastAsia" w:ascii="仿宋_GB2312" w:eastAsia="仿宋_GB2312"/>
                <w:szCs w:val="21"/>
              </w:rPr>
              <w:t>。</w:t>
            </w:r>
          </w:p>
          <w:p>
            <w:pPr>
              <w:spacing w:line="260" w:lineRule="exact"/>
              <w:ind w:left="105" w:leftChars="50" w:right="105" w:rightChars="50"/>
              <w:rPr>
                <w:rFonts w:ascii="仿宋_GB2312" w:eastAsia="仿宋_GB2312"/>
                <w:szCs w:val="21"/>
              </w:rPr>
            </w:pPr>
            <w:r>
              <w:rPr>
                <w:rFonts w:hint="eastAsia" w:ascii="仿宋_GB2312" w:eastAsia="仿宋_GB2312"/>
                <w:szCs w:val="21"/>
              </w:rPr>
              <w:t>实际支出资金：一定时期（本年度或预算支出期）内预算支出实际拨付的资金。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jc w:val="cente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资金使用</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是否符合国家财经法规和财务管理制度以及有关专项资金管理办法的规定；</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是否符合预算支出预算批复或合同规定的用途；</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是否存在截留、挤占、挪用、虐列支出等情况。</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组织</w:t>
            </w:r>
          </w:p>
          <w:p>
            <w:pPr>
              <w:jc w:val="center"/>
              <w:rPr>
                <w:rFonts w:ascii="仿宋_GB2312" w:eastAsia="仿宋_GB2312"/>
                <w:szCs w:val="21"/>
              </w:rPr>
            </w:pPr>
            <w:r>
              <w:rPr>
                <w:rFonts w:hint="eastAsia" w:ascii="仿宋_GB2312" w:eastAsia="仿宋_GB2312"/>
                <w:szCs w:val="21"/>
              </w:rPr>
              <w:t>实施（</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管理制度</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是否已制定或具有相应的业务管理制度；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财务和业务管理制度是否合法、合规、完整。</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制度执行</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有效性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是否遵守相关法律法规和相关管理规定；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预算支出调整及支出调整手续是否完备；</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预算支出合同书、验收报告、技术鉴定等资料是否齐全并及时归档；</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预算支出实施的人员条件、场地设备、信息支撑等是否落实到位。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1"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w:t>
            </w:r>
            <w:r>
              <w:rPr>
                <w:rFonts w:ascii="仿宋_GB2312" w:eastAsia="仿宋_GB2312"/>
                <w:szCs w:val="21"/>
              </w:rPr>
              <w:t xml:space="preserve">   </w:t>
            </w:r>
          </w:p>
          <w:p>
            <w:pPr>
              <w:jc w:val="center"/>
              <w:rPr>
                <w:rFonts w:ascii="仿宋_GB2312" w:eastAsia="仿宋_GB2312"/>
                <w:szCs w:val="21"/>
              </w:rPr>
            </w:pP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数量（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实际</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w:t>
            </w:r>
            <w:r>
              <w:rPr>
                <w:rFonts w:hint="eastAsia" w:ascii="仿宋_GB2312" w:eastAsia="仿宋_GB2312"/>
                <w:szCs w:val="21"/>
              </w:rPr>
              <w:t>计划产出数）×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实际产出数：一定时期（本年度或预算支出期）内预算支出实际产出的产品或提供的服务数量。</w:t>
            </w:r>
            <w:r>
              <w:rPr>
                <w:rFonts w:ascii="仿宋_GB2312" w:eastAsia="仿宋_GB2312"/>
                <w:szCs w:val="21"/>
              </w:rPr>
              <w:br w:type="textWrapping"/>
            </w:r>
            <w:r>
              <w:rPr>
                <w:rFonts w:hint="eastAsia" w:ascii="仿宋_GB2312" w:eastAsia="仿宋_GB2312"/>
                <w:szCs w:val="21"/>
              </w:rPr>
              <w:t>计划产出数：预算支出绩效目标确定的在一定时期（本年度或预算支出期）内计划产出的产品或提供的服务数量。</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质量（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质量</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（质量达标产出数</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产出数：一定时期（本年度或预算支出期）内实际达到既定质量标准的产品或服务数量。既定质量标准是指预算支出实施单位设立绩效目标时依据计划标准、行业标准、历史标准或其他标准而设定的绩效指标值。</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5" w:hRule="atLeast"/>
          <w:jc w:val="center"/>
        </w:trPr>
        <w:tc>
          <w:tcPr>
            <w:tcW w:w="777" w:type="dxa"/>
            <w:vMerge w:val="continue"/>
            <w:vAlign w:val="center"/>
          </w:tcPr>
          <w:p>
            <w:pPr>
              <w:rPr>
                <w:rFonts w:ascii="仿宋_GB2312" w:eastAsia="仿宋_GB2312"/>
                <w:szCs w:val="21"/>
              </w:rPr>
            </w:pPr>
          </w:p>
        </w:tc>
        <w:tc>
          <w:tcPr>
            <w:tcW w:w="674" w:type="dxa"/>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时效（</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及时性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分，超过</w:t>
            </w:r>
            <w:r>
              <w:rPr>
                <w:rFonts w:ascii="仿宋_GB2312" w:eastAsia="仿宋_GB2312"/>
                <w:szCs w:val="21"/>
              </w:rPr>
              <w:t>30%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实际完成时间：预算支出实施单位完成该预算支出实际所耗用的时间。</w:t>
            </w:r>
            <w:r>
              <w:rPr>
                <w:rFonts w:ascii="仿宋_GB2312" w:eastAsia="仿宋_GB2312"/>
                <w:szCs w:val="21"/>
              </w:rPr>
              <w:br w:type="textWrapping"/>
            </w:r>
            <w:r>
              <w:rPr>
                <w:rFonts w:hint="eastAsia" w:ascii="仿宋_GB2312" w:eastAsia="仿宋_GB2312"/>
                <w:szCs w:val="21"/>
              </w:rPr>
              <w:t>计划完成时间：按照预算支出实施计划或相关规定完成该预算支出所需的时间。</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bl>
    <w:p>
      <w:pPr>
        <w:widowControl/>
        <w:spacing w:line="600" w:lineRule="exact"/>
        <w:jc w:val="left"/>
        <w:rPr>
          <w:rFonts w:eastAsia="黑体"/>
          <w:sz w:val="32"/>
          <w:szCs w:val="32"/>
        </w:rPr>
      </w:pPr>
      <w:r>
        <w:rPr>
          <w:rFonts w:hint="eastAsia" w:eastAsia="黑体"/>
          <w:sz w:val="32"/>
          <w:szCs w:val="32"/>
        </w:rPr>
        <w:t>附件</w:t>
      </w:r>
      <w:r>
        <w:rPr>
          <w:rFonts w:eastAsia="黑体"/>
          <w:sz w:val="32"/>
          <w:szCs w:val="32"/>
        </w:rPr>
        <w:t>4-2</w:t>
      </w:r>
    </w:p>
    <w:tbl>
      <w:tblPr>
        <w:tblStyle w:val="5"/>
        <w:tblW w:w="9999" w:type="dxa"/>
        <w:jc w:val="center"/>
        <w:tblLayout w:type="autofit"/>
        <w:tblCellMar>
          <w:top w:w="0" w:type="dxa"/>
          <w:left w:w="108" w:type="dxa"/>
          <w:bottom w:w="0" w:type="dxa"/>
          <w:right w:w="108" w:type="dxa"/>
        </w:tblCellMar>
      </w:tblPr>
      <w:tblGrid>
        <w:gridCol w:w="1135"/>
        <w:gridCol w:w="992"/>
        <w:gridCol w:w="1261"/>
        <w:gridCol w:w="1224"/>
        <w:gridCol w:w="1134"/>
        <w:gridCol w:w="1134"/>
        <w:gridCol w:w="828"/>
        <w:gridCol w:w="873"/>
        <w:gridCol w:w="1418"/>
      </w:tblGrid>
      <w:tr>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noWrap/>
            <w:vAlign w:val="center"/>
          </w:tcPr>
          <w:p>
            <w:pPr>
              <w:widowControl/>
              <w:spacing w:line="400" w:lineRule="exact"/>
              <w:jc w:val="center"/>
              <w:rPr>
                <w:rFonts w:eastAsia="方正小标宋_GBK"/>
                <w:color w:val="000000"/>
                <w:kern w:val="0"/>
                <w:sz w:val="36"/>
                <w:szCs w:val="36"/>
              </w:rPr>
            </w:pPr>
            <w:r>
              <w:rPr>
                <w:rFonts w:hint="eastAsia" w:eastAsia="方正小标宋_GBK"/>
                <w:color w:val="000000"/>
                <w:kern w:val="0"/>
                <w:sz w:val="36"/>
                <w:szCs w:val="36"/>
              </w:rPr>
              <w:t>预算支出绩效自评表</w:t>
            </w:r>
          </w:p>
        </w:tc>
      </w:tr>
      <w:tr>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noWrap/>
            <w:vAlign w:val="center"/>
          </w:tcPr>
          <w:p>
            <w:pPr>
              <w:widowControl/>
              <w:spacing w:line="320" w:lineRule="exact"/>
              <w:jc w:val="center"/>
              <w:rPr>
                <w:color w:val="000000"/>
                <w:kern w:val="0"/>
                <w:sz w:val="22"/>
              </w:rPr>
            </w:pPr>
            <w:r>
              <w:rPr>
                <w:rFonts w:hint="eastAsia"/>
                <w:color w:val="000000"/>
                <w:kern w:val="0"/>
                <w:sz w:val="22"/>
              </w:rPr>
              <w:t>（</w:t>
            </w:r>
            <w:r>
              <w:rPr>
                <w:color w:val="000000"/>
                <w:kern w:val="0"/>
                <w:sz w:val="22"/>
              </w:rPr>
              <w:t xml:space="preserve">  </w:t>
            </w:r>
            <w:r>
              <w:rPr>
                <w:rFonts w:hint="eastAsia"/>
                <w:color w:val="000000"/>
                <w:kern w:val="0"/>
                <w:sz w:val="22"/>
                <w:lang w:val="en-US" w:eastAsia="zh-CN"/>
              </w:rPr>
              <w:t>2020</w:t>
            </w:r>
            <w:r>
              <w:rPr>
                <w:color w:val="000000"/>
                <w:kern w:val="0"/>
                <w:sz w:val="22"/>
              </w:rPr>
              <w:t xml:space="preserve"> </w:t>
            </w:r>
            <w:r>
              <w:rPr>
                <w:rFonts w:hint="eastAsia"/>
                <w:color w:val="000000"/>
                <w:kern w:val="0"/>
                <w:sz w:val="22"/>
              </w:rPr>
              <w:t>年度）</w:t>
            </w:r>
          </w:p>
        </w:tc>
      </w:tr>
      <w:tr>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项目支</w:t>
            </w:r>
          </w:p>
          <w:p>
            <w:pPr>
              <w:widowControl/>
              <w:spacing w:line="320" w:lineRule="exact"/>
              <w:jc w:val="center"/>
              <w:rPr>
                <w:rFonts w:eastAsia="仿宋_GB2312"/>
                <w:color w:val="000000"/>
                <w:kern w:val="0"/>
                <w:szCs w:val="21"/>
              </w:rPr>
            </w:pPr>
            <w:r>
              <w:rPr>
                <w:rFonts w:hint="eastAsia"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2020年度部门整体支出　　</w:t>
            </w:r>
          </w:p>
        </w:tc>
      </w:tr>
      <w:tr>
        <w:tblPrEx>
          <w:tblCellMar>
            <w:top w:w="0" w:type="dxa"/>
            <w:left w:w="108" w:type="dxa"/>
            <w:bottom w:w="0" w:type="dxa"/>
            <w:right w:w="108" w:type="dxa"/>
          </w:tblCellMar>
        </w:tblPrEx>
        <w:trPr>
          <w:trHeight w:val="340"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主管部门</w:t>
            </w:r>
          </w:p>
        </w:tc>
        <w:tc>
          <w:tcPr>
            <w:tcW w:w="4611"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项目资金</w:t>
            </w:r>
            <w:r>
              <w:rPr>
                <w:rFonts w:eastAsia="仿宋_GB2312"/>
                <w:color w:val="000000"/>
                <w:kern w:val="0"/>
                <w:szCs w:val="21"/>
              </w:rPr>
              <w:br w:type="textWrapping"/>
            </w:r>
            <w:r>
              <w:rPr>
                <w:rFonts w:hint="eastAsia" w:eastAsia="仿宋_GB2312"/>
                <w:color w:val="000000"/>
                <w:kern w:val="0"/>
                <w:szCs w:val="21"/>
              </w:rPr>
              <w:t>（万元）</w:t>
            </w: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年初预算数</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全年预算数</w:t>
            </w:r>
          </w:p>
        </w:tc>
        <w:tc>
          <w:tcPr>
            <w:tcW w:w="1134"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全年执行数</w:t>
            </w:r>
          </w:p>
        </w:tc>
        <w:tc>
          <w:tcPr>
            <w:tcW w:w="82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分值</w:t>
            </w:r>
          </w:p>
        </w:tc>
        <w:tc>
          <w:tcPr>
            <w:tcW w:w="873"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执行率</w:t>
            </w:r>
          </w:p>
        </w:tc>
        <w:tc>
          <w:tcPr>
            <w:tcW w:w="141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得分</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年度资金总额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914.18</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931.61</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931.61</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102%</w:t>
            </w:r>
          </w:p>
        </w:tc>
        <w:tc>
          <w:tcPr>
            <w:tcW w:w="1418"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其中：当年财政拨款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914.18</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1069.29</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1069.29</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117%</w:t>
            </w:r>
          </w:p>
        </w:tc>
        <w:tc>
          <w:tcPr>
            <w:tcW w:w="141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上年结转资金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ascii="Times New Roman" w:hAnsi="Times New Roman" w:eastAsia="仿宋_GB2312" w:cs="Times New Roman"/>
                <w:color w:val="000000"/>
                <w:kern w:val="0"/>
                <w:sz w:val="21"/>
                <w:szCs w:val="21"/>
                <w:lang w:val="en-US" w:eastAsia="zh-CN" w:bidi="ar-SA"/>
              </w:rPr>
            </w:pP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其他资金</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年度总</w:t>
            </w:r>
          </w:p>
          <w:p>
            <w:pPr>
              <w:widowControl/>
              <w:spacing w:line="320" w:lineRule="exact"/>
              <w:jc w:val="center"/>
              <w:rPr>
                <w:rFonts w:eastAsia="仿宋_GB2312"/>
                <w:color w:val="000000"/>
                <w:kern w:val="0"/>
                <w:szCs w:val="21"/>
              </w:rPr>
            </w:pPr>
            <w:r>
              <w:rPr>
                <w:rFonts w:hint="eastAsia" w:eastAsia="仿宋_GB2312"/>
                <w:color w:val="000000"/>
                <w:kern w:val="0"/>
                <w:szCs w:val="21"/>
              </w:rPr>
              <w:t>体目标</w:t>
            </w: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预期目标</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实际完成情况　</w:t>
            </w:r>
          </w:p>
        </w:tc>
      </w:tr>
      <w:tr>
        <w:tblPrEx>
          <w:tblCellMar>
            <w:top w:w="0" w:type="dxa"/>
            <w:left w:w="108" w:type="dxa"/>
            <w:bottom w:w="0" w:type="dxa"/>
            <w:right w:w="108" w:type="dxa"/>
          </w:tblCellMar>
        </w:tblPrEx>
        <w:trPr>
          <w:trHeight w:val="715" w:hRule="atLeast"/>
          <w:jc w:val="center"/>
        </w:trPr>
        <w:tc>
          <w:tcPr>
            <w:tcW w:w="1135"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4611" w:type="dxa"/>
            <w:gridSpan w:val="4"/>
            <w:tcBorders>
              <w:top w:val="single" w:color="auto" w:sz="4" w:space="0"/>
              <w:left w:val="nil"/>
              <w:bottom w:val="single" w:color="auto"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hint="default" w:ascii="Times New Roman" w:hAnsi="Times New Roman" w:cs="Times New Roman"/>
                <w:i w:val="0"/>
                <w:iCs w:val="0"/>
                <w:caps w:val="0"/>
                <w:color w:val="3D3D3D"/>
                <w:spacing w:val="0"/>
                <w:sz w:val="27"/>
                <w:szCs w:val="27"/>
              </w:rPr>
            </w:pPr>
            <w:r>
              <w:rPr>
                <w:rFonts w:ascii="仿宋" w:hAnsi="仿宋" w:eastAsia="仿宋" w:cs="仿宋"/>
                <w:i w:val="0"/>
                <w:iCs w:val="0"/>
                <w:caps w:val="0"/>
                <w:color w:val="000000"/>
                <w:spacing w:val="0"/>
                <w:kern w:val="0"/>
                <w:sz w:val="21"/>
                <w:szCs w:val="21"/>
                <w:shd w:val="clear" w:fill="FFFFFF"/>
                <w:vertAlign w:val="baseline"/>
                <w:lang w:val="en-US" w:eastAsia="zh-CN" w:bidi="ar"/>
              </w:rPr>
              <w:t>目标</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1：贯彻执行规划建设，基础设施建设，稳定和完善农村基本经营管理，全面实施乡政府各项决策部署，确保各项工作目标任务圆满完成。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目标2：计划完成三公经费支出预算金额的100%</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目标3：</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严格把控财政资金的用途</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eastAsia="仿宋_GB2312"/>
                <w:color w:val="000000"/>
                <w:kern w:val="0"/>
                <w:szCs w:val="21"/>
              </w:rPr>
            </w:pP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目标4：计划完成基本支出预算金额的100%</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　</w:t>
            </w:r>
            <w:r>
              <w:rPr>
                <w:rFonts w:hint="eastAsia" w:eastAsia="仿宋_GB2312"/>
                <w:color w:val="000000"/>
                <w:kern w:val="0"/>
                <w:szCs w:val="21"/>
              </w:rPr>
              <w:t>　　</w:t>
            </w:r>
          </w:p>
        </w:tc>
        <w:tc>
          <w:tcPr>
            <w:tcW w:w="4253"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left"/>
              <w:rPr>
                <w:rFonts w:hint="default" w:ascii="Times New Roman" w:hAnsi="Times New Roman" w:cs="Times New Roman"/>
                <w:i w:val="0"/>
                <w:iCs w:val="0"/>
                <w:caps w:val="0"/>
                <w:color w:val="3D3D3D"/>
                <w:spacing w:val="0"/>
                <w:sz w:val="27"/>
                <w:szCs w:val="27"/>
              </w:rPr>
            </w:pPr>
            <w:r>
              <w:rPr>
                <w:rFonts w:hint="eastAsia" w:eastAsia="仿宋_GB2312"/>
                <w:color w:val="000000"/>
                <w:kern w:val="0"/>
                <w:szCs w:val="21"/>
              </w:rPr>
              <w:t>　</w:t>
            </w:r>
            <w:r>
              <w:rPr>
                <w:rFonts w:ascii="仿宋" w:hAnsi="仿宋" w:eastAsia="仿宋" w:cs="仿宋"/>
                <w:i w:val="0"/>
                <w:iCs w:val="0"/>
                <w:caps w:val="0"/>
                <w:color w:val="000000"/>
                <w:spacing w:val="0"/>
                <w:kern w:val="0"/>
                <w:sz w:val="21"/>
                <w:szCs w:val="21"/>
                <w:shd w:val="clear" w:fill="FFFFFF"/>
                <w:vertAlign w:val="baseline"/>
                <w:lang w:val="en-US" w:eastAsia="zh-CN" w:bidi="ar"/>
              </w:rPr>
              <w:t>1</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w:t>
            </w:r>
            <w:r>
              <w:rPr>
                <w:rFonts w:hint="eastAsia" w:ascii="仿宋" w:hAnsi="仿宋" w:eastAsia="仿宋" w:cs="仿宋"/>
                <w:i w:val="0"/>
                <w:iCs w:val="0"/>
                <w:caps w:val="0"/>
                <w:color w:val="auto"/>
                <w:spacing w:val="0"/>
                <w:kern w:val="0"/>
                <w:sz w:val="21"/>
                <w:szCs w:val="21"/>
                <w:shd w:val="clear" w:fill="FFFFFF"/>
                <w:vertAlign w:val="baseline"/>
                <w:lang w:val="en-US" w:eastAsia="zh-CN" w:bidi="ar"/>
              </w:rPr>
              <w:t>实现了乡政府正常运转，各职能部门正常履职，对负责的社会事务加强管理，确保了各项决策部署全面落实，以实现全乡和谐发展、社会稳定。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210"/>
              <w:jc w:val="left"/>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auto"/>
                <w:spacing w:val="0"/>
                <w:kern w:val="0"/>
                <w:sz w:val="21"/>
                <w:szCs w:val="21"/>
                <w:shd w:val="clear" w:fill="FFFFFF"/>
                <w:vertAlign w:val="baseline"/>
                <w:lang w:val="en-US" w:eastAsia="zh-CN" w:bidi="ar"/>
              </w:rPr>
              <w:t>2、按计划完成三公经费支出预算达100%。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210"/>
              <w:jc w:val="left"/>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auto"/>
                <w:spacing w:val="0"/>
                <w:kern w:val="0"/>
                <w:sz w:val="21"/>
                <w:szCs w:val="21"/>
                <w:shd w:val="clear" w:fill="FFFFFF"/>
                <w:vertAlign w:val="baseline"/>
                <w:lang w:val="en-US" w:eastAsia="zh-CN" w:bidi="ar"/>
              </w:rPr>
              <w:t>3、按照财政资金使用用途和目的，健全了资金管理制度，认真执行年初预算资金计划，账务核算及时规范。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210"/>
              <w:jc w:val="left"/>
              <w:rPr>
                <w:rFonts w:eastAsia="仿宋_GB2312"/>
                <w:color w:val="000000"/>
                <w:kern w:val="0"/>
                <w:szCs w:val="21"/>
              </w:rPr>
            </w:pPr>
            <w:r>
              <w:rPr>
                <w:rFonts w:hint="eastAsia" w:ascii="仿宋" w:hAnsi="仿宋" w:eastAsia="仿宋" w:cs="仿宋"/>
                <w:i w:val="0"/>
                <w:iCs w:val="0"/>
                <w:caps w:val="0"/>
                <w:color w:val="auto"/>
                <w:spacing w:val="0"/>
                <w:kern w:val="0"/>
                <w:sz w:val="21"/>
                <w:szCs w:val="21"/>
                <w:shd w:val="clear" w:fill="FFFFFF"/>
                <w:vertAlign w:val="baseline"/>
                <w:lang w:val="en-US" w:eastAsia="zh-CN" w:bidi="ar"/>
              </w:rPr>
              <w:t>4、按计划完成基本支出预算金额达100%。</w:t>
            </w:r>
          </w:p>
        </w:tc>
      </w:tr>
      <w:tr>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绩</w:t>
            </w:r>
          </w:p>
          <w:p>
            <w:pPr>
              <w:widowControl/>
              <w:spacing w:line="320" w:lineRule="exact"/>
              <w:jc w:val="center"/>
              <w:rPr>
                <w:rFonts w:eastAsia="仿宋_GB2312"/>
                <w:color w:val="000000"/>
                <w:kern w:val="0"/>
                <w:szCs w:val="21"/>
              </w:rPr>
            </w:pPr>
            <w:r>
              <w:rPr>
                <w:rFonts w:hint="eastAsia" w:eastAsia="仿宋_GB2312"/>
                <w:color w:val="000000"/>
                <w:kern w:val="0"/>
                <w:szCs w:val="21"/>
              </w:rPr>
              <w:t>效</w:t>
            </w:r>
          </w:p>
          <w:p>
            <w:pPr>
              <w:widowControl/>
              <w:spacing w:line="320" w:lineRule="exact"/>
              <w:jc w:val="center"/>
              <w:rPr>
                <w:rFonts w:eastAsia="仿宋_GB2312"/>
                <w:color w:val="000000"/>
                <w:kern w:val="0"/>
                <w:szCs w:val="21"/>
              </w:rPr>
            </w:pPr>
            <w:r>
              <w:rPr>
                <w:rFonts w:hint="eastAsia" w:eastAsia="仿宋_GB2312"/>
                <w:color w:val="000000"/>
                <w:kern w:val="0"/>
                <w:szCs w:val="21"/>
              </w:rPr>
              <w:t>指</w:t>
            </w:r>
          </w:p>
          <w:p>
            <w:pPr>
              <w:widowControl/>
              <w:spacing w:line="320" w:lineRule="exact"/>
              <w:jc w:val="center"/>
              <w:rPr>
                <w:rFonts w:eastAsia="仿宋_GB2312"/>
                <w:color w:val="000000"/>
                <w:kern w:val="0"/>
                <w:szCs w:val="21"/>
              </w:rPr>
            </w:pPr>
            <w:r>
              <w:rPr>
                <w:rFonts w:hint="eastAsia"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二级指标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三级指标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指标值</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w:t>
            </w:r>
          </w:p>
          <w:p>
            <w:pPr>
              <w:widowControl/>
              <w:spacing w:line="320" w:lineRule="exact"/>
              <w:jc w:val="center"/>
              <w:rPr>
                <w:rFonts w:eastAsia="仿宋_GB2312"/>
                <w:color w:val="000000"/>
                <w:kern w:val="0"/>
                <w:szCs w:val="21"/>
              </w:rPr>
            </w:pPr>
            <w:r>
              <w:rPr>
                <w:rFonts w:hint="eastAsia" w:eastAsia="仿宋_GB2312"/>
                <w:color w:val="000000"/>
                <w:kern w:val="0"/>
                <w:szCs w:val="21"/>
              </w:rPr>
              <w:t>完成值</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分值</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得分</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偏差原因</w:t>
            </w:r>
          </w:p>
          <w:p>
            <w:pPr>
              <w:widowControl/>
              <w:spacing w:line="320" w:lineRule="exact"/>
              <w:jc w:val="center"/>
              <w:rPr>
                <w:rFonts w:eastAsia="仿宋_GB2312"/>
                <w:color w:val="000000"/>
                <w:kern w:val="0"/>
                <w:szCs w:val="21"/>
              </w:rPr>
            </w:pPr>
            <w:r>
              <w:rPr>
                <w:rFonts w:hint="eastAsia" w:eastAsia="仿宋_GB2312"/>
                <w:color w:val="000000"/>
                <w:kern w:val="0"/>
                <w:szCs w:val="21"/>
              </w:rPr>
              <w:t>分析及</w:t>
            </w:r>
          </w:p>
          <w:p>
            <w:pPr>
              <w:widowControl/>
              <w:spacing w:line="320" w:lineRule="exact"/>
              <w:jc w:val="center"/>
              <w:rPr>
                <w:rFonts w:eastAsia="仿宋_GB2312"/>
                <w:color w:val="000000"/>
                <w:kern w:val="0"/>
                <w:szCs w:val="21"/>
              </w:rPr>
            </w:pPr>
            <w:r>
              <w:rPr>
                <w:rFonts w:hint="eastAsia" w:eastAsia="仿宋_GB2312"/>
                <w:color w:val="000000"/>
                <w:kern w:val="0"/>
                <w:szCs w:val="21"/>
              </w:rPr>
              <w:t>改进措施</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产出</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p>
          <w:p>
            <w:pPr>
              <w:widowControl/>
              <w:spacing w:line="320" w:lineRule="exact"/>
              <w:jc w:val="center"/>
              <w:rPr>
                <w:rFonts w:eastAsia="仿宋_GB2312"/>
                <w:color w:val="000000"/>
                <w:kern w:val="0"/>
                <w:szCs w:val="21"/>
              </w:rPr>
            </w:pPr>
            <w:r>
              <w:rPr>
                <w:rFonts w:eastAsia="仿宋_GB2312"/>
                <w:color w:val="000000"/>
                <w:kern w:val="0"/>
                <w:szCs w:val="21"/>
              </w:rPr>
              <w:t>(50</w:t>
            </w:r>
            <w:r>
              <w:rPr>
                <w:rFonts w:hint="eastAsia" w:eastAsia="仿宋_GB2312"/>
                <w:color w:val="000000"/>
                <w:kern w:val="0"/>
                <w:szCs w:val="21"/>
              </w:rPr>
              <w:t>分</w:t>
            </w:r>
            <w:r>
              <w:rPr>
                <w:rFonts w:eastAsia="仿宋_GB2312"/>
                <w:color w:val="000000"/>
                <w:kern w:val="0"/>
                <w:szCs w:val="21"/>
              </w:rPr>
              <w:t>)</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数量指标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财政供养人员控制率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7.5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7.5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三公经费控制率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7.5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7.5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质量指标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政府采购执行率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38"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固定资产利用率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eastAsia="仿宋_GB2312"/>
                <w:color w:val="000000"/>
                <w:kern w:val="0"/>
                <w:szCs w:val="21"/>
                <w:lang w:eastAsia="zh-CN"/>
              </w:rPr>
            </w:pPr>
            <w:r>
              <w:rPr>
                <w:rFonts w:hint="eastAsia" w:eastAsia="仿宋_GB2312"/>
                <w:color w:val="000000"/>
                <w:kern w:val="0"/>
                <w:szCs w:val="21"/>
                <w:lang w:val="en-US" w:eastAsia="zh-CN"/>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时效指标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三公经费预算完成率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ascii="仿宋" w:hAnsi="仿宋" w:eastAsia="仿宋" w:cs="仿宋"/>
                <w:i w:val="0"/>
                <w:iCs w:val="0"/>
                <w:caps w:val="0"/>
                <w:color w:val="auto"/>
                <w:spacing w:val="0"/>
                <w:sz w:val="21"/>
                <w:szCs w:val="21"/>
                <w:shd w:val="clear" w:fill="FFFFFF"/>
                <w:lang w:val="en-US" w:eastAsia="zh-CN"/>
              </w:rPr>
              <w:t>85.22%</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9</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r>
              <w:rPr>
                <w:rFonts w:ascii="仿宋" w:hAnsi="仿宋" w:eastAsia="仿宋" w:cs="仿宋"/>
                <w:i w:val="0"/>
                <w:iCs w:val="0"/>
                <w:caps w:val="0"/>
                <w:color w:val="000000"/>
                <w:spacing w:val="0"/>
                <w:sz w:val="21"/>
                <w:szCs w:val="21"/>
                <w:shd w:val="clear" w:fill="FFFFFF"/>
              </w:rPr>
              <w:t>厉行节约，压缩开支</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1257"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成本指标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全年基本支出不超过预算数</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15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效益</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left"/>
              <w:rPr>
                <w:rFonts w:eastAsia="仿宋_GB2312"/>
                <w:color w:val="000000"/>
                <w:kern w:val="0"/>
                <w:szCs w:val="21"/>
              </w:rPr>
            </w:pPr>
          </w:p>
          <w:p>
            <w:pPr>
              <w:widowControl/>
              <w:spacing w:line="320" w:lineRule="exact"/>
              <w:jc w:val="left"/>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30</w:t>
            </w:r>
            <w:r>
              <w:rPr>
                <w:rFonts w:hint="eastAsia" w:eastAsia="仿宋_GB2312"/>
                <w:color w:val="000000"/>
                <w:kern w:val="0"/>
                <w:szCs w:val="21"/>
              </w:rPr>
              <w:t>分）</w:t>
            </w:r>
          </w:p>
          <w:p>
            <w:pPr>
              <w:spacing w:line="320" w:lineRule="exact"/>
              <w:jc w:val="left"/>
              <w:rPr>
                <w:rFonts w:eastAsia="仿宋_GB2312"/>
                <w:color w:val="000000"/>
                <w:kern w:val="0"/>
                <w:szCs w:val="21"/>
              </w:rPr>
            </w:pPr>
            <w:r>
              <w:rPr>
                <w:rFonts w:hint="eastAsia" w:eastAsia="仿宋_GB2312"/>
                <w:color w:val="000000"/>
                <w:kern w:val="0"/>
                <w:szCs w:val="21"/>
              </w:rPr>
              <w:t>　</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经济效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加快发展农村经济，提高就业率，切实增加群众收入</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社会效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保障基层社会民生，方便群众</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生态效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完善乡镇环保基础设施建设，提升农村人居环境</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992" w:type="dxa"/>
            <w:vMerge w:val="continue"/>
            <w:tcBorders>
              <w:left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可持续影响指标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疫情防控完成度</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87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满意度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10</w:t>
            </w:r>
            <w:r>
              <w:rPr>
                <w:rFonts w:hint="eastAsia" w:eastAsia="仿宋_GB2312"/>
                <w:color w:val="000000"/>
                <w:kern w:val="0"/>
                <w:szCs w:val="21"/>
              </w:rPr>
              <w:t>分）</w:t>
            </w:r>
          </w:p>
        </w:tc>
        <w:tc>
          <w:tcPr>
            <w:tcW w:w="1261"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服务对象满意度指标</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人民群众对乡政府的满意度</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992"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37" w:hRule="atLeast"/>
          <w:jc w:val="center"/>
        </w:trPr>
        <w:tc>
          <w:tcPr>
            <w:tcW w:w="6880" w:type="dxa"/>
            <w:gridSpan w:val="6"/>
            <w:tcBorders>
              <w:top w:val="single" w:color="auto" w:sz="4" w:space="0"/>
              <w:left w:val="single" w:color="auto" w:sz="4" w:space="0"/>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总分</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100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99</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bl>
    <w:p>
      <w:pPr>
        <w:spacing w:beforeLines="50" w:line="320" w:lineRule="exact"/>
        <w:rPr>
          <w:rFonts w:eastAsia="仿宋_GB2312"/>
          <w:sz w:val="24"/>
        </w:rPr>
      </w:pPr>
      <w:r>
        <w:rPr>
          <w:rFonts w:hint="eastAsia" w:eastAsia="仿宋_GB2312"/>
          <w:sz w:val="24"/>
        </w:rPr>
        <w:t>填表人：</w:t>
      </w:r>
      <w:r>
        <w:rPr>
          <w:rFonts w:eastAsia="仿宋_GB2312"/>
          <w:sz w:val="24"/>
        </w:rPr>
        <w:t xml:space="preserve">         </w:t>
      </w:r>
      <w:r>
        <w:rPr>
          <w:rFonts w:hint="eastAsia" w:eastAsia="仿宋_GB2312"/>
          <w:sz w:val="24"/>
        </w:rPr>
        <w:t>填报日期：</w:t>
      </w:r>
      <w:r>
        <w:rPr>
          <w:rFonts w:eastAsia="仿宋_GB2312"/>
          <w:sz w:val="24"/>
        </w:rPr>
        <w:t xml:space="preserve">           </w:t>
      </w:r>
      <w:r>
        <w:rPr>
          <w:rFonts w:hint="eastAsia" w:eastAsia="仿宋_GB2312"/>
          <w:sz w:val="24"/>
        </w:rPr>
        <w:t>联系电话：</w:t>
      </w:r>
      <w:r>
        <w:rPr>
          <w:rFonts w:eastAsia="仿宋_GB2312"/>
          <w:sz w:val="24"/>
        </w:rPr>
        <w:t xml:space="preserve">       </w:t>
      </w:r>
      <w:r>
        <w:rPr>
          <w:rFonts w:hint="eastAsia" w:eastAsia="仿宋_GB2312"/>
          <w:sz w:val="24"/>
        </w:rPr>
        <w:t>单位负责人签字：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F930A0"/>
    <w:multiLevelType w:val="multilevel"/>
    <w:tmpl w:val="23F930A0"/>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1">
    <w:nsid w:val="454D5428"/>
    <w:multiLevelType w:val="multilevel"/>
    <w:tmpl w:val="454D5428"/>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2">
    <w:nsid w:val="5B4A74CD"/>
    <w:multiLevelType w:val="multilevel"/>
    <w:tmpl w:val="5B4A74CD"/>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3">
    <w:nsid w:val="775728FA"/>
    <w:multiLevelType w:val="multilevel"/>
    <w:tmpl w:val="775728FA"/>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F13C77"/>
    <w:rsid w:val="02A94456"/>
    <w:rsid w:val="040949DF"/>
    <w:rsid w:val="077876DC"/>
    <w:rsid w:val="0BD275D1"/>
    <w:rsid w:val="11165FC7"/>
    <w:rsid w:val="112831BD"/>
    <w:rsid w:val="14977501"/>
    <w:rsid w:val="18035196"/>
    <w:rsid w:val="1D721C1B"/>
    <w:rsid w:val="1E3228D7"/>
    <w:rsid w:val="204F5575"/>
    <w:rsid w:val="25E66A4A"/>
    <w:rsid w:val="2AB64F3C"/>
    <w:rsid w:val="2C7A33E2"/>
    <w:rsid w:val="2DB542D4"/>
    <w:rsid w:val="2EA728F7"/>
    <w:rsid w:val="2FAD44ED"/>
    <w:rsid w:val="30923974"/>
    <w:rsid w:val="30AB6863"/>
    <w:rsid w:val="30F042C4"/>
    <w:rsid w:val="34077ABC"/>
    <w:rsid w:val="35FF65FC"/>
    <w:rsid w:val="366843F2"/>
    <w:rsid w:val="3A290ECB"/>
    <w:rsid w:val="3D716D54"/>
    <w:rsid w:val="3F60730B"/>
    <w:rsid w:val="40471EF3"/>
    <w:rsid w:val="43196218"/>
    <w:rsid w:val="436E4DE7"/>
    <w:rsid w:val="457E09A4"/>
    <w:rsid w:val="472A102D"/>
    <w:rsid w:val="47B408E7"/>
    <w:rsid w:val="4954477E"/>
    <w:rsid w:val="49A85280"/>
    <w:rsid w:val="4A2474F0"/>
    <w:rsid w:val="4AAE60AB"/>
    <w:rsid w:val="4B933974"/>
    <w:rsid w:val="4E0F28B6"/>
    <w:rsid w:val="4E8631C1"/>
    <w:rsid w:val="4EE757D9"/>
    <w:rsid w:val="54EC6A8F"/>
    <w:rsid w:val="57270871"/>
    <w:rsid w:val="5BCD0D8C"/>
    <w:rsid w:val="5C1B3AC4"/>
    <w:rsid w:val="5E044B64"/>
    <w:rsid w:val="5EAE3E56"/>
    <w:rsid w:val="60794467"/>
    <w:rsid w:val="618D2633"/>
    <w:rsid w:val="646C0B65"/>
    <w:rsid w:val="713568B7"/>
    <w:rsid w:val="714E625C"/>
    <w:rsid w:val="74F943FA"/>
    <w:rsid w:val="78CC7BF8"/>
    <w:rsid w:val="796E11F6"/>
    <w:rsid w:val="79F13C77"/>
    <w:rsid w:val="7A1660EE"/>
    <w:rsid w:val="7F692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7">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2021-09-03T05:49:00Z</dcterms:created>
  <dc:creator>Administrator</dc:creator>
  <cp:lastModifiedBy>空</cp:lastModifiedBy>
  <cp:lastPrinted>2021-09-06T07:27:00Z</cp:lastPrinted>
  <dcterms:modified xsi:type="dcterms:W3CDTF">2021-09-07T03:13:36Z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E18C2D2DF8E145698EF0E0EB5444A1CF</vt:lpwstr>
  </property>
</Properties>
</file>