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D6DAE8">
      <w:pPr>
        <w:spacing w:line="600" w:lineRule="exact"/>
        <w:rPr>
          <w:rFonts w:hint="eastAsia" w:eastAsia="方正小标宋_GBK"/>
          <w:sz w:val="36"/>
          <w:szCs w:val="36"/>
        </w:rPr>
      </w:pPr>
    </w:p>
    <w:p w14:paraId="331A80DB">
      <w:pPr>
        <w:widowControl/>
        <w:spacing w:line="640" w:lineRule="exact"/>
        <w:jc w:val="center"/>
        <w:rPr>
          <w:rFonts w:hint="eastAsia" w:ascii="黑体" w:hAnsi="黑体" w:eastAsia="黑体" w:cs="黑体"/>
          <w:bCs/>
          <w:sz w:val="44"/>
        </w:rPr>
      </w:pPr>
      <w:r>
        <w:rPr>
          <w:rFonts w:hint="eastAsia" w:ascii="黑体" w:hAnsi="黑体" w:eastAsia="黑体" w:cs="黑体"/>
          <w:bCs/>
          <w:sz w:val="44"/>
        </w:rPr>
        <w:t>2023年度</w:t>
      </w:r>
      <w:r>
        <w:rPr>
          <w:rFonts w:hint="eastAsia" w:ascii="黑体" w:hAnsi="黑体" w:eastAsia="黑体" w:cs="黑体"/>
          <w:bCs/>
          <w:sz w:val="44"/>
          <w:lang w:val="en-US" w:eastAsia="zh-CN"/>
        </w:rPr>
        <w:t>辰溪县小龙门乡人民政府</w:t>
      </w:r>
      <w:r>
        <w:rPr>
          <w:rFonts w:hint="eastAsia" w:ascii="黑体" w:hAnsi="黑体" w:eastAsia="黑体" w:cs="黑体"/>
          <w:bCs/>
          <w:sz w:val="44"/>
        </w:rPr>
        <w:t>部门整体支出绩效</w:t>
      </w:r>
    </w:p>
    <w:p w14:paraId="22D841F6">
      <w:pPr>
        <w:widowControl/>
        <w:spacing w:line="640" w:lineRule="exact"/>
        <w:jc w:val="center"/>
        <w:rPr>
          <w:rFonts w:hint="eastAsia" w:ascii="黑体" w:hAnsi="黑体" w:eastAsia="黑体" w:cs="黑体"/>
          <w:bCs/>
          <w:sz w:val="44"/>
        </w:rPr>
      </w:pPr>
      <w:r>
        <w:rPr>
          <w:rFonts w:hint="eastAsia" w:ascii="黑体" w:hAnsi="黑体" w:eastAsia="黑体" w:cs="黑体"/>
          <w:bCs/>
          <w:sz w:val="44"/>
        </w:rPr>
        <w:t>自评报告</w:t>
      </w:r>
    </w:p>
    <w:p w14:paraId="16D9CE65">
      <w:pPr>
        <w:spacing w:line="600" w:lineRule="exact"/>
        <w:jc w:val="center"/>
        <w:rPr>
          <w:rFonts w:eastAsia="楷体_GB2312"/>
          <w:sz w:val="32"/>
          <w:szCs w:val="32"/>
        </w:rPr>
      </w:pPr>
    </w:p>
    <w:p w14:paraId="2B73B22B">
      <w:pPr>
        <w:spacing w:line="600" w:lineRule="exact"/>
        <w:jc w:val="center"/>
        <w:rPr>
          <w:rFonts w:eastAsia="方正小标宋_GBK"/>
          <w:sz w:val="32"/>
          <w:szCs w:val="32"/>
        </w:rPr>
      </w:pPr>
    </w:p>
    <w:p w14:paraId="0C0712E3">
      <w:pPr>
        <w:pStyle w:val="6"/>
        <w:keepNext w:val="0"/>
        <w:keepLines w:val="0"/>
        <w:pageBreakBefore w:val="0"/>
        <w:widowControl/>
        <w:numPr>
          <w:ilvl w:val="0"/>
          <w:numId w:val="1"/>
        </w:numPr>
        <w:kinsoku/>
        <w:wordWrap/>
        <w:overflowPunct/>
        <w:topLinePunct w:val="0"/>
        <w:autoSpaceDE/>
        <w:autoSpaceDN/>
        <w:bidi w:val="0"/>
        <w:adjustRightInd/>
        <w:snapToGrid/>
        <w:spacing w:line="600" w:lineRule="exact"/>
        <w:ind w:left="0" w:firstLine="0" w:firstLineChars="0"/>
        <w:textAlignment w:val="bottom"/>
        <w:rPr>
          <w:rFonts w:hint="eastAsia" w:ascii="仿宋" w:hAnsi="仿宋" w:eastAsia="仿宋" w:cs="仿宋"/>
          <w:kern w:val="0"/>
          <w:sz w:val="30"/>
          <w:szCs w:val="30"/>
        </w:rPr>
      </w:pPr>
      <w:r>
        <w:rPr>
          <w:rFonts w:hint="eastAsia" w:ascii="Times New Roman" w:hAnsi="Times New Roman" w:eastAsia="黑体"/>
          <w:sz w:val="32"/>
          <w:szCs w:val="32"/>
        </w:rPr>
        <w:t>部门基本情况</w:t>
      </w:r>
    </w:p>
    <w:p w14:paraId="0171C9A6">
      <w:pPr>
        <w:pStyle w:val="6"/>
        <w:keepNext w:val="0"/>
        <w:keepLines w:val="0"/>
        <w:pageBreakBefore w:val="0"/>
        <w:widowControl/>
        <w:numPr>
          <w:ilvl w:val="0"/>
          <w:numId w:val="0"/>
        </w:numPr>
        <w:kinsoku/>
        <w:wordWrap/>
        <w:overflowPunct/>
        <w:topLinePunct w:val="0"/>
        <w:autoSpaceDE/>
        <w:autoSpaceDN/>
        <w:bidi w:val="0"/>
        <w:adjustRightInd/>
        <w:snapToGrid/>
        <w:spacing w:line="600" w:lineRule="exact"/>
        <w:ind w:leftChars="0"/>
        <w:textAlignment w:val="bottom"/>
        <w:rPr>
          <w:rFonts w:hint="eastAsia" w:ascii="仿宋" w:hAnsi="仿宋" w:eastAsia="仿宋" w:cs="仿宋"/>
          <w:kern w:val="0"/>
          <w:sz w:val="30"/>
          <w:szCs w:val="30"/>
        </w:rPr>
      </w:pPr>
      <w:r>
        <w:rPr>
          <w:rFonts w:hint="eastAsia" w:ascii="仿宋" w:hAnsi="仿宋" w:eastAsia="仿宋" w:cs="仿宋"/>
          <w:kern w:val="0"/>
          <w:sz w:val="30"/>
          <w:szCs w:val="30"/>
        </w:rPr>
        <w:t>（一）</w:t>
      </w:r>
      <w:r>
        <w:rPr>
          <w:rFonts w:hint="eastAsia" w:ascii="仿宋" w:hAnsi="仿宋" w:eastAsia="仿宋" w:cs="仿宋"/>
          <w:b/>
          <w:bCs/>
          <w:kern w:val="0"/>
          <w:sz w:val="30"/>
          <w:szCs w:val="30"/>
        </w:rPr>
        <w:t>部门职能与机构设置</w:t>
      </w:r>
    </w:p>
    <w:p w14:paraId="00DA9CCC">
      <w:pPr>
        <w:keepNext w:val="0"/>
        <w:keepLines w:val="0"/>
        <w:pageBreakBefore w:val="0"/>
        <w:widowControl w:val="0"/>
        <w:kinsoku/>
        <w:wordWrap/>
        <w:overflowPunct/>
        <w:topLinePunct w:val="0"/>
        <w:autoSpaceDE/>
        <w:autoSpaceDN/>
        <w:bidi w:val="0"/>
        <w:adjustRightInd w:val="0"/>
        <w:snapToGrid w:val="0"/>
        <w:spacing w:line="540" w:lineRule="atLeas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辰溪县</w:t>
      </w:r>
      <w:r>
        <w:rPr>
          <w:rFonts w:hint="eastAsia" w:ascii="仿宋" w:hAnsi="仿宋" w:eastAsia="仿宋" w:cs="仿宋"/>
          <w:kern w:val="0"/>
          <w:sz w:val="30"/>
          <w:szCs w:val="30"/>
          <w:lang w:eastAsia="zh-CN"/>
        </w:rPr>
        <w:t>小龙门</w:t>
      </w:r>
      <w:r>
        <w:rPr>
          <w:rFonts w:hint="eastAsia" w:ascii="仿宋" w:hAnsi="仿宋" w:eastAsia="仿宋" w:cs="仿宋"/>
          <w:kern w:val="0"/>
          <w:sz w:val="30"/>
          <w:szCs w:val="30"/>
        </w:rPr>
        <w:t>乡人民政府基本职能：承担促进经济发展、搞好公共服务、加强社会管理、维护社会稳定等综合职能。具体职能如下：1、认真贯彻国家的方针政策、法律、法规，严格遵循财经纪律和各项规章制度。2、执行本级人民代表大会的决议和上级国家行政机关的决定和命令。3、执行本行政区域内的经济和社会发展计划、预算，管理本行政区域内的经济、教育、科学、文化、卫健、体育事业和财政、民政、司法行政等行政工作。4、保护社会主义的全民所有的财产和劳动群众集体所有的财产，保护公民私人所有的合法财产，维护社会秩序，保障公民的人身权利、民主权利和其他权利。5、保护各种经济组织的合法权益。6、办理上级人民政府交办的其他事项。</w:t>
      </w:r>
    </w:p>
    <w:p w14:paraId="5B78E01F">
      <w:pPr>
        <w:pStyle w:val="6"/>
        <w:keepNext w:val="0"/>
        <w:keepLines w:val="0"/>
        <w:pageBreakBefore w:val="0"/>
        <w:widowControl/>
        <w:numPr>
          <w:ilvl w:val="0"/>
          <w:numId w:val="0"/>
        </w:numPr>
        <w:kinsoku/>
        <w:wordWrap/>
        <w:overflowPunct/>
        <w:topLinePunct w:val="0"/>
        <w:autoSpaceDE/>
        <w:autoSpaceDN/>
        <w:bidi w:val="0"/>
        <w:adjustRightInd/>
        <w:snapToGrid/>
        <w:spacing w:line="600" w:lineRule="exact"/>
        <w:ind w:firstLine="600" w:firstLineChars="200"/>
        <w:textAlignment w:val="bottom"/>
        <w:rPr>
          <w:rFonts w:hint="eastAsia" w:ascii="仿宋" w:hAnsi="仿宋" w:eastAsia="仿宋" w:cs="仿宋"/>
          <w:kern w:val="0"/>
          <w:sz w:val="30"/>
          <w:szCs w:val="30"/>
        </w:rPr>
      </w:pPr>
      <w:r>
        <w:rPr>
          <w:rFonts w:hint="eastAsia" w:ascii="仿宋" w:hAnsi="仿宋" w:eastAsia="仿宋" w:cs="仿宋"/>
          <w:kern w:val="0"/>
          <w:sz w:val="30"/>
          <w:szCs w:val="30"/>
        </w:rPr>
        <w:t>机构设置情况：</w:t>
      </w:r>
      <w:r>
        <w:rPr>
          <w:rFonts w:hint="eastAsia" w:ascii="仿宋" w:hAnsi="仿宋" w:eastAsia="仿宋" w:cs="仿宋"/>
          <w:kern w:val="0"/>
          <w:sz w:val="30"/>
          <w:szCs w:val="30"/>
          <w:lang w:eastAsia="zh-CN"/>
        </w:rPr>
        <w:t>小龙门</w:t>
      </w:r>
      <w:r>
        <w:rPr>
          <w:rFonts w:hint="eastAsia" w:ascii="仿宋" w:hAnsi="仿宋" w:eastAsia="仿宋" w:cs="仿宋"/>
          <w:kern w:val="0"/>
          <w:sz w:val="30"/>
          <w:szCs w:val="30"/>
        </w:rPr>
        <w:t>乡人民政府属全额行政机关，是一级部门预算单位，根据编制部门机构改革批复方案，内设党政办公室、党建办公室、经济发展办公室、社会事务办公室、社会治安和应急管理办公室、自然资源和生态环境办公室、社会事务综合服务中心、农业综合服务中心、便民服务中心、综合行政执法大队、财政所。</w:t>
      </w:r>
    </w:p>
    <w:p w14:paraId="4BA67844">
      <w:pPr>
        <w:pStyle w:val="6"/>
        <w:keepNext w:val="0"/>
        <w:keepLines w:val="0"/>
        <w:pageBreakBefore w:val="0"/>
        <w:widowControl/>
        <w:numPr>
          <w:ilvl w:val="0"/>
          <w:numId w:val="0"/>
        </w:numPr>
        <w:kinsoku/>
        <w:wordWrap/>
        <w:overflowPunct/>
        <w:topLinePunct w:val="0"/>
        <w:autoSpaceDE/>
        <w:autoSpaceDN/>
        <w:bidi w:val="0"/>
        <w:adjustRightInd/>
        <w:snapToGrid/>
        <w:spacing w:line="600" w:lineRule="exact"/>
        <w:textAlignment w:val="bottom"/>
        <w:rPr>
          <w:rFonts w:hint="eastAsia" w:ascii="仿宋" w:hAnsi="仿宋" w:eastAsia="仿宋" w:cs="仿宋"/>
          <w:b/>
          <w:bCs/>
          <w:kern w:val="0"/>
          <w:sz w:val="30"/>
          <w:szCs w:val="30"/>
        </w:rPr>
      </w:pPr>
      <w:r>
        <w:rPr>
          <w:rFonts w:hint="eastAsia" w:ascii="仿宋" w:hAnsi="仿宋" w:eastAsia="仿宋" w:cs="仿宋"/>
          <w:kern w:val="0"/>
          <w:sz w:val="30"/>
          <w:szCs w:val="30"/>
        </w:rPr>
        <w:t>（</w:t>
      </w:r>
      <w:r>
        <w:rPr>
          <w:rFonts w:hint="eastAsia" w:ascii="仿宋" w:hAnsi="仿宋" w:eastAsia="仿宋" w:cs="仿宋"/>
          <w:kern w:val="0"/>
          <w:sz w:val="30"/>
          <w:szCs w:val="30"/>
          <w:lang w:val="en-US" w:eastAsia="zh-CN"/>
        </w:rPr>
        <w:t>二</w:t>
      </w:r>
      <w:r>
        <w:rPr>
          <w:rFonts w:hint="eastAsia" w:ascii="仿宋" w:hAnsi="仿宋" w:eastAsia="仿宋" w:cs="仿宋"/>
          <w:kern w:val="0"/>
          <w:sz w:val="30"/>
          <w:szCs w:val="30"/>
        </w:rPr>
        <w:t>）</w:t>
      </w:r>
      <w:r>
        <w:rPr>
          <w:rFonts w:hint="eastAsia" w:ascii="仿宋" w:hAnsi="仿宋" w:eastAsia="仿宋" w:cs="仿宋"/>
          <w:b/>
          <w:bCs/>
          <w:kern w:val="0"/>
          <w:sz w:val="30"/>
          <w:szCs w:val="30"/>
        </w:rPr>
        <w:t>人员情况</w:t>
      </w:r>
    </w:p>
    <w:p w14:paraId="0853FE11">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atLeast"/>
        <w:ind w:firstLine="600" w:firstLineChars="200"/>
        <w:textAlignment w:val="auto"/>
        <w:rPr>
          <w:rFonts w:hint="eastAsia" w:ascii="仿宋" w:hAnsi="仿宋" w:eastAsia="仿宋" w:cs="仿宋"/>
          <w:b/>
          <w:bCs/>
          <w:kern w:val="0"/>
          <w:sz w:val="30"/>
          <w:szCs w:val="30"/>
        </w:rPr>
      </w:pPr>
      <w:r>
        <w:rPr>
          <w:rFonts w:hint="eastAsia" w:ascii="仿宋" w:hAnsi="仿宋" w:eastAsia="仿宋" w:cs="仿宋"/>
          <w:kern w:val="0"/>
          <w:sz w:val="30"/>
          <w:szCs w:val="30"/>
          <w:lang w:val="en-US" w:eastAsia="zh-CN" w:bidi="ar-SA"/>
        </w:rPr>
        <w:t>人员情况：截至2023年底，小龙门乡人民政府核定人员编制46人，行政编制21人，事业编制25人；实际在编45人（行政编制21人，事业编制24人），财政实际供给45人。</w:t>
      </w:r>
    </w:p>
    <w:p w14:paraId="79FFAA11">
      <w:pPr>
        <w:numPr>
          <w:ilvl w:val="0"/>
          <w:numId w:val="0"/>
        </w:numPr>
        <w:adjustRightInd w:val="0"/>
        <w:snapToGrid w:val="0"/>
        <w:spacing w:line="540" w:lineRule="atLeast"/>
        <w:rPr>
          <w:rFonts w:hint="eastAsia" w:ascii="仿宋" w:hAnsi="仿宋" w:eastAsia="仿宋" w:cs="仿宋"/>
          <w:b/>
          <w:bCs/>
          <w:kern w:val="0"/>
          <w:sz w:val="30"/>
          <w:szCs w:val="30"/>
        </w:rPr>
      </w:pPr>
      <w:r>
        <w:rPr>
          <w:rFonts w:hint="eastAsia" w:ascii="仿宋" w:hAnsi="仿宋" w:eastAsia="仿宋" w:cs="仿宋"/>
          <w:kern w:val="0"/>
          <w:sz w:val="30"/>
          <w:szCs w:val="30"/>
        </w:rPr>
        <w:t>（</w:t>
      </w:r>
      <w:r>
        <w:rPr>
          <w:rFonts w:hint="eastAsia" w:ascii="仿宋" w:hAnsi="仿宋" w:eastAsia="仿宋" w:cs="仿宋"/>
          <w:kern w:val="0"/>
          <w:sz w:val="30"/>
          <w:szCs w:val="30"/>
          <w:lang w:val="en-US" w:eastAsia="zh-CN"/>
        </w:rPr>
        <w:t>三</w:t>
      </w:r>
      <w:r>
        <w:rPr>
          <w:rFonts w:hint="eastAsia" w:ascii="仿宋" w:hAnsi="仿宋" w:eastAsia="仿宋" w:cs="仿宋"/>
          <w:kern w:val="0"/>
          <w:sz w:val="30"/>
          <w:szCs w:val="30"/>
        </w:rPr>
        <w:t>）</w:t>
      </w:r>
      <w:r>
        <w:rPr>
          <w:rFonts w:hint="eastAsia" w:ascii="仿宋" w:hAnsi="仿宋" w:eastAsia="仿宋" w:cs="仿宋"/>
          <w:b/>
          <w:bCs/>
          <w:kern w:val="0"/>
          <w:sz w:val="30"/>
          <w:szCs w:val="30"/>
        </w:rPr>
        <w:t>部门年度总体工作任务和重点工作任务</w:t>
      </w:r>
    </w:p>
    <w:p w14:paraId="6379D9A1">
      <w:pPr>
        <w:keepNext w:val="0"/>
        <w:keepLines w:val="0"/>
        <w:pageBreakBefore w:val="0"/>
        <w:widowControl w:val="0"/>
        <w:kinsoku/>
        <w:wordWrap/>
        <w:overflowPunct/>
        <w:topLinePunct w:val="0"/>
        <w:autoSpaceDE/>
        <w:autoSpaceDN/>
        <w:bidi w:val="0"/>
        <w:adjustRightInd w:val="0"/>
        <w:snapToGrid w:val="0"/>
        <w:spacing w:line="540" w:lineRule="atLeast"/>
        <w:ind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lang w:val="en-US" w:eastAsia="zh-CN"/>
        </w:rPr>
        <w:t>总体工作任务为执行乡人民代表大会的决议和上级国家行政机关的决定和命令；发展和管理本辖区的经济、教育、科学、文化、卫生、体育事业和财政、民政、公安、司法行政、生育健康等行政工作；维护社会秩序，确保社会稳定，保障公民的人身权利、民主权利和其他权利。重点工作任务为做好防灾减灾、优抚安置、低保、扶贫救济等社会救助工作；开展乡村振兴工作；乡村人居环境整治工作等。</w:t>
      </w:r>
    </w:p>
    <w:p w14:paraId="58D51CCC">
      <w:pPr>
        <w:pStyle w:val="6"/>
        <w:widowControl/>
        <w:spacing w:line="600" w:lineRule="exact"/>
        <w:ind w:left="0" w:leftChars="0" w:firstLine="0" w:firstLineChars="0"/>
        <w:rPr>
          <w:rFonts w:ascii="Times New Roman" w:hAnsi="Times New Roman" w:eastAsia="黑体"/>
          <w:sz w:val="32"/>
          <w:szCs w:val="32"/>
        </w:rPr>
      </w:pPr>
      <w:r>
        <w:rPr>
          <w:rFonts w:hint="eastAsia" w:ascii="Times New Roman" w:hAnsi="Times New Roman" w:eastAsia="黑体"/>
          <w:sz w:val="32"/>
          <w:szCs w:val="32"/>
        </w:rPr>
        <w:t>二、一般公共项目支出情况</w:t>
      </w:r>
    </w:p>
    <w:p w14:paraId="730B234A">
      <w:pPr>
        <w:ind w:firstLine="600" w:firstLineChars="200"/>
        <w:rPr>
          <w:rFonts w:hint="eastAsia" w:ascii="仿宋" w:hAnsi="仿宋" w:eastAsia="仿宋" w:cs="仿宋"/>
          <w:kern w:val="0"/>
          <w:sz w:val="30"/>
          <w:szCs w:val="30"/>
          <w:lang w:val="zh-CN" w:eastAsia="zh-CN"/>
        </w:rPr>
      </w:pPr>
      <w:r>
        <w:rPr>
          <w:rFonts w:hint="eastAsia" w:ascii="仿宋" w:hAnsi="仿宋" w:eastAsia="仿宋" w:cs="仿宋"/>
          <w:kern w:val="0"/>
          <w:sz w:val="30"/>
          <w:szCs w:val="30"/>
          <w:lang w:val="en-US" w:eastAsia="zh-CN"/>
        </w:rPr>
        <w:t>2023年共取得预算收入664.92万元，其中：财政拨款收入664.92万元，占100%；上级补助收入0万元，占0%；事业收入0万元，占0%；经营收入0万元，占0%；附属单位上缴收入0万元，占0%；其他收入0万元，占0%。</w:t>
      </w:r>
      <w:r>
        <w:rPr>
          <w:rFonts w:hint="eastAsia" w:eastAsia="仿宋_GB2312"/>
          <w:color w:val="000000"/>
          <w:sz w:val="32"/>
          <w:szCs w:val="32"/>
        </w:rPr>
        <w:t>至</w:t>
      </w:r>
      <w:r>
        <w:rPr>
          <w:rFonts w:hint="eastAsia" w:ascii="仿宋" w:hAnsi="仿宋" w:eastAsia="仿宋" w:cs="仿宋"/>
          <w:kern w:val="0"/>
          <w:sz w:val="30"/>
          <w:szCs w:val="30"/>
          <w:lang w:val="zh-CN" w:eastAsia="zh-CN"/>
        </w:rPr>
        <w:t>202</w:t>
      </w:r>
      <w:r>
        <w:rPr>
          <w:rFonts w:hint="eastAsia" w:ascii="仿宋" w:hAnsi="仿宋" w:eastAsia="仿宋" w:cs="仿宋"/>
          <w:kern w:val="0"/>
          <w:sz w:val="30"/>
          <w:szCs w:val="30"/>
          <w:lang w:val="en-US" w:eastAsia="zh-CN"/>
        </w:rPr>
        <w:t>3</w:t>
      </w:r>
      <w:r>
        <w:rPr>
          <w:rFonts w:hint="eastAsia" w:ascii="仿宋" w:hAnsi="仿宋" w:eastAsia="仿宋" w:cs="仿宋"/>
          <w:kern w:val="0"/>
          <w:sz w:val="30"/>
          <w:szCs w:val="30"/>
          <w:lang w:val="zh-CN" w:eastAsia="zh-CN"/>
        </w:rPr>
        <w:t>年1</w:t>
      </w:r>
      <w:r>
        <w:rPr>
          <w:rFonts w:hint="eastAsia" w:ascii="仿宋" w:hAnsi="仿宋" w:eastAsia="仿宋" w:cs="仿宋"/>
          <w:kern w:val="0"/>
          <w:sz w:val="30"/>
          <w:szCs w:val="30"/>
          <w:lang w:val="en-US" w:eastAsia="zh-CN"/>
        </w:rPr>
        <w:t>2</w:t>
      </w:r>
      <w:r>
        <w:rPr>
          <w:rFonts w:hint="eastAsia" w:ascii="仿宋" w:hAnsi="仿宋" w:eastAsia="仿宋" w:cs="仿宋"/>
          <w:kern w:val="0"/>
          <w:sz w:val="30"/>
          <w:szCs w:val="30"/>
          <w:lang w:val="zh-CN" w:eastAsia="zh-CN"/>
        </w:rPr>
        <w:t>月份实际完成财政收入</w:t>
      </w:r>
      <w:r>
        <w:rPr>
          <w:rFonts w:hint="eastAsia" w:ascii="仿宋" w:hAnsi="仿宋" w:eastAsia="仿宋" w:cs="仿宋"/>
          <w:kern w:val="0"/>
          <w:sz w:val="30"/>
          <w:szCs w:val="30"/>
          <w:lang w:val="en-US" w:eastAsia="zh-CN"/>
        </w:rPr>
        <w:t>1116.67</w:t>
      </w:r>
      <w:r>
        <w:rPr>
          <w:rFonts w:hint="eastAsia" w:ascii="仿宋" w:hAnsi="仿宋" w:eastAsia="仿宋" w:cs="仿宋"/>
          <w:kern w:val="0"/>
          <w:sz w:val="30"/>
          <w:szCs w:val="30"/>
          <w:lang w:val="zh-CN" w:eastAsia="zh-CN"/>
        </w:rPr>
        <w:t>万元。202</w:t>
      </w:r>
      <w:r>
        <w:rPr>
          <w:rFonts w:hint="eastAsia" w:ascii="仿宋" w:hAnsi="仿宋" w:eastAsia="仿宋" w:cs="仿宋"/>
          <w:kern w:val="0"/>
          <w:sz w:val="30"/>
          <w:szCs w:val="30"/>
          <w:lang w:val="en-US" w:eastAsia="zh-CN"/>
        </w:rPr>
        <w:t>3</w:t>
      </w:r>
      <w:r>
        <w:rPr>
          <w:rFonts w:hint="eastAsia" w:ascii="仿宋" w:hAnsi="仿宋" w:eastAsia="仿宋" w:cs="仿宋"/>
          <w:kern w:val="0"/>
          <w:sz w:val="30"/>
          <w:szCs w:val="30"/>
          <w:lang w:val="zh-CN" w:eastAsia="zh-CN"/>
        </w:rPr>
        <w:t>年各项财政收入是：财政拨款收入</w:t>
      </w:r>
      <w:r>
        <w:rPr>
          <w:rFonts w:hint="eastAsia" w:ascii="仿宋" w:hAnsi="仿宋" w:eastAsia="仿宋" w:cs="仿宋"/>
          <w:kern w:val="0"/>
          <w:sz w:val="30"/>
          <w:szCs w:val="30"/>
          <w:lang w:val="en-US" w:eastAsia="zh-CN"/>
        </w:rPr>
        <w:t>1116.67</w:t>
      </w:r>
      <w:r>
        <w:rPr>
          <w:rFonts w:hint="eastAsia" w:ascii="仿宋" w:hAnsi="仿宋" w:eastAsia="仿宋" w:cs="仿宋"/>
          <w:kern w:val="0"/>
          <w:sz w:val="30"/>
          <w:szCs w:val="30"/>
          <w:lang w:val="zh-CN" w:eastAsia="zh-CN"/>
        </w:rPr>
        <w:t>万元。</w:t>
      </w:r>
    </w:p>
    <w:p w14:paraId="4B0D8FCC">
      <w:pPr>
        <w:ind w:firstLine="600" w:firstLineChars="200"/>
        <w:rPr>
          <w:rFonts w:hint="eastAsia" w:ascii="仿宋" w:hAnsi="仿宋" w:eastAsia="仿宋" w:cs="仿宋"/>
          <w:kern w:val="0"/>
          <w:sz w:val="30"/>
          <w:szCs w:val="30"/>
          <w:lang w:val="zh-CN" w:eastAsia="zh-CN"/>
        </w:rPr>
      </w:pPr>
      <w:r>
        <w:rPr>
          <w:rFonts w:hint="eastAsia" w:ascii="仿宋" w:hAnsi="仿宋" w:eastAsia="仿宋" w:cs="仿宋"/>
          <w:kern w:val="0"/>
          <w:sz w:val="30"/>
          <w:szCs w:val="30"/>
          <w:lang w:val="en-US" w:eastAsia="zh-CN"/>
        </w:rPr>
        <w:t>预算支出合计664.92万元，其中：基本支出664.92万元，占100%；项目支出0万元，占0%；上缴上级支出0万元，占0 %；经营支出0万元，占0%；对附属单位补助支出0万元，占0%。</w:t>
      </w:r>
      <w:r>
        <w:rPr>
          <w:rFonts w:hint="eastAsia" w:ascii="仿宋" w:hAnsi="仿宋" w:eastAsia="仿宋" w:cs="仿宋"/>
          <w:kern w:val="0"/>
          <w:sz w:val="30"/>
          <w:szCs w:val="30"/>
          <w:lang w:val="zh-CN" w:eastAsia="zh-CN"/>
        </w:rPr>
        <w:t>202</w:t>
      </w:r>
      <w:r>
        <w:rPr>
          <w:rFonts w:hint="eastAsia" w:ascii="仿宋" w:hAnsi="仿宋" w:eastAsia="仿宋" w:cs="仿宋"/>
          <w:kern w:val="0"/>
          <w:sz w:val="30"/>
          <w:szCs w:val="30"/>
          <w:lang w:val="en-US" w:eastAsia="zh-CN"/>
        </w:rPr>
        <w:t>3</w:t>
      </w:r>
      <w:r>
        <w:rPr>
          <w:rFonts w:hint="eastAsia" w:ascii="仿宋" w:hAnsi="仿宋" w:eastAsia="仿宋" w:cs="仿宋"/>
          <w:kern w:val="0"/>
          <w:sz w:val="30"/>
          <w:szCs w:val="30"/>
          <w:lang w:val="zh-CN" w:eastAsia="zh-CN"/>
        </w:rPr>
        <w:t>年实际完成财政总支出</w:t>
      </w:r>
      <w:r>
        <w:rPr>
          <w:rFonts w:hint="eastAsia" w:ascii="仿宋" w:hAnsi="仿宋" w:eastAsia="仿宋" w:cs="仿宋"/>
          <w:kern w:val="0"/>
          <w:sz w:val="30"/>
          <w:szCs w:val="30"/>
          <w:lang w:val="en-US" w:eastAsia="zh-CN"/>
        </w:rPr>
        <w:t>1116.67</w:t>
      </w:r>
      <w:r>
        <w:rPr>
          <w:rFonts w:hint="eastAsia" w:ascii="仿宋" w:hAnsi="仿宋" w:eastAsia="仿宋" w:cs="仿宋"/>
          <w:kern w:val="0"/>
          <w:sz w:val="30"/>
          <w:szCs w:val="30"/>
          <w:lang w:val="zh-CN" w:eastAsia="zh-CN"/>
        </w:rPr>
        <w:t>万元，主要支出科目是：</w:t>
      </w:r>
    </w:p>
    <w:p w14:paraId="3F5AEA0A">
      <w:pPr>
        <w:rPr>
          <w:rFonts w:hint="eastAsia" w:ascii="Times New Roman" w:hAnsi="Times New Roman" w:eastAsia="黑体"/>
          <w:sz w:val="32"/>
          <w:szCs w:val="32"/>
        </w:rPr>
      </w:pPr>
      <w:r>
        <w:rPr>
          <w:rFonts w:hint="eastAsia" w:ascii="仿宋" w:hAnsi="仿宋" w:eastAsia="仿宋" w:cs="仿宋"/>
          <w:kern w:val="0"/>
          <w:sz w:val="30"/>
          <w:szCs w:val="30"/>
          <w:lang w:val="zh-CN" w:eastAsia="zh-CN"/>
        </w:rPr>
        <w:t>一般公共服务支出</w:t>
      </w:r>
      <w:r>
        <w:rPr>
          <w:rFonts w:hint="eastAsia" w:ascii="仿宋" w:hAnsi="仿宋" w:eastAsia="仿宋" w:cs="仿宋"/>
          <w:kern w:val="0"/>
          <w:sz w:val="30"/>
          <w:szCs w:val="30"/>
          <w:lang w:val="en-US" w:eastAsia="zh-CN"/>
        </w:rPr>
        <w:t>964.95</w:t>
      </w:r>
      <w:r>
        <w:rPr>
          <w:rFonts w:hint="eastAsia" w:ascii="仿宋" w:hAnsi="仿宋" w:eastAsia="仿宋" w:cs="仿宋"/>
          <w:kern w:val="0"/>
          <w:sz w:val="30"/>
          <w:szCs w:val="30"/>
          <w:lang w:val="zh-CN" w:eastAsia="zh-CN"/>
        </w:rPr>
        <w:t>万元；</w:t>
      </w:r>
      <w:r>
        <w:rPr>
          <w:rFonts w:hint="eastAsia" w:ascii="仿宋" w:hAnsi="仿宋" w:eastAsia="仿宋" w:cs="仿宋"/>
          <w:kern w:val="0"/>
          <w:sz w:val="30"/>
          <w:szCs w:val="30"/>
          <w:lang w:val="en-US" w:eastAsia="zh-CN"/>
        </w:rPr>
        <w:t>社会保障和就业支出103.20万元；农林水支出23.07万元；城乡社区支出9.25万元；教育支出2万元；粮油物资储备支出9.2万元；文化旅游传媒支出2万元，节能环保支出3万元。</w:t>
      </w:r>
    </w:p>
    <w:p w14:paraId="1D95342F">
      <w:pPr>
        <w:pStyle w:val="6"/>
        <w:widowControl/>
        <w:spacing w:line="600" w:lineRule="exact"/>
        <w:ind w:left="0" w:leftChars="0" w:firstLine="0" w:firstLineChars="0"/>
        <w:rPr>
          <w:rFonts w:hint="eastAsia" w:ascii="Times New Roman" w:hAnsi="Times New Roman" w:eastAsia="黑体"/>
          <w:sz w:val="32"/>
          <w:szCs w:val="32"/>
        </w:rPr>
      </w:pPr>
      <w:r>
        <w:rPr>
          <w:rFonts w:hint="eastAsia" w:ascii="Times New Roman" w:hAnsi="Times New Roman" w:eastAsia="黑体"/>
          <w:sz w:val="32"/>
          <w:szCs w:val="32"/>
        </w:rPr>
        <w:t>三、政府性基金项目支出情况</w:t>
      </w:r>
    </w:p>
    <w:p w14:paraId="3366F2E0">
      <w:pPr>
        <w:keepNext w:val="0"/>
        <w:keepLines w:val="0"/>
        <w:pageBreakBefore w:val="0"/>
        <w:widowControl w:val="0"/>
        <w:kinsoku/>
        <w:wordWrap/>
        <w:overflowPunct/>
        <w:topLinePunct w:val="0"/>
        <w:autoSpaceDE/>
        <w:autoSpaceDN/>
        <w:bidi w:val="0"/>
        <w:adjustRightInd w:val="0"/>
        <w:snapToGrid w:val="0"/>
        <w:spacing w:line="540" w:lineRule="atLeast"/>
        <w:ind w:firstLine="600" w:firstLineChars="200"/>
        <w:textAlignment w:val="auto"/>
        <w:rPr>
          <w:rFonts w:hint="default" w:ascii="Times New Roman" w:hAnsi="Times New Roman" w:eastAsia="黑体"/>
          <w:sz w:val="32"/>
          <w:szCs w:val="32"/>
          <w:lang w:val="en-US" w:eastAsia="zh-CN"/>
        </w:rPr>
      </w:pPr>
      <w:r>
        <w:rPr>
          <w:rFonts w:hint="eastAsia" w:ascii="仿宋" w:hAnsi="仿宋" w:eastAsia="仿宋" w:cs="仿宋"/>
          <w:kern w:val="0"/>
          <w:sz w:val="30"/>
          <w:szCs w:val="30"/>
          <w:lang w:val="en-US" w:eastAsia="zh-CN" w:bidi="ar-SA"/>
        </w:rPr>
        <w:t>本单位无政府性基金项目支出</w:t>
      </w:r>
    </w:p>
    <w:p w14:paraId="4B42233D">
      <w:pPr>
        <w:pStyle w:val="6"/>
        <w:widowControl/>
        <w:spacing w:line="600" w:lineRule="exact"/>
        <w:ind w:left="0" w:leftChars="0" w:firstLine="0" w:firstLineChars="0"/>
        <w:rPr>
          <w:rFonts w:hint="eastAsia" w:ascii="Times New Roman" w:hAnsi="Times New Roman" w:eastAsia="黑体"/>
          <w:sz w:val="32"/>
          <w:szCs w:val="32"/>
        </w:rPr>
      </w:pPr>
      <w:r>
        <w:rPr>
          <w:rFonts w:hint="eastAsia" w:ascii="Times New Roman" w:hAnsi="Times New Roman" w:eastAsia="黑体"/>
          <w:sz w:val="32"/>
          <w:szCs w:val="32"/>
          <w:lang w:val="en-US" w:eastAsia="zh-CN"/>
        </w:rPr>
        <w:t>四、</w:t>
      </w:r>
      <w:r>
        <w:rPr>
          <w:rFonts w:hint="eastAsia" w:ascii="Times New Roman" w:hAnsi="Times New Roman" w:eastAsia="黑体"/>
          <w:sz w:val="32"/>
          <w:szCs w:val="32"/>
        </w:rPr>
        <w:t>国有资本经营项目支出情况</w:t>
      </w:r>
    </w:p>
    <w:p w14:paraId="542AF92D">
      <w:pPr>
        <w:keepNext w:val="0"/>
        <w:keepLines w:val="0"/>
        <w:pageBreakBefore w:val="0"/>
        <w:widowControl w:val="0"/>
        <w:kinsoku/>
        <w:wordWrap/>
        <w:overflowPunct/>
        <w:topLinePunct w:val="0"/>
        <w:autoSpaceDE/>
        <w:autoSpaceDN/>
        <w:bidi w:val="0"/>
        <w:adjustRightInd w:val="0"/>
        <w:snapToGrid w:val="0"/>
        <w:spacing w:line="540" w:lineRule="atLeast"/>
        <w:ind w:firstLine="600" w:firstLineChars="200"/>
        <w:textAlignment w:val="auto"/>
        <w:rPr>
          <w:rFonts w:hint="eastAsia" w:ascii="Times New Roman" w:hAnsi="Times New Roman" w:eastAsia="黑体"/>
          <w:sz w:val="32"/>
          <w:szCs w:val="32"/>
        </w:rPr>
      </w:pPr>
      <w:r>
        <w:rPr>
          <w:rFonts w:hint="eastAsia" w:ascii="仿宋" w:hAnsi="仿宋" w:eastAsia="仿宋" w:cs="仿宋"/>
          <w:kern w:val="0"/>
          <w:sz w:val="30"/>
          <w:szCs w:val="30"/>
          <w:lang w:val="en-US" w:eastAsia="zh-CN" w:bidi="ar-SA"/>
        </w:rPr>
        <w:t>本单位无国有资本经营项目支出</w:t>
      </w:r>
    </w:p>
    <w:p w14:paraId="133D9D60">
      <w:pPr>
        <w:pStyle w:val="6"/>
        <w:widowControl/>
        <w:numPr>
          <w:ilvl w:val="0"/>
          <w:numId w:val="2"/>
        </w:numPr>
        <w:spacing w:line="600" w:lineRule="exact"/>
        <w:ind w:left="0" w:leftChars="0" w:firstLine="0" w:firstLineChars="0"/>
        <w:rPr>
          <w:rFonts w:hint="eastAsia" w:ascii="Times New Roman" w:hAnsi="Times New Roman" w:eastAsia="黑体"/>
          <w:sz w:val="32"/>
          <w:szCs w:val="32"/>
        </w:rPr>
      </w:pPr>
      <w:r>
        <w:rPr>
          <w:rFonts w:hint="eastAsia" w:ascii="Times New Roman" w:hAnsi="Times New Roman" w:eastAsia="黑体"/>
          <w:sz w:val="32"/>
          <w:szCs w:val="32"/>
        </w:rPr>
        <w:t>社会保险基金项目支出情况</w:t>
      </w:r>
    </w:p>
    <w:p w14:paraId="700C35A4">
      <w:pPr>
        <w:pStyle w:val="6"/>
        <w:widowControl/>
        <w:numPr>
          <w:ilvl w:val="0"/>
          <w:numId w:val="0"/>
        </w:numPr>
        <w:spacing w:line="600" w:lineRule="exact"/>
        <w:ind w:leftChars="0" w:firstLine="600" w:firstLineChars="200"/>
        <w:rPr>
          <w:rFonts w:hint="default"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本单位无社会保险基金项目支出</w:t>
      </w:r>
    </w:p>
    <w:p w14:paraId="413C6033">
      <w:pPr>
        <w:pStyle w:val="6"/>
        <w:widowControl/>
        <w:spacing w:line="600" w:lineRule="exact"/>
        <w:ind w:left="0" w:leftChars="0" w:firstLine="0" w:firstLineChars="0"/>
        <w:rPr>
          <w:rFonts w:hint="eastAsia" w:ascii="Times New Roman" w:hAnsi="Times New Roman" w:eastAsia="黑体"/>
          <w:sz w:val="32"/>
          <w:szCs w:val="32"/>
        </w:rPr>
      </w:pPr>
      <w:r>
        <w:rPr>
          <w:rFonts w:hint="eastAsia" w:ascii="Times New Roman" w:hAnsi="Times New Roman" w:eastAsia="黑体"/>
          <w:sz w:val="32"/>
          <w:szCs w:val="32"/>
        </w:rPr>
        <w:t>六、部门整体支出绩效情况</w:t>
      </w:r>
    </w:p>
    <w:p w14:paraId="7AF33BEE">
      <w:pPr>
        <w:adjustRightInd w:val="0"/>
        <w:snapToGrid w:val="0"/>
        <w:spacing w:line="540" w:lineRule="atLeas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（一）绩效评价实施过程情况</w:t>
      </w:r>
    </w:p>
    <w:p w14:paraId="09F5B484">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atLeast"/>
        <w:ind w:leftChars="0" w:firstLine="600" w:firstLineChars="200"/>
        <w:textAlignment w:val="auto"/>
        <w:rPr>
          <w:rFonts w:hint="default"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采用“4E”评价法及平衡记分法，从经济性、效率性、效益性、公平性、群众满意度进行政府绩效评价。通过对比年末预决算数据来评估经济性、效益性、公平性，在日常工作中收集群众反馈问题及投诉来评估群众满意度，更加全面、细致的完成部门整体评价。</w:t>
      </w:r>
    </w:p>
    <w:p w14:paraId="240B87CA">
      <w:pPr>
        <w:adjustRightInd w:val="0"/>
        <w:snapToGrid w:val="0"/>
        <w:spacing w:line="540" w:lineRule="atLeas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（二）绩效评价整体结果概况</w:t>
      </w:r>
    </w:p>
    <w:p w14:paraId="6ED237AA">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atLeast"/>
        <w:ind w:leftChars="0" w:firstLine="600" w:firstLineChars="200"/>
        <w:textAlignment w:val="auto"/>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2023年初预算数为664.92万元。其中，一般公共预算拨款664.92万元。2023年决算数1116.67万元，执行率为100%。三公经费5.99万元，执行率46.08%，控制了三公经费的开支。</w:t>
      </w:r>
    </w:p>
    <w:p w14:paraId="3374AECC">
      <w:pPr>
        <w:adjustRightInd w:val="0"/>
        <w:snapToGrid w:val="0"/>
        <w:spacing w:line="540" w:lineRule="atLeas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（三）投入情况分析，</w:t>
      </w:r>
    </w:p>
    <w:p w14:paraId="4F04EB2B">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atLeast"/>
        <w:ind w:leftChars="0" w:firstLine="600" w:firstLineChars="200"/>
        <w:textAlignment w:val="auto"/>
        <w:rPr>
          <w:rFonts w:hint="default"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按时完成2023年预算编制及公开，全年目标有1：贯彻执行规划建设，基础设施建设，稳定和完善农村基本经营管理全面实施下政府各项决策部署，确保各项工作目标任务圆满完成。2 ：计划完成公务车辆运行费支出预算金额的100%。3：计划完成公务接待支出预算金额的100% 。4：计划完成基本支出预算金额的100%。所有目标均根据往年部门整体绩效及政府日常工作设立。</w:t>
      </w:r>
    </w:p>
    <w:p w14:paraId="408DC887">
      <w:pPr>
        <w:adjustRightInd w:val="0"/>
        <w:snapToGrid w:val="0"/>
        <w:spacing w:line="540" w:lineRule="atLeas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（四）执行管理情况分析</w:t>
      </w:r>
    </w:p>
    <w:p w14:paraId="7FF4FF17">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atLeast"/>
        <w:ind w:leftChars="0" w:firstLine="600" w:firstLineChars="200"/>
        <w:textAlignment w:val="auto"/>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2023年决算支出为1116.67万元，执行率为100%。2023年决算数较2022年有所下降，主要控制了各项开支。</w:t>
      </w:r>
    </w:p>
    <w:p w14:paraId="073DC27C">
      <w:pPr>
        <w:adjustRightInd w:val="0"/>
        <w:snapToGrid w:val="0"/>
        <w:spacing w:line="540" w:lineRule="atLeast"/>
        <w:ind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（三）支出绩效情况分析</w:t>
      </w:r>
    </w:p>
    <w:p w14:paraId="468CF578">
      <w:pPr>
        <w:keepNext w:val="0"/>
        <w:keepLines w:val="0"/>
        <w:pageBreakBefore w:val="0"/>
        <w:widowControl/>
        <w:kinsoku/>
        <w:wordWrap/>
        <w:overflowPunct/>
        <w:topLinePunct w:val="0"/>
        <w:autoSpaceDE/>
        <w:autoSpaceDN/>
        <w:bidi w:val="0"/>
        <w:adjustRightInd/>
        <w:snapToGrid/>
        <w:spacing w:line="600" w:lineRule="exact"/>
        <w:ind w:firstLine="600" w:firstLineChars="200"/>
        <w:jc w:val="left"/>
        <w:textAlignment w:val="auto"/>
        <w:rPr>
          <w:color w:val="000000"/>
          <w:sz w:val="32"/>
          <w:szCs w:val="32"/>
        </w:rPr>
      </w:pPr>
      <w:r>
        <w:rPr>
          <w:rFonts w:hint="eastAsia" w:ascii="仿宋" w:hAnsi="仿宋" w:eastAsia="仿宋" w:cs="仿宋"/>
          <w:kern w:val="0"/>
          <w:sz w:val="30"/>
          <w:szCs w:val="30"/>
          <w:lang w:val="en-US" w:eastAsia="zh-CN" w:bidi="ar-SA"/>
        </w:rPr>
        <w:t>2023年基本支出为1116.67万元，其中基本支出为982.29万元，其他建设项目支出134.38万元,贯彻执行规划建设，基础设施建设，稳定和完善农村基本经营管理全面实施下政府各项决策部署，确保各项工作目标任务圆满完成。</w:t>
      </w:r>
    </w:p>
    <w:p w14:paraId="3FB5B3A6">
      <w:pPr>
        <w:pStyle w:val="6"/>
        <w:widowControl/>
        <w:numPr>
          <w:ilvl w:val="0"/>
          <w:numId w:val="3"/>
        </w:numPr>
        <w:spacing w:line="600" w:lineRule="exact"/>
        <w:ind w:left="0" w:leftChars="0" w:firstLine="0" w:firstLineChars="0"/>
        <w:rPr>
          <w:rFonts w:hint="eastAsia" w:ascii="Times New Roman" w:hAnsi="Times New Roman" w:eastAsia="黑体"/>
          <w:sz w:val="32"/>
          <w:szCs w:val="32"/>
        </w:rPr>
      </w:pPr>
      <w:r>
        <w:rPr>
          <w:rFonts w:hint="eastAsia" w:ascii="Times New Roman" w:hAnsi="Times New Roman" w:eastAsia="黑体"/>
          <w:sz w:val="32"/>
          <w:szCs w:val="32"/>
        </w:rPr>
        <w:t>存在的问题及原因分析</w:t>
      </w:r>
    </w:p>
    <w:p w14:paraId="091FBD29">
      <w:pPr>
        <w:pStyle w:val="6"/>
        <w:widowControl/>
        <w:numPr>
          <w:ilvl w:val="0"/>
          <w:numId w:val="0"/>
        </w:numPr>
        <w:spacing w:line="600" w:lineRule="exact"/>
        <w:ind w:leftChars="0" w:firstLine="600" w:firstLineChars="200"/>
        <w:rPr>
          <w:sz w:val="32"/>
          <w:szCs w:val="32"/>
        </w:rPr>
      </w:pPr>
      <w:r>
        <w:rPr>
          <w:rFonts w:hint="eastAsia" w:ascii="仿宋" w:hAnsi="仿宋" w:eastAsia="仿宋" w:cs="仿宋"/>
          <w:kern w:val="0"/>
          <w:sz w:val="30"/>
          <w:szCs w:val="30"/>
          <w:lang w:val="en-US" w:eastAsia="zh-CN"/>
        </w:rPr>
        <w:t>存在的问题：1.预算编制工作有待细化。预算编制不够明确和细化，预算编制的合理性需要提高，预算执行力度还要进一步加强；2.公用经费控制有一定难度，基本为刚性支出。</w:t>
      </w:r>
    </w:p>
    <w:p w14:paraId="6EBD77FD">
      <w:pPr>
        <w:pStyle w:val="6"/>
        <w:widowControl/>
        <w:numPr>
          <w:ilvl w:val="0"/>
          <w:numId w:val="3"/>
        </w:numPr>
        <w:spacing w:line="600" w:lineRule="exact"/>
        <w:ind w:left="0" w:leftChars="0" w:firstLine="0" w:firstLineChars="0"/>
        <w:rPr>
          <w:rFonts w:hint="eastAsia" w:ascii="Times New Roman" w:hAnsi="Times New Roman" w:eastAsia="黑体"/>
          <w:sz w:val="32"/>
          <w:szCs w:val="32"/>
        </w:rPr>
      </w:pPr>
      <w:r>
        <w:rPr>
          <w:rFonts w:hint="eastAsia" w:ascii="Times New Roman" w:hAnsi="Times New Roman" w:eastAsia="黑体"/>
          <w:sz w:val="32"/>
          <w:szCs w:val="32"/>
        </w:rPr>
        <w:t>下一步改进措施</w:t>
      </w:r>
    </w:p>
    <w:p w14:paraId="6B1E1D93">
      <w:pPr>
        <w:numPr>
          <w:ilvl w:val="0"/>
          <w:numId w:val="0"/>
        </w:numPr>
        <w:adjustRightInd w:val="0"/>
        <w:snapToGrid w:val="0"/>
        <w:spacing w:line="540" w:lineRule="atLeast"/>
        <w:ind w:firstLine="600" w:firstLineChars="200"/>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1.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14:paraId="0755AE99">
      <w:pPr>
        <w:numPr>
          <w:ilvl w:val="0"/>
          <w:numId w:val="0"/>
        </w:numPr>
        <w:adjustRightInd w:val="0"/>
        <w:snapToGrid w:val="0"/>
        <w:spacing w:line="540" w:lineRule="atLeast"/>
        <w:ind w:firstLine="600" w:firstLineChars="200"/>
        <w:rPr>
          <w:rFonts w:hint="eastAsia" w:ascii="Times New Roman" w:hAnsi="Times New Roman" w:eastAsia="黑体"/>
          <w:sz w:val="32"/>
          <w:szCs w:val="32"/>
        </w:rPr>
      </w:pPr>
      <w:r>
        <w:rPr>
          <w:rFonts w:hint="eastAsia" w:ascii="仿宋" w:hAnsi="仿宋" w:eastAsia="仿宋" w:cs="仿宋"/>
          <w:kern w:val="0"/>
          <w:sz w:val="30"/>
          <w:szCs w:val="30"/>
          <w:lang w:val="en-US" w:eastAsia="zh-CN"/>
        </w:rPr>
        <w:t>2. 加强财务管理，严格财务审核。加强单位财务管理，健全单位财务管理制度体系，规范单位财务行为。在费用报账支付时，按照预算规定的费用项目和用途进行资金使用审核、列报支付、财务核算，杜绝超支现象的发生。</w:t>
      </w:r>
    </w:p>
    <w:p w14:paraId="2CBED34C">
      <w:pPr>
        <w:pStyle w:val="6"/>
        <w:widowControl/>
        <w:spacing w:line="600" w:lineRule="exact"/>
        <w:ind w:left="0" w:leftChars="0" w:firstLine="0" w:firstLineChars="0"/>
        <w:rPr>
          <w:rFonts w:hint="eastAsia" w:ascii="Times New Roman" w:hAnsi="Times New Roman" w:eastAsia="黑体"/>
          <w:sz w:val="32"/>
          <w:szCs w:val="32"/>
        </w:rPr>
      </w:pPr>
      <w:r>
        <w:rPr>
          <w:rFonts w:hint="eastAsia" w:ascii="Times New Roman" w:hAnsi="Times New Roman" w:eastAsia="黑体"/>
          <w:sz w:val="32"/>
          <w:szCs w:val="32"/>
        </w:rPr>
        <w:t>九、部门整体支出绩效自评结果拟应用和公开情况</w:t>
      </w:r>
    </w:p>
    <w:p w14:paraId="2EA24E03">
      <w:pPr>
        <w:widowControl/>
        <w:spacing w:line="600" w:lineRule="exact"/>
        <w:ind w:firstLine="600" w:firstLineChars="200"/>
        <w:jc w:val="left"/>
        <w:rPr>
          <w:rFonts w:hint="default"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本单位如实应用和公开</w:t>
      </w:r>
    </w:p>
    <w:p w14:paraId="6188CBB0">
      <w:pPr>
        <w:widowControl/>
        <w:spacing w:line="600" w:lineRule="exact"/>
        <w:jc w:val="left"/>
        <w:rPr>
          <w:rFonts w:hint="eastAsia" w:ascii="Times New Roman" w:hAnsi="Times New Roman" w:eastAsia="黑体"/>
          <w:sz w:val="32"/>
          <w:szCs w:val="32"/>
        </w:rPr>
      </w:pPr>
      <w:r>
        <w:rPr>
          <w:rFonts w:hint="eastAsia" w:ascii="Times New Roman" w:hAnsi="Times New Roman" w:eastAsia="黑体" w:cs="Times New Roman"/>
          <w:kern w:val="0"/>
          <w:sz w:val="32"/>
          <w:szCs w:val="32"/>
          <w:lang w:val="en-US" w:eastAsia="zh-CN" w:bidi="ar-SA"/>
        </w:rPr>
        <w:t>十</w:t>
      </w:r>
      <w:r>
        <w:rPr>
          <w:rFonts w:hint="eastAsia" w:eastAsia="黑体"/>
          <w:sz w:val="32"/>
          <w:szCs w:val="32"/>
        </w:rPr>
        <w:t>、其他需要说明的情况</w:t>
      </w:r>
    </w:p>
    <w:p w14:paraId="3B6FFBBB">
      <w:pPr>
        <w:pStyle w:val="6"/>
        <w:widowControl/>
        <w:spacing w:line="600" w:lineRule="exact"/>
        <w:ind w:left="0" w:leftChars="0" w:firstLine="600" w:firstLineChars="200"/>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bidi="ar-SA"/>
        </w:rPr>
        <w:t>无</w:t>
      </w:r>
    </w:p>
    <w:p w14:paraId="285097A8">
      <w:pPr>
        <w:widowControl/>
        <w:spacing w:line="600" w:lineRule="exact"/>
        <w:ind w:firstLine="645"/>
        <w:jc w:val="left"/>
        <w:rPr>
          <w:rFonts w:hint="eastAsia"/>
          <w:sz w:val="32"/>
          <w:szCs w:val="32"/>
        </w:rPr>
      </w:pPr>
    </w:p>
    <w:p w14:paraId="045058CD">
      <w:pPr>
        <w:widowControl/>
        <w:spacing w:line="600" w:lineRule="exact"/>
        <w:ind w:firstLine="645"/>
        <w:jc w:val="left"/>
        <w:rPr>
          <w:rFonts w:hint="eastAsia"/>
          <w:sz w:val="32"/>
          <w:szCs w:val="32"/>
        </w:rPr>
      </w:pPr>
    </w:p>
    <w:p w14:paraId="1CBDC317">
      <w:pPr>
        <w:widowControl/>
        <w:spacing w:line="600" w:lineRule="exact"/>
        <w:ind w:firstLine="645"/>
        <w:jc w:val="left"/>
        <w:rPr>
          <w:rFonts w:hint="eastAsia"/>
          <w:sz w:val="32"/>
          <w:szCs w:val="32"/>
        </w:rPr>
      </w:pPr>
    </w:p>
    <w:p w14:paraId="3826E4DD">
      <w:pPr>
        <w:widowControl/>
        <w:spacing w:line="600" w:lineRule="exact"/>
        <w:ind w:firstLine="645"/>
        <w:jc w:val="left"/>
        <w:rPr>
          <w:rFonts w:hint="eastAsia"/>
          <w:sz w:val="32"/>
          <w:szCs w:val="32"/>
        </w:rPr>
      </w:pPr>
    </w:p>
    <w:p w14:paraId="53EDF548">
      <w:pPr>
        <w:numPr>
          <w:ilvl w:val="0"/>
          <w:numId w:val="0"/>
        </w:numPr>
        <w:adjustRightInd w:val="0"/>
        <w:snapToGrid w:val="0"/>
        <w:spacing w:line="540" w:lineRule="atLeast"/>
        <w:jc w:val="center"/>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 xml:space="preserve">                                      小龙门乡人民政府</w:t>
      </w:r>
    </w:p>
    <w:p w14:paraId="49E15A0C">
      <w:pPr>
        <w:numPr>
          <w:ilvl w:val="0"/>
          <w:numId w:val="0"/>
        </w:numPr>
        <w:adjustRightInd w:val="0"/>
        <w:snapToGrid w:val="0"/>
        <w:spacing w:line="540" w:lineRule="atLeast"/>
        <w:ind w:leftChars="200" w:firstLine="600" w:firstLineChars="200"/>
        <w:rPr>
          <w:rFonts w:hint="default"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 xml:space="preserve">                               2024年4月12日</w:t>
      </w:r>
    </w:p>
    <w:p w14:paraId="50FC89D1">
      <w:pPr>
        <w:widowControl/>
        <w:spacing w:line="600" w:lineRule="exact"/>
        <w:ind w:firstLine="645"/>
        <w:jc w:val="left"/>
        <w:rPr>
          <w:rFonts w:hint="eastAsia"/>
          <w:sz w:val="32"/>
          <w:szCs w:val="32"/>
        </w:rPr>
      </w:pPr>
    </w:p>
    <w:p w14:paraId="6CE81F32">
      <w:pPr>
        <w:widowControl/>
        <w:spacing w:line="600" w:lineRule="exact"/>
        <w:ind w:firstLine="645"/>
        <w:jc w:val="left"/>
        <w:rPr>
          <w:rFonts w:hint="eastAsia"/>
          <w:sz w:val="32"/>
          <w:szCs w:val="32"/>
        </w:rPr>
      </w:pPr>
    </w:p>
    <w:p w14:paraId="27A8910F">
      <w:pPr>
        <w:widowControl/>
        <w:spacing w:line="600" w:lineRule="exact"/>
        <w:ind w:firstLine="645"/>
        <w:jc w:val="left"/>
        <w:rPr>
          <w:rFonts w:hint="eastAsia"/>
          <w:sz w:val="32"/>
          <w:szCs w:val="32"/>
        </w:rPr>
      </w:pPr>
    </w:p>
    <w:p w14:paraId="4203428E">
      <w:pPr>
        <w:widowControl/>
        <w:spacing w:line="600" w:lineRule="exact"/>
        <w:ind w:firstLine="645"/>
        <w:jc w:val="left"/>
        <w:rPr>
          <w:rFonts w:hint="eastAsia"/>
          <w:sz w:val="32"/>
          <w:szCs w:val="32"/>
        </w:rPr>
      </w:pPr>
    </w:p>
    <w:p w14:paraId="21118538">
      <w:pPr>
        <w:widowControl/>
        <w:spacing w:line="600" w:lineRule="exact"/>
        <w:ind w:firstLine="645"/>
        <w:jc w:val="left"/>
        <w:rPr>
          <w:rFonts w:hint="eastAsia"/>
          <w:sz w:val="32"/>
          <w:szCs w:val="32"/>
        </w:rPr>
      </w:pPr>
    </w:p>
    <w:p w14:paraId="4AAD148F">
      <w:pPr>
        <w:widowControl/>
        <w:spacing w:line="600" w:lineRule="exact"/>
        <w:ind w:firstLine="645"/>
        <w:jc w:val="left"/>
        <w:rPr>
          <w:rFonts w:hint="eastAsia"/>
          <w:sz w:val="32"/>
          <w:szCs w:val="32"/>
        </w:rPr>
      </w:pPr>
    </w:p>
    <w:p w14:paraId="24ECAB47">
      <w:pPr>
        <w:widowControl/>
        <w:spacing w:line="600" w:lineRule="exact"/>
        <w:ind w:firstLine="645"/>
        <w:jc w:val="left"/>
        <w:rPr>
          <w:rFonts w:hint="eastAsia"/>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37CBC6"/>
    <w:multiLevelType w:val="singleLevel"/>
    <w:tmpl w:val="9437CBC6"/>
    <w:lvl w:ilvl="0" w:tentative="0">
      <w:start w:val="7"/>
      <w:numFmt w:val="chineseCounting"/>
      <w:suff w:val="nothing"/>
      <w:lvlText w:val="%1、"/>
      <w:lvlJc w:val="left"/>
      <w:rPr>
        <w:rFonts w:hint="eastAsia"/>
      </w:rPr>
    </w:lvl>
  </w:abstractNum>
  <w:abstractNum w:abstractNumId="1">
    <w:nsid w:val="E64D8D50"/>
    <w:multiLevelType w:val="singleLevel"/>
    <w:tmpl w:val="E64D8D50"/>
    <w:lvl w:ilvl="0" w:tentative="0">
      <w:start w:val="5"/>
      <w:numFmt w:val="chineseCounting"/>
      <w:suff w:val="nothing"/>
      <w:lvlText w:val="%1、"/>
      <w:lvlJc w:val="left"/>
      <w:rPr>
        <w:rFonts w:hint="eastAsia"/>
      </w:rPr>
    </w:lvl>
  </w:abstractNum>
  <w:abstractNum w:abstractNumId="2">
    <w:nsid w:val="10C04C43"/>
    <w:multiLevelType w:val="singleLevel"/>
    <w:tmpl w:val="10C04C43"/>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FjNTBkNGMyNTA0ODRiOGExMDYzZjJkY2UxZWQwN2IifQ=="/>
    <w:docVar w:name="KSO_WPS_MARK_KEY" w:val="ead134b7-3c97-45f9-b9d0-cb3e1799ca2b"/>
  </w:docVars>
  <w:rsids>
    <w:rsidRoot w:val="6E7B3E32"/>
    <w:rsid w:val="02E802B8"/>
    <w:rsid w:val="432158F7"/>
    <w:rsid w:val="4DB718CB"/>
    <w:rsid w:val="6E7B3E32"/>
    <w:rsid w:val="7ECC08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24"/>
      <w:lang w:val="en-US" w:eastAsia="zh-CN" w:bidi="ar-SA"/>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autoRedefine/>
    <w:qFormat/>
    <w:uiPriority w:val="99"/>
    <w:pPr>
      <w:spacing w:line="365" w:lineRule="atLeast"/>
      <w:ind w:left="1" w:firstLine="420" w:firstLineChars="200"/>
      <w:textAlignment w:val="bottom"/>
    </w:pPr>
    <w:rPr>
      <w:rFonts w:ascii="Calibri" w:hAnsi="Calibri" w:eastAsia="宋体"/>
      <w:kern w:val="0"/>
      <w:sz w:val="20"/>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2345</Words>
  <Characters>2544</Characters>
  <Lines>0</Lines>
  <Paragraphs>0</Paragraphs>
  <TotalTime>16</TotalTime>
  <ScaleCrop>false</ScaleCrop>
  <LinksUpToDate>false</LinksUpToDate>
  <CharactersWithSpaces>2617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2024-04-12T05:52:00Z</dcterms:created>
  <dc:creator>PC</dc:creator>
  <cp:lastModifiedBy>Auknow</cp:lastModifiedBy>
  <dcterms:modified xsi:type="dcterms:W3CDTF">2024-09-03T02:44:51Z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E882AF75AAC049439C9624549E20A76B</vt:lpwstr>
  </property>
</Properties>
</file>