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附件2：</w:t>
      </w:r>
    </w:p>
    <w:p>
      <w:pPr>
        <w:jc w:val="center"/>
        <w:rPr>
          <w:rFonts w:hint="eastAsia" w:ascii="黑体" w:hAnsi="黑体" w:eastAsia="黑体" w:cs="黑体"/>
          <w:sz w:val="36"/>
          <w:szCs w:val="36"/>
          <w:lang w:val="en-US" w:eastAsia="zh-CN"/>
        </w:rPr>
      </w:pPr>
      <w:r>
        <w:rPr>
          <w:rFonts w:hint="eastAsia" w:ascii="黑体" w:hAnsi="黑体" w:eastAsia="黑体" w:cs="黑体"/>
          <w:sz w:val="36"/>
          <w:szCs w:val="36"/>
          <w:u w:val="single"/>
          <w:lang w:val="en-US" w:eastAsia="zh-CN"/>
        </w:rPr>
        <w:t>龙泉岩乡人民政府</w:t>
      </w:r>
      <w:r>
        <w:rPr>
          <w:rFonts w:hint="eastAsia" w:ascii="黑体" w:hAnsi="黑体" w:eastAsia="黑体" w:cs="黑体"/>
          <w:sz w:val="36"/>
          <w:szCs w:val="36"/>
          <w:lang w:val="en-US" w:eastAsia="zh-CN"/>
        </w:rPr>
        <w:t>（单位）政务公开负面清单</w:t>
      </w:r>
    </w:p>
    <w:tbl>
      <w:tblPr>
        <w:tblStyle w:val="4"/>
        <w:tblW w:w="8857"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2169"/>
        <w:gridCol w:w="2365"/>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序号</w:t>
            </w:r>
          </w:p>
        </w:tc>
        <w:tc>
          <w:tcPr>
            <w:tcW w:w="2169"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信息事项类别</w:t>
            </w:r>
          </w:p>
        </w:tc>
        <w:tc>
          <w:tcPr>
            <w:tcW w:w="236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信息事项内容</w:t>
            </w:r>
          </w:p>
        </w:tc>
        <w:tc>
          <w:tcPr>
            <w:tcW w:w="3457" w:type="dxa"/>
          </w:tcPr>
          <w:p>
            <w:pPr>
              <w:jc w:val="both"/>
              <w:rPr>
                <w:rFonts w:hint="default" w:ascii="楷体" w:hAnsi="楷体" w:eastAsia="楷体" w:cs="楷体"/>
                <w:b/>
                <w:bCs/>
                <w:sz w:val="36"/>
                <w:szCs w:val="36"/>
                <w:vertAlign w:val="baseline"/>
                <w:lang w:val="en-US" w:eastAsia="zh-CN"/>
              </w:rPr>
            </w:pPr>
            <w:r>
              <w:rPr>
                <w:rFonts w:hint="eastAsia" w:ascii="仿宋" w:hAnsi="仿宋" w:eastAsia="仿宋" w:cs="仿宋"/>
                <w:b/>
                <w:bCs/>
                <w:sz w:val="28"/>
                <w:szCs w:val="28"/>
                <w:vertAlign w:val="baseline"/>
                <w:lang w:val="en-US" w:eastAsia="zh-CN"/>
              </w:rPr>
              <w:t>不予主动公开法律政策依据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tcPr>
          <w:p>
            <w:pPr>
              <w:jc w:val="both"/>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default" w:ascii="黑体" w:hAnsi="黑体" w:eastAsia="黑体" w:cs="黑体"/>
                <w:sz w:val="36"/>
                <w:szCs w:val="36"/>
                <w:vertAlign w:val="baseline"/>
                <w:lang w:val="en-US" w:eastAsia="zh-CN"/>
              </w:rPr>
            </w:pPr>
            <w:r>
              <w:rPr>
                <w:rFonts w:hint="eastAsia" w:ascii="仿宋" w:hAnsi="仿宋" w:eastAsia="仿宋" w:cs="仿宋"/>
                <w:sz w:val="24"/>
                <w:szCs w:val="24"/>
                <w:vertAlign w:val="baseline"/>
                <w:lang w:val="en-US" w:eastAsia="zh-CN"/>
              </w:rPr>
              <w:t>1</w:t>
            </w:r>
          </w:p>
        </w:tc>
        <w:tc>
          <w:tcPr>
            <w:tcW w:w="2169"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涉及国家秘密以及危及国家安全、经济安全、公共安全和社会稳定的政府信息。</w:t>
            </w:r>
          </w:p>
        </w:tc>
        <w:tc>
          <w:tcPr>
            <w:tcW w:w="2365"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公开后危及国家安全、经济安全、公共安全、社会稳定的事项和涉及国家秘密、商业秘密、个人隐私的政府信息不予公开。经法定程序解密后的信息，可由发文机关予以公开。</w:t>
            </w:r>
          </w:p>
        </w:tc>
        <w:tc>
          <w:tcPr>
            <w:tcW w:w="3457"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依据：《中华人民共和国保守国家秘密法实施条例》第十四条：“依法确定为国家秘密的政府信息，法律、行政法规禁止公开的政府信息，以及公开后可能危及国家安全、公共安全、经济安全、社会稳定的政府信息，不予公开。”；《中华人民共和国保守国家秘密法实施条例》第五条。</w:t>
            </w:r>
          </w:p>
          <w:p>
            <w:pPr>
              <w:jc w:val="both"/>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866" w:type="dxa"/>
          </w:tcPr>
          <w:p>
            <w:pPr>
              <w:jc w:val="center"/>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ind w:firstLine="240" w:firstLineChars="100"/>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69"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涉及商业秘密、个人隐私的政府信息</w:t>
            </w:r>
          </w:p>
        </w:tc>
        <w:tc>
          <w:tcPr>
            <w:tcW w:w="2365" w:type="dxa"/>
          </w:tcPr>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受理行政许可、行政审批及其他监管事项中涉及商业秘密或个人隐私的信息。但经权利人同意或者行政机关认为不公开可能对公共利益造成重大影响的政府信息，可以予以公开。</w:t>
            </w:r>
          </w:p>
        </w:tc>
        <w:tc>
          <w:tcPr>
            <w:tcW w:w="3457"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default"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依据：《中华人民共和国政府信息公开条例》十五条；《中华人民共和国法典》第一百一十一条、第一千零三十四条、第一千零三十五条。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866" w:type="dxa"/>
            <w:vMerge w:val="restart"/>
          </w:tcPr>
          <w:p>
            <w:pPr>
              <w:jc w:val="center"/>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69" w:type="dxa"/>
            <w:vMerge w:val="restart"/>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内部管理信息和过程性信息</w:t>
            </w:r>
          </w:p>
        </w:tc>
        <w:tc>
          <w:tcPr>
            <w:tcW w:w="2365"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人事工作中不予主动公开的信息：包括尚未公布的工资(含津贴、补贴) 、人事、机构编制、职位职称工作的计划、方案和政策； 工资、人事、机构编制、职位职称工作的统计资料；干部任免考察材料；干部的档案及汇总名册；人事处分决定；涉外活动中需要保密的事项。</w:t>
            </w:r>
          </w:p>
        </w:tc>
        <w:tc>
          <w:tcPr>
            <w:tcW w:w="3457"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bookmarkStart w:id="0" w:name="_GoBack"/>
            <w:bookmarkEnd w:id="0"/>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pStyle w:val="2"/>
              <w:keepNext w:val="0"/>
              <w:keepLines w:val="0"/>
              <w:widowControl/>
              <w:suppressLineNumbers w:val="0"/>
              <w:shd w:val="clear" w:fill="FFFFFF"/>
              <w:ind w:left="0" w:firstLine="0"/>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依据：</w:t>
            </w:r>
            <w:r>
              <w:rPr>
                <w:rFonts w:hint="default" w:ascii="仿宋" w:hAnsi="仿宋" w:eastAsia="仿宋" w:cs="仿宋"/>
                <w:b w:val="0"/>
                <w:bCs w:val="0"/>
                <w:kern w:val="2"/>
                <w:sz w:val="24"/>
                <w:szCs w:val="24"/>
                <w:vertAlign w:val="baseline"/>
                <w:lang w:val="en-US" w:eastAsia="zh-CN" w:bidi="ar-SA"/>
              </w:rPr>
              <w:t>《干部人事档案工作条例》</w:t>
            </w:r>
            <w:r>
              <w:rPr>
                <w:rFonts w:hint="eastAsia" w:ascii="仿宋" w:hAnsi="仿宋" w:eastAsia="仿宋" w:cs="仿宋"/>
                <w:b w:val="0"/>
                <w:bCs w:val="0"/>
                <w:kern w:val="2"/>
                <w:sz w:val="24"/>
                <w:szCs w:val="24"/>
                <w:vertAlign w:val="baseline"/>
                <w:lang w:val="en-US" w:eastAsia="zh-CN" w:bidi="ar-SA"/>
              </w:rPr>
              <w:t>、</w:t>
            </w:r>
            <w:r>
              <w:rPr>
                <w:rFonts w:hint="eastAsia" w:ascii="仿宋" w:hAnsi="仿宋" w:eastAsia="仿宋" w:cs="仿宋"/>
                <w:b w:val="0"/>
                <w:bCs w:val="0"/>
                <w:sz w:val="24"/>
                <w:szCs w:val="24"/>
                <w:vertAlign w:val="baseline"/>
                <w:lang w:val="en-US" w:eastAsia="zh-CN"/>
              </w:rPr>
              <w:t>《人事工作中国家秘密及其密级具体范围的规定》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866" w:type="dxa"/>
            <w:vMerge w:val="continue"/>
          </w:tcPr>
          <w:p>
            <w:pPr>
              <w:jc w:val="center"/>
            </w:pPr>
          </w:p>
        </w:tc>
        <w:tc>
          <w:tcPr>
            <w:tcW w:w="2169" w:type="dxa"/>
            <w:vMerge w:val="continue"/>
          </w:tcPr>
          <w:p>
            <w:pPr>
              <w:jc w:val="both"/>
            </w:pPr>
          </w:p>
        </w:tc>
        <w:tc>
          <w:tcPr>
            <w:tcW w:w="2365" w:type="dxa"/>
          </w:tcPr>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拟制中不宜公开的政策文稿； 不宜公开的会议材料、领导讲话材料；不宜公开的内部管理措施、内部统计数据、方案、内部合同和协议文本等；业务工作的管理和监督活动中不宜公开的事项。</w:t>
            </w:r>
          </w:p>
        </w:tc>
        <w:tc>
          <w:tcPr>
            <w:tcW w:w="3457"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依据：《国务院办公厅关于做好政府信息依申请公开工作的意见》《中华人民共和国政府信息公开条例》第十六条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66" w:type="dxa"/>
            <w:vMerge w:val="continue"/>
          </w:tcPr>
          <w:p>
            <w:pPr>
              <w:jc w:val="center"/>
            </w:pPr>
          </w:p>
        </w:tc>
        <w:tc>
          <w:tcPr>
            <w:tcW w:w="2169" w:type="dxa"/>
            <w:vMerge w:val="continue"/>
          </w:tcPr>
          <w:p>
            <w:pPr>
              <w:jc w:val="both"/>
            </w:pPr>
          </w:p>
        </w:tc>
        <w:tc>
          <w:tcPr>
            <w:tcW w:w="2365" w:type="dxa"/>
          </w:tcPr>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正在调查、讨论、处理过程中的信息：履行行政管理职能过程中形成的讨论记录、过程稿、磋商信函、请示报告等过程性信息。</w:t>
            </w:r>
          </w:p>
        </w:tc>
        <w:tc>
          <w:tcPr>
            <w:tcW w:w="3457"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依据：《国务院办公厅关于做好政府信息依申请公开工作的意见》、《中华人民共和国政府信息公开条例》第十六条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tcPr>
          <w:p>
            <w:pPr>
              <w:jc w:val="center"/>
              <w:rPr>
                <w:rFonts w:hint="eastAsia" w:ascii="仿宋" w:hAnsi="仿宋" w:eastAsia="仿宋" w:cs="仿宋"/>
                <w:sz w:val="24"/>
                <w:szCs w:val="24"/>
                <w:vertAlign w:val="baseline"/>
                <w:lang w:val="en-US" w:eastAsia="zh-CN"/>
              </w:rPr>
            </w:pPr>
          </w:p>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69" w:type="dxa"/>
          </w:tcPr>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需加工、分析的政府信息</w:t>
            </w:r>
          </w:p>
        </w:tc>
        <w:tc>
          <w:tcPr>
            <w:tcW w:w="2365" w:type="dxa"/>
          </w:tcPr>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本单位需汇总、分析、加工或重新制作的政府信息。</w:t>
            </w:r>
          </w:p>
        </w:tc>
        <w:tc>
          <w:tcPr>
            <w:tcW w:w="3457" w:type="dxa"/>
          </w:tcPr>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依据：《中华人民共和国政府信息公开条例》第三十八条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tcPr>
          <w:p>
            <w:pPr>
              <w:jc w:val="both"/>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69"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行政执法案卷等信息</w:t>
            </w:r>
          </w:p>
        </w:tc>
        <w:tc>
          <w:tcPr>
            <w:tcW w:w="2365" w:type="dxa"/>
          </w:tcPr>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本单位管理的</w:t>
            </w:r>
            <w:r>
              <w:rPr>
                <w:rFonts w:hint="default" w:ascii="仿宋" w:hAnsi="仿宋" w:eastAsia="仿宋" w:cs="仿宋"/>
                <w:b w:val="0"/>
                <w:bCs w:val="0"/>
                <w:sz w:val="24"/>
                <w:szCs w:val="24"/>
                <w:vertAlign w:val="baseline"/>
                <w:lang w:val="en-US" w:eastAsia="zh-CN"/>
              </w:rPr>
              <w:t>行政执法案卷信息，可以不予公开。查阅案卷登记材料等信息，应当按照相关法律、法规、规章规定办理。</w:t>
            </w:r>
          </w:p>
        </w:tc>
        <w:tc>
          <w:tcPr>
            <w:tcW w:w="3457"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依据：《中华人民共和国政府信息公开条例》第十六条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tcPr>
          <w:p>
            <w:pPr>
              <w:jc w:val="center"/>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eastAsia" w:ascii="仿宋" w:hAnsi="仿宋" w:eastAsia="仿宋" w:cs="仿宋"/>
                <w:sz w:val="24"/>
                <w:szCs w:val="24"/>
                <w:vertAlign w:val="baseline"/>
                <w:lang w:val="en-US" w:eastAsia="zh-CN"/>
              </w:rPr>
            </w:pPr>
          </w:p>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69" w:type="dxa"/>
          </w:tcPr>
          <w:p>
            <w:pPr>
              <w:jc w:val="both"/>
              <w:rPr>
                <w:rFonts w:hint="default" w:ascii="仿宋" w:hAnsi="仿宋" w:eastAsia="仿宋" w:cs="仿宋"/>
                <w:b w:val="0"/>
                <w:bCs w:val="0"/>
                <w:sz w:val="24"/>
                <w:szCs w:val="24"/>
                <w:vertAlign w:val="baseline"/>
                <w:lang w:val="en-US" w:eastAsia="zh-CN"/>
              </w:rPr>
            </w:pPr>
          </w:p>
          <w:p>
            <w:pPr>
              <w:jc w:val="both"/>
              <w:rPr>
                <w:rFonts w:hint="default" w:ascii="仿宋" w:hAnsi="仿宋" w:eastAsia="仿宋" w:cs="仿宋"/>
                <w:b w:val="0"/>
                <w:bCs w:val="0"/>
                <w:sz w:val="24"/>
                <w:szCs w:val="24"/>
                <w:vertAlign w:val="baseline"/>
                <w:lang w:val="en-US" w:eastAsia="zh-CN"/>
              </w:rPr>
            </w:pPr>
          </w:p>
          <w:p>
            <w:pPr>
              <w:jc w:val="both"/>
              <w:rPr>
                <w:rFonts w:hint="default" w:ascii="仿宋" w:hAnsi="仿宋" w:eastAsia="仿宋" w:cs="仿宋"/>
                <w:b w:val="0"/>
                <w:bCs w:val="0"/>
                <w:sz w:val="24"/>
                <w:szCs w:val="24"/>
                <w:vertAlign w:val="baseline"/>
                <w:lang w:val="en-US" w:eastAsia="zh-CN"/>
              </w:rPr>
            </w:pPr>
          </w:p>
          <w:p>
            <w:pPr>
              <w:jc w:val="both"/>
              <w:rPr>
                <w:rFonts w:hint="eastAsia" w:ascii="黑体" w:hAnsi="黑体" w:eastAsia="黑体" w:cs="黑体"/>
                <w:sz w:val="36"/>
                <w:szCs w:val="36"/>
                <w:vertAlign w:val="baseline"/>
                <w:lang w:val="en-US" w:eastAsia="zh-CN"/>
              </w:rPr>
            </w:pPr>
            <w:r>
              <w:rPr>
                <w:rFonts w:hint="default" w:ascii="仿宋" w:hAnsi="仿宋" w:eastAsia="仿宋" w:cs="仿宋"/>
                <w:b w:val="0"/>
                <w:bCs w:val="0"/>
                <w:sz w:val="24"/>
                <w:szCs w:val="24"/>
                <w:vertAlign w:val="baseline"/>
                <w:lang w:val="en-US" w:eastAsia="zh-CN"/>
              </w:rPr>
              <w:t>工商、不动产登记资料等信息</w:t>
            </w:r>
          </w:p>
        </w:tc>
        <w:tc>
          <w:tcPr>
            <w:tcW w:w="2365" w:type="dxa"/>
          </w:tcPr>
          <w:p>
            <w:pPr>
              <w:jc w:val="both"/>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本单位管理的</w:t>
            </w:r>
            <w:r>
              <w:rPr>
                <w:rFonts w:hint="default" w:ascii="仿宋" w:hAnsi="仿宋" w:eastAsia="仿宋" w:cs="仿宋"/>
                <w:b w:val="0"/>
                <w:bCs w:val="0"/>
                <w:sz w:val="24"/>
                <w:szCs w:val="24"/>
                <w:vertAlign w:val="baseline"/>
                <w:lang w:val="en-US" w:eastAsia="zh-CN"/>
              </w:rPr>
              <w:t>工商、不动产登记资料等信息可不予公开。有关法律、行政法规对信息的获取有特别规定的，申请人需依照有关法律、行政法规的规定办理</w:t>
            </w:r>
          </w:p>
        </w:tc>
        <w:tc>
          <w:tcPr>
            <w:tcW w:w="3457"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default" w:ascii="黑体" w:hAnsi="黑体" w:eastAsia="黑体" w:cs="黑体"/>
                <w:sz w:val="36"/>
                <w:szCs w:val="36"/>
                <w:vertAlign w:val="baseline"/>
                <w:lang w:val="en-US" w:eastAsia="zh-CN"/>
              </w:rPr>
            </w:pPr>
            <w:r>
              <w:rPr>
                <w:rFonts w:hint="eastAsia" w:ascii="仿宋" w:hAnsi="仿宋" w:eastAsia="仿宋" w:cs="仿宋"/>
                <w:b w:val="0"/>
                <w:bCs w:val="0"/>
                <w:sz w:val="24"/>
                <w:szCs w:val="24"/>
                <w:vertAlign w:val="baseline"/>
                <w:lang w:val="en-US" w:eastAsia="zh-CN"/>
              </w:rPr>
              <w:t>依据：《中华人民共和国政府信息公开条例》第三十六条第七项。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866" w:type="dxa"/>
            <w:vMerge w:val="restart"/>
          </w:tcPr>
          <w:p>
            <w:pPr>
              <w:jc w:val="center"/>
              <w:rPr>
                <w:rFonts w:hint="eastAsia" w:ascii="仿宋" w:hAnsi="仿宋" w:eastAsia="仿宋" w:cs="仿宋"/>
                <w:b w:val="0"/>
                <w:bCs w:val="0"/>
                <w:sz w:val="24"/>
                <w:szCs w:val="24"/>
                <w:vertAlign w:val="baseline"/>
                <w:lang w:val="en-US" w:eastAsia="zh-CN"/>
              </w:rPr>
            </w:pPr>
          </w:p>
          <w:p>
            <w:pPr>
              <w:jc w:val="center"/>
              <w:rPr>
                <w:rFonts w:hint="eastAsia" w:ascii="仿宋" w:hAnsi="仿宋" w:eastAsia="仿宋" w:cs="仿宋"/>
                <w:b w:val="0"/>
                <w:bCs w:val="0"/>
                <w:sz w:val="24"/>
                <w:szCs w:val="24"/>
                <w:vertAlign w:val="baseline"/>
                <w:lang w:val="en-US" w:eastAsia="zh-CN"/>
              </w:rPr>
            </w:pPr>
          </w:p>
          <w:p>
            <w:pPr>
              <w:jc w:val="center"/>
              <w:rPr>
                <w:rFonts w:hint="eastAsia" w:ascii="仿宋" w:hAnsi="仿宋" w:eastAsia="仿宋" w:cs="仿宋"/>
                <w:b w:val="0"/>
                <w:bCs w:val="0"/>
                <w:sz w:val="24"/>
                <w:szCs w:val="24"/>
                <w:vertAlign w:val="baseline"/>
                <w:lang w:val="en-US" w:eastAsia="zh-CN"/>
              </w:rPr>
            </w:pPr>
          </w:p>
          <w:p>
            <w:pPr>
              <w:jc w:val="center"/>
              <w:rPr>
                <w:rFonts w:hint="eastAsia" w:ascii="仿宋" w:hAnsi="仿宋" w:eastAsia="仿宋" w:cs="仿宋"/>
                <w:b w:val="0"/>
                <w:bCs w:val="0"/>
                <w:sz w:val="24"/>
                <w:szCs w:val="24"/>
                <w:vertAlign w:val="baseline"/>
                <w:lang w:val="en-US" w:eastAsia="zh-CN"/>
              </w:rPr>
            </w:pPr>
          </w:p>
          <w:p>
            <w:pPr>
              <w:jc w:val="center"/>
              <w:rPr>
                <w:rFonts w:hint="eastAsia" w:ascii="仿宋" w:hAnsi="仿宋" w:eastAsia="仿宋" w:cs="仿宋"/>
                <w:b w:val="0"/>
                <w:bCs w:val="0"/>
                <w:sz w:val="24"/>
                <w:szCs w:val="24"/>
                <w:vertAlign w:val="baseline"/>
                <w:lang w:val="en-US" w:eastAsia="zh-CN"/>
              </w:rPr>
            </w:pPr>
          </w:p>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7</w:t>
            </w:r>
          </w:p>
        </w:tc>
        <w:tc>
          <w:tcPr>
            <w:tcW w:w="2169" w:type="dxa"/>
            <w:vMerge w:val="restart"/>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信访、投诉、举报事项</w:t>
            </w:r>
          </w:p>
        </w:tc>
        <w:tc>
          <w:tcPr>
            <w:tcW w:w="2365" w:type="dxa"/>
          </w:tcPr>
          <w:p>
            <w:pPr>
              <w:jc w:val="both"/>
              <w:rPr>
                <w:rFonts w:hint="eastAsia" w:ascii="仿宋" w:hAnsi="仿宋" w:eastAsia="仿宋" w:cs="仿宋"/>
                <w:b w:val="0"/>
                <w:bCs w:val="0"/>
                <w:sz w:val="24"/>
                <w:szCs w:val="24"/>
                <w:vertAlign w:val="baseline"/>
                <w:lang w:val="en-US" w:eastAsia="zh-CN"/>
              </w:rPr>
            </w:pPr>
            <w:r>
              <w:rPr>
                <w:rFonts w:hint="default" w:ascii="仿宋" w:hAnsi="仿宋" w:eastAsia="仿宋" w:cs="仿宋"/>
                <w:b w:val="0"/>
                <w:bCs w:val="0"/>
                <w:sz w:val="24"/>
                <w:szCs w:val="24"/>
                <w:vertAlign w:val="baseline"/>
                <w:lang w:val="en-US" w:eastAsia="zh-CN"/>
              </w:rPr>
              <w:t>举报事项、举报受理情况以及与举报人相关的信息，比如检举人的姓名、身份、单位、地址、联系方式，以及检举信原件、复印件。举报奖励审批兑现信息。</w:t>
            </w:r>
          </w:p>
        </w:tc>
        <w:tc>
          <w:tcPr>
            <w:tcW w:w="3457" w:type="dxa"/>
            <w:vMerge w:val="restart"/>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依据：</w:t>
            </w:r>
            <w:r>
              <w:rPr>
                <w:rFonts w:hint="default" w:ascii="仿宋" w:hAnsi="仿宋" w:eastAsia="仿宋" w:cs="仿宋"/>
                <w:b w:val="0"/>
                <w:bCs w:val="0"/>
                <w:sz w:val="24"/>
                <w:szCs w:val="24"/>
                <w:vertAlign w:val="baseline"/>
                <w:lang w:val="en-US" w:eastAsia="zh-CN"/>
              </w:rPr>
              <w:t>《中华人民共和国监察法》第六十五条、《中华人民共和国政府信息公开条例》第三十九条、《中华人民共和国信访条例》第二条</w:t>
            </w:r>
            <w:r>
              <w:rPr>
                <w:rFonts w:hint="eastAsia" w:ascii="仿宋" w:hAnsi="仿宋" w:eastAsia="仿宋" w:cs="仿宋"/>
                <w:b w:val="0"/>
                <w:bCs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866" w:type="dxa"/>
            <w:vMerge w:val="continue"/>
          </w:tcPr>
          <w:p>
            <w:pPr>
              <w:jc w:val="center"/>
            </w:pPr>
          </w:p>
        </w:tc>
        <w:tc>
          <w:tcPr>
            <w:tcW w:w="2169" w:type="dxa"/>
            <w:vMerge w:val="continue"/>
          </w:tcPr>
          <w:p>
            <w:pPr>
              <w:jc w:val="both"/>
            </w:pPr>
          </w:p>
        </w:tc>
        <w:tc>
          <w:tcPr>
            <w:tcW w:w="2365" w:type="dxa"/>
          </w:tcPr>
          <w:p>
            <w:pPr>
              <w:jc w:val="both"/>
              <w:rPr>
                <w:rFonts w:hint="eastAsia" w:ascii="仿宋" w:hAnsi="仿宋" w:eastAsia="仿宋" w:cs="仿宋"/>
                <w:b w:val="0"/>
                <w:bCs w:val="0"/>
                <w:sz w:val="24"/>
                <w:szCs w:val="24"/>
                <w:vertAlign w:val="baseline"/>
                <w:lang w:val="en-US" w:eastAsia="zh-CN"/>
              </w:rPr>
            </w:pPr>
            <w:r>
              <w:rPr>
                <w:rFonts w:hint="default" w:ascii="仿宋" w:hAnsi="仿宋" w:eastAsia="仿宋" w:cs="仿宋"/>
                <w:b w:val="0"/>
                <w:bCs w:val="0"/>
                <w:sz w:val="24"/>
                <w:szCs w:val="24"/>
                <w:vertAlign w:val="baseline"/>
                <w:lang w:val="en-US" w:eastAsia="zh-CN"/>
              </w:rPr>
              <w:t>信访的调查、处理、调查报告、谈话笔录、书证等。</w:t>
            </w:r>
          </w:p>
        </w:tc>
        <w:tc>
          <w:tcPr>
            <w:tcW w:w="3457" w:type="dxa"/>
            <w:vMerge w:val="continue"/>
          </w:tcPr>
          <w:p>
            <w:pPr>
              <w:jc w:val="both"/>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tcPr>
          <w:p>
            <w:pPr>
              <w:jc w:val="center"/>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8</w:t>
            </w:r>
          </w:p>
        </w:tc>
        <w:tc>
          <w:tcPr>
            <w:tcW w:w="2169"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移交期限届满的档案信息</w:t>
            </w:r>
          </w:p>
        </w:tc>
        <w:tc>
          <w:tcPr>
            <w:tcW w:w="2365" w:type="dxa"/>
          </w:tcPr>
          <w:p>
            <w:pPr>
              <w:jc w:val="both"/>
              <w:rPr>
                <w:rFonts w:hint="default"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r>
              <w:rPr>
                <w:rFonts w:hint="default" w:ascii="仿宋" w:hAnsi="仿宋" w:eastAsia="仿宋" w:cs="仿宋"/>
                <w:b w:val="0"/>
                <w:bCs w:val="0"/>
                <w:sz w:val="24"/>
                <w:szCs w:val="24"/>
                <w:vertAlign w:val="baseline"/>
                <w:lang w:val="en-US" w:eastAsia="zh-CN"/>
              </w:rPr>
              <w:t>移交期限届满的，涉及政府信息公开事项的档案按照档案利用规定办理。</w:t>
            </w:r>
          </w:p>
        </w:tc>
        <w:tc>
          <w:tcPr>
            <w:tcW w:w="3457" w:type="dxa"/>
          </w:tcPr>
          <w:p>
            <w:pPr>
              <w:jc w:val="both"/>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依据：</w:t>
            </w:r>
            <w:r>
              <w:rPr>
                <w:rFonts w:hint="default" w:ascii="仿宋" w:hAnsi="仿宋" w:eastAsia="仿宋" w:cs="仿宋"/>
                <w:b w:val="0"/>
                <w:bCs w:val="0"/>
                <w:sz w:val="24"/>
                <w:szCs w:val="24"/>
                <w:vertAlign w:val="baseline"/>
                <w:lang w:val="en-US" w:eastAsia="zh-CN"/>
              </w:rPr>
              <w:t>《中华人民共和国档案法（2020修订）》（主席令第四十七号）第十五条第二款、《最高人民法院关于审理政府信息公开行政案件若干问题的规定》（法释〔2011〕17号）第七条</w:t>
            </w:r>
            <w:r>
              <w:rPr>
                <w:rFonts w:hint="eastAsia" w:ascii="仿宋" w:hAnsi="仿宋" w:eastAsia="仿宋" w:cs="仿宋"/>
                <w:b w:val="0"/>
                <w:bCs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66" w:type="dxa"/>
            <w:vMerge w:val="restart"/>
          </w:tcPr>
          <w:p>
            <w:pPr>
              <w:jc w:val="center"/>
              <w:rPr>
                <w:rFonts w:hint="eastAsia" w:ascii="仿宋" w:hAnsi="仿宋" w:eastAsia="仿宋" w:cs="仿宋"/>
                <w:b w:val="0"/>
                <w:bCs w:val="0"/>
                <w:sz w:val="24"/>
                <w:szCs w:val="24"/>
                <w:vertAlign w:val="baseline"/>
                <w:lang w:val="en-US" w:eastAsia="zh-CN"/>
              </w:rPr>
            </w:pPr>
          </w:p>
          <w:p>
            <w:pPr>
              <w:jc w:val="center"/>
              <w:rPr>
                <w:rFonts w:hint="eastAsia" w:ascii="仿宋" w:hAnsi="仿宋" w:eastAsia="仿宋" w:cs="仿宋"/>
                <w:b w:val="0"/>
                <w:bCs w:val="0"/>
                <w:sz w:val="24"/>
                <w:szCs w:val="24"/>
                <w:vertAlign w:val="baseline"/>
                <w:lang w:val="en-US" w:eastAsia="zh-CN"/>
              </w:rPr>
            </w:pPr>
          </w:p>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9</w:t>
            </w:r>
          </w:p>
        </w:tc>
        <w:tc>
          <w:tcPr>
            <w:tcW w:w="2169" w:type="dxa"/>
            <w:vMerge w:val="restart"/>
          </w:tcPr>
          <w:p>
            <w:pPr>
              <w:jc w:val="both"/>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不存在的或不属于本机关负责公开的政府信息。重复提出的政府信息公开申请</w:t>
            </w:r>
          </w:p>
        </w:tc>
        <w:tc>
          <w:tcPr>
            <w:tcW w:w="2365" w:type="dxa"/>
          </w:tcPr>
          <w:p>
            <w:pPr>
              <w:jc w:val="both"/>
              <w:rPr>
                <w:rFonts w:hint="eastAsia" w:ascii="仿宋" w:hAnsi="仿宋" w:eastAsia="仿宋" w:cs="仿宋"/>
                <w:b w:val="0"/>
                <w:bCs w:val="0"/>
                <w:sz w:val="24"/>
                <w:szCs w:val="24"/>
                <w:vertAlign w:val="baseline"/>
                <w:lang w:val="en-US" w:eastAsia="zh-CN"/>
              </w:rPr>
            </w:pPr>
            <w:r>
              <w:rPr>
                <w:rFonts w:hint="default" w:ascii="仿宋" w:hAnsi="仿宋" w:eastAsia="仿宋" w:cs="仿宋"/>
                <w:b w:val="0"/>
                <w:bCs w:val="0"/>
                <w:sz w:val="24"/>
                <w:szCs w:val="24"/>
                <w:vertAlign w:val="baseline"/>
                <w:lang w:val="en-US" w:eastAsia="zh-CN"/>
              </w:rPr>
              <w:t>不存在的或不属于本机关负责公开的政府信息。</w:t>
            </w:r>
          </w:p>
        </w:tc>
        <w:tc>
          <w:tcPr>
            <w:tcW w:w="3457" w:type="dxa"/>
            <w:vMerge w:val="restart"/>
          </w:tcPr>
          <w:p>
            <w:pPr>
              <w:jc w:val="both"/>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依据：</w:t>
            </w:r>
            <w:r>
              <w:rPr>
                <w:rFonts w:hint="default" w:ascii="仿宋" w:hAnsi="仿宋" w:eastAsia="仿宋" w:cs="仿宋"/>
                <w:b w:val="0"/>
                <w:bCs w:val="0"/>
                <w:sz w:val="24"/>
                <w:szCs w:val="24"/>
                <w:vertAlign w:val="baseline"/>
                <w:lang w:val="en-US" w:eastAsia="zh-CN"/>
              </w:rPr>
              <w:t>《中华人民共和国政府信息公开条例》第三十六条</w:t>
            </w:r>
            <w:r>
              <w:rPr>
                <w:rFonts w:hint="eastAsia" w:ascii="仿宋" w:hAnsi="仿宋" w:eastAsia="仿宋" w:cs="仿宋"/>
                <w:b w:val="0"/>
                <w:bCs w:val="0"/>
                <w:sz w:val="24"/>
                <w:szCs w:val="24"/>
                <w:vertAlign w:val="baseline"/>
                <w:lang w:val="en-US" w:eastAsia="zh-CN"/>
              </w:rPr>
              <w:t>；最高人民法院《行政裁定书（2016）最高法行申2855号》。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66" w:type="dxa"/>
            <w:vMerge w:val="continue"/>
          </w:tcPr>
          <w:p>
            <w:pPr>
              <w:jc w:val="left"/>
            </w:pPr>
          </w:p>
        </w:tc>
        <w:tc>
          <w:tcPr>
            <w:tcW w:w="2169" w:type="dxa"/>
            <w:vMerge w:val="continue"/>
          </w:tcPr>
          <w:p>
            <w:pPr>
              <w:jc w:val="both"/>
            </w:pPr>
          </w:p>
        </w:tc>
        <w:tc>
          <w:tcPr>
            <w:tcW w:w="2365" w:type="dxa"/>
          </w:tcPr>
          <w:p>
            <w:pPr>
              <w:jc w:val="both"/>
              <w:rPr>
                <w:rFonts w:hint="eastAsia" w:ascii="仿宋" w:hAnsi="仿宋" w:eastAsia="仿宋" w:cs="仿宋"/>
                <w:b w:val="0"/>
                <w:bCs w:val="0"/>
                <w:sz w:val="24"/>
                <w:szCs w:val="24"/>
                <w:vertAlign w:val="baseline"/>
                <w:lang w:val="en-US" w:eastAsia="zh-CN"/>
              </w:rPr>
            </w:pPr>
            <w:r>
              <w:rPr>
                <w:rFonts w:hint="default" w:ascii="仿宋" w:hAnsi="仿宋" w:eastAsia="仿宋" w:cs="仿宋"/>
                <w:b w:val="0"/>
                <w:bCs w:val="0"/>
                <w:sz w:val="24"/>
                <w:szCs w:val="24"/>
                <w:vertAlign w:val="baseline"/>
                <w:lang w:val="en-US" w:eastAsia="zh-CN"/>
              </w:rPr>
              <w:t>重复提出的政府信息公开申请</w:t>
            </w:r>
          </w:p>
        </w:tc>
        <w:tc>
          <w:tcPr>
            <w:tcW w:w="3457" w:type="dxa"/>
            <w:vMerge w:val="continue"/>
          </w:tcPr>
          <w:p>
            <w:pPr>
              <w:jc w:val="both"/>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tcPr>
          <w:p>
            <w:pPr>
              <w:jc w:val="center"/>
              <w:rPr>
                <w:rFonts w:hint="eastAsia" w:ascii="仿宋" w:hAnsi="仿宋" w:eastAsia="仿宋" w:cs="仿宋"/>
                <w:b w:val="0"/>
                <w:bCs w:val="0"/>
                <w:sz w:val="24"/>
                <w:szCs w:val="24"/>
                <w:vertAlign w:val="baseline"/>
                <w:lang w:val="en-US" w:eastAsia="zh-CN"/>
              </w:rPr>
            </w:pPr>
          </w:p>
          <w:p>
            <w:pPr>
              <w:jc w:val="center"/>
              <w:rPr>
                <w:rFonts w:hint="eastAsia" w:ascii="仿宋" w:hAnsi="仿宋" w:eastAsia="仿宋" w:cs="仿宋"/>
                <w:b w:val="0"/>
                <w:bCs w:val="0"/>
                <w:sz w:val="24"/>
                <w:szCs w:val="24"/>
                <w:vertAlign w:val="baseline"/>
                <w:lang w:val="en-US" w:eastAsia="zh-CN"/>
              </w:rPr>
            </w:pPr>
          </w:p>
          <w:p>
            <w:pPr>
              <w:jc w:val="center"/>
              <w:rPr>
                <w:rFonts w:hint="eastAsia" w:ascii="仿宋" w:hAnsi="仿宋" w:eastAsia="仿宋" w:cs="仿宋"/>
                <w:b w:val="0"/>
                <w:bCs w:val="0"/>
                <w:sz w:val="24"/>
                <w:szCs w:val="24"/>
                <w:vertAlign w:val="baseline"/>
                <w:lang w:val="en-US" w:eastAsia="zh-CN"/>
              </w:rPr>
            </w:pPr>
          </w:p>
          <w:p>
            <w:pPr>
              <w:jc w:val="center"/>
              <w:rPr>
                <w:rFonts w:hint="eastAsia" w:ascii="仿宋" w:hAnsi="仿宋" w:eastAsia="仿宋" w:cs="仿宋"/>
                <w:b w:val="0"/>
                <w:bCs w:val="0"/>
                <w:sz w:val="24"/>
                <w:szCs w:val="24"/>
                <w:vertAlign w:val="baseline"/>
                <w:lang w:val="en-US" w:eastAsia="zh-CN"/>
              </w:rPr>
            </w:pPr>
          </w:p>
          <w:p>
            <w:pPr>
              <w:jc w:val="center"/>
              <w:rPr>
                <w:rFonts w:hint="eastAsia" w:ascii="仿宋" w:hAnsi="仿宋" w:eastAsia="仿宋" w:cs="仿宋"/>
                <w:b w:val="0"/>
                <w:bCs w:val="0"/>
                <w:sz w:val="24"/>
                <w:szCs w:val="24"/>
                <w:vertAlign w:val="baseline"/>
                <w:lang w:val="en-US" w:eastAsia="zh-CN"/>
              </w:rPr>
            </w:pPr>
          </w:p>
          <w:p>
            <w:pPr>
              <w:jc w:val="center"/>
              <w:rPr>
                <w:rFonts w:hint="eastAsia" w:ascii="仿宋" w:hAnsi="仿宋" w:eastAsia="仿宋" w:cs="仿宋"/>
                <w:b w:val="0"/>
                <w:bCs w:val="0"/>
                <w:sz w:val="24"/>
                <w:szCs w:val="24"/>
                <w:vertAlign w:val="baseline"/>
                <w:lang w:val="en-US" w:eastAsia="zh-CN"/>
              </w:rPr>
            </w:pPr>
          </w:p>
          <w:p>
            <w:pPr>
              <w:jc w:val="center"/>
              <w:rPr>
                <w:rFonts w:hint="eastAsia" w:ascii="仿宋" w:hAnsi="仿宋" w:eastAsia="仿宋" w:cs="仿宋"/>
                <w:b w:val="0"/>
                <w:bCs w:val="0"/>
                <w:sz w:val="24"/>
                <w:szCs w:val="24"/>
                <w:vertAlign w:val="baseline"/>
                <w:lang w:val="en-US" w:eastAsia="zh-CN"/>
              </w:rPr>
            </w:pPr>
          </w:p>
          <w:p>
            <w:pPr>
              <w:ind w:firstLine="240" w:firstLineChars="100"/>
              <w:jc w:val="both"/>
              <w:rPr>
                <w:rFonts w:hint="eastAsia" w:ascii="仿宋" w:hAnsi="仿宋" w:eastAsia="仿宋" w:cs="仿宋"/>
                <w:b w:val="0"/>
                <w:bCs w:val="0"/>
                <w:sz w:val="24"/>
                <w:szCs w:val="24"/>
                <w:vertAlign w:val="baseline"/>
                <w:lang w:val="en-US" w:eastAsia="zh-CN"/>
              </w:rPr>
            </w:pPr>
          </w:p>
          <w:p>
            <w:pPr>
              <w:ind w:firstLine="240" w:firstLineChars="100"/>
              <w:jc w:val="both"/>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10</w:t>
            </w:r>
          </w:p>
        </w:tc>
        <w:tc>
          <w:tcPr>
            <w:tcW w:w="2169"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ind w:firstLine="480" w:firstLineChars="200"/>
              <w:jc w:val="both"/>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工作秘密</w:t>
            </w:r>
          </w:p>
        </w:tc>
        <w:tc>
          <w:tcPr>
            <w:tcW w:w="2365" w:type="dxa"/>
          </w:tcPr>
          <w:p>
            <w:pPr>
              <w:jc w:val="both"/>
              <w:rPr>
                <w:rFonts w:hint="eastAsia" w:ascii="仿宋" w:hAnsi="仿宋" w:eastAsia="仿宋" w:cs="仿宋"/>
                <w:b w:val="0"/>
                <w:bCs w:val="0"/>
                <w:sz w:val="24"/>
                <w:szCs w:val="24"/>
                <w:vertAlign w:val="baseline"/>
                <w:lang w:val="en-US" w:eastAsia="zh-CN"/>
              </w:rPr>
            </w:pPr>
            <w:r>
              <w:rPr>
                <w:rFonts w:hint="default" w:ascii="仿宋" w:hAnsi="仿宋" w:eastAsia="仿宋" w:cs="仿宋"/>
                <w:b w:val="0"/>
                <w:bCs w:val="0"/>
                <w:sz w:val="24"/>
                <w:szCs w:val="24"/>
                <w:vertAlign w:val="baseline"/>
                <w:lang w:val="en-US" w:eastAsia="zh-CN"/>
              </w:rPr>
              <w:t>主要包括拟制中不宜公开的政策文稿；不宜公开的会议材料、领导讲话材料；业务工作的管理和监督活动中不宜公开的事项；拟议中的机构设置、工作分工、人事调整和职务任免、奖惩事项；行政管理部门工作人员的档案及其有关材料；正在调查不宜公开的材料、证词、证据和其它事项；不宜公开的内部管理措施、方案等。</w:t>
            </w:r>
          </w:p>
        </w:tc>
        <w:tc>
          <w:tcPr>
            <w:tcW w:w="3457" w:type="dxa"/>
          </w:tcPr>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eastAsia" w:ascii="仿宋" w:hAnsi="仿宋" w:eastAsia="仿宋" w:cs="仿宋"/>
                <w:b w:val="0"/>
                <w:bCs w:val="0"/>
                <w:sz w:val="24"/>
                <w:szCs w:val="24"/>
                <w:vertAlign w:val="baseline"/>
                <w:lang w:val="en-US" w:eastAsia="zh-CN"/>
              </w:rPr>
            </w:pPr>
          </w:p>
          <w:p>
            <w:pPr>
              <w:jc w:val="both"/>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依据：《中华人民共和国公务员法》。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11</w:t>
            </w:r>
          </w:p>
        </w:tc>
        <w:tc>
          <w:tcPr>
            <w:tcW w:w="2169" w:type="dxa"/>
          </w:tcPr>
          <w:p>
            <w:pPr>
              <w:jc w:val="both"/>
              <w:rPr>
                <w:rFonts w:hint="eastAsia" w:ascii="仿宋" w:hAnsi="仿宋" w:eastAsia="仿宋" w:cs="仿宋"/>
                <w:b w:val="0"/>
                <w:bCs w:val="0"/>
                <w:sz w:val="24"/>
                <w:szCs w:val="24"/>
                <w:vertAlign w:val="baseline"/>
                <w:lang w:val="en-US" w:eastAsia="zh-CN"/>
              </w:rPr>
            </w:pPr>
            <w:r>
              <w:rPr>
                <w:rFonts w:hint="default" w:ascii="仿宋" w:hAnsi="仿宋" w:eastAsia="仿宋" w:cs="仿宋"/>
                <w:b w:val="0"/>
                <w:bCs w:val="0"/>
                <w:sz w:val="24"/>
                <w:szCs w:val="24"/>
                <w:vertAlign w:val="baseline"/>
                <w:lang w:val="en-US" w:eastAsia="zh-CN"/>
              </w:rPr>
              <w:t>其他法律、法规禁止公开的信息</w:t>
            </w:r>
          </w:p>
        </w:tc>
        <w:tc>
          <w:tcPr>
            <w:tcW w:w="2365" w:type="dxa"/>
          </w:tcPr>
          <w:p>
            <w:pPr>
              <w:jc w:val="both"/>
              <w:rPr>
                <w:rFonts w:hint="eastAsia" w:ascii="仿宋" w:hAnsi="仿宋" w:eastAsia="仿宋" w:cs="仿宋"/>
                <w:b w:val="0"/>
                <w:bCs w:val="0"/>
                <w:sz w:val="24"/>
                <w:szCs w:val="24"/>
                <w:vertAlign w:val="baseline"/>
                <w:lang w:val="en-US" w:eastAsia="zh-CN"/>
              </w:rPr>
            </w:pPr>
            <w:r>
              <w:rPr>
                <w:rFonts w:hint="default" w:ascii="仿宋" w:hAnsi="仿宋" w:eastAsia="仿宋" w:cs="仿宋"/>
                <w:b w:val="0"/>
                <w:bCs w:val="0"/>
                <w:sz w:val="24"/>
                <w:szCs w:val="24"/>
                <w:vertAlign w:val="baseline"/>
                <w:lang w:val="en-US" w:eastAsia="zh-CN"/>
              </w:rPr>
              <w:t>行政复议案卷等信息</w:t>
            </w:r>
          </w:p>
        </w:tc>
        <w:tc>
          <w:tcPr>
            <w:tcW w:w="3457" w:type="dxa"/>
          </w:tcPr>
          <w:p>
            <w:pPr>
              <w:jc w:val="both"/>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依据：《中华人民共和国行政复议法》第二十三条第二款。</w:t>
            </w:r>
          </w:p>
        </w:tc>
      </w:tr>
    </w:tbl>
    <w:p>
      <w:pPr>
        <w:jc w:val="center"/>
        <w:rPr>
          <w:rFonts w:hint="eastAsia" w:ascii="仿宋" w:hAnsi="仿宋" w:eastAsia="仿宋" w:cs="仿宋"/>
          <w:b w:val="0"/>
          <w:bCs w:val="0"/>
          <w:sz w:val="24"/>
          <w:szCs w:val="24"/>
          <w:vertAlign w:val="baseline"/>
          <w:lang w:val="en-US" w:eastAsia="zh-CN"/>
        </w:rPr>
      </w:pPr>
    </w:p>
    <w:p>
      <w:pPr>
        <w:ind w:firstLine="1120" w:firstLineChars="400"/>
        <w:jc w:val="both"/>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说明：1.政务公开负面清单外的事项，原则上都要依法依规予以公开。</w:t>
      </w:r>
    </w:p>
    <w:p>
      <w:pPr>
        <w:ind w:firstLine="1120" w:firstLineChars="4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 xml:space="preserve">      2.对纳入负面清单管理的事项，如情况变化，将及时予以调整更新。</w:t>
      </w:r>
    </w:p>
    <w:sectPr>
      <w:pgSz w:w="11906" w:h="16838"/>
      <w:pgMar w:top="1440" w:right="1746"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4YWQ1OTc3YmQ5MTM3NjMxNjk0OThjMjU2MTRkZDAifQ=="/>
  </w:docVars>
  <w:rsids>
    <w:rsidRoot w:val="3DAE15C9"/>
    <w:rsid w:val="08493DEA"/>
    <w:rsid w:val="15AE1730"/>
    <w:rsid w:val="174C1201"/>
    <w:rsid w:val="17FB49D5"/>
    <w:rsid w:val="20564E9E"/>
    <w:rsid w:val="2B7B1C5D"/>
    <w:rsid w:val="31B639EF"/>
    <w:rsid w:val="388529F3"/>
    <w:rsid w:val="397A17A6"/>
    <w:rsid w:val="39E9023C"/>
    <w:rsid w:val="3AA765CB"/>
    <w:rsid w:val="3CB60D47"/>
    <w:rsid w:val="3DAE15C9"/>
    <w:rsid w:val="480D7C89"/>
    <w:rsid w:val="4D510618"/>
    <w:rsid w:val="4E5959D6"/>
    <w:rsid w:val="4F1D4C56"/>
    <w:rsid w:val="51DA6E2E"/>
    <w:rsid w:val="524349D3"/>
    <w:rsid w:val="52F201A7"/>
    <w:rsid w:val="53F57F4F"/>
    <w:rsid w:val="58C148A4"/>
    <w:rsid w:val="5E070FAB"/>
    <w:rsid w:val="5E4C2E61"/>
    <w:rsid w:val="5E7D28D7"/>
    <w:rsid w:val="5F0E6369"/>
    <w:rsid w:val="72930C07"/>
    <w:rsid w:val="77D71596"/>
    <w:rsid w:val="7D4C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1785</Words>
  <Characters>1802</Characters>
  <Lines>0</Lines>
  <Paragraphs>0</Paragraphs>
  <TotalTime>76</TotalTime>
  <ScaleCrop>false</ScaleCrop>
  <LinksUpToDate>false</LinksUpToDate>
  <CharactersWithSpaces>1810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2022-10-11T02:13:00Z</dcterms:created>
  <dc:creator>Fools</dc:creator>
  <cp:lastModifiedBy>Fools</cp:lastModifiedBy>
  <cp:lastPrinted>2022-10-11T04:02:00Z</cp:lastPrinted>
  <dcterms:modified xsi:type="dcterms:W3CDTF">2022-10-18T08:03:14Z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BB327F8CD8C24B6DA284BAEFDBF9D299</vt:lpwstr>
  </property>
</Properties>
</file>