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5BEE4">
      <w:pPr>
        <w:wordWrap/>
        <w:autoSpaceDE w:val="0"/>
        <w:autoSpaceDN w:val="0"/>
        <w:spacing w:before="680" w:after="0" w:line="520" w:lineRule="atLeast"/>
        <w:ind w:right="0"/>
        <w:jc w:val="center"/>
        <w:textAlignment w:val="auto"/>
        <w:rPr>
          <w:rFonts w:ascii="宋体" w:hAnsi="宋体" w:eastAsia="宋体" w:cs="宋体"/>
          <w:b w:val="0"/>
          <w:i w:val="0"/>
          <w:strike w:val="0"/>
          <w:color w:val="000000"/>
          <w:sz w:val="34"/>
        </w:rPr>
      </w:pPr>
    </w:p>
    <w:p w14:paraId="57D3D1D1">
      <w:pPr>
        <w:wordWrap/>
        <w:autoSpaceDE w:val="0"/>
        <w:autoSpaceDN w:val="0"/>
        <w:spacing w:before="680" w:after="0" w:line="520" w:lineRule="atLeast"/>
        <w:ind w:right="0"/>
        <w:jc w:val="center"/>
        <w:textAlignment w:val="auto"/>
        <w:rPr>
          <w:rFonts w:ascii="宋体" w:hAnsi="宋体" w:eastAsia="宋体" w:cs="宋体"/>
          <w:b/>
          <w:bCs/>
          <w:i w:val="0"/>
          <w:strike w:val="0"/>
          <w:color w:val="000000"/>
          <w:sz w:val="48"/>
          <w:szCs w:val="40"/>
        </w:rPr>
      </w:pPr>
      <w:r>
        <w:rPr>
          <w:rFonts w:ascii="宋体" w:hAnsi="宋体" w:eastAsia="宋体" w:cs="宋体"/>
          <w:b/>
          <w:bCs/>
          <w:i w:val="0"/>
          <w:strike w:val="0"/>
          <w:color w:val="000000"/>
          <w:sz w:val="48"/>
          <w:szCs w:val="40"/>
        </w:rPr>
        <w:t>2023年度</w:t>
      </w:r>
      <w:r>
        <w:rPr>
          <w:rFonts w:hint="eastAsia" w:ascii="宋体" w:hAnsi="宋体" w:cs="宋体"/>
          <w:b/>
          <w:bCs/>
          <w:i w:val="0"/>
          <w:strike w:val="0"/>
          <w:color w:val="000000"/>
          <w:sz w:val="48"/>
          <w:szCs w:val="40"/>
          <w:lang w:val="en-US" w:eastAsia="zh-CN"/>
        </w:rPr>
        <w:t>大水田乡人民政府</w:t>
      </w:r>
      <w:r>
        <w:rPr>
          <w:rFonts w:ascii="宋体" w:hAnsi="宋体" w:eastAsia="宋体" w:cs="宋体"/>
          <w:b/>
          <w:bCs/>
          <w:i w:val="0"/>
          <w:strike w:val="0"/>
          <w:color w:val="000000"/>
          <w:sz w:val="48"/>
          <w:szCs w:val="40"/>
        </w:rPr>
        <w:t>部门整体支出绩效自评报告</w:t>
      </w:r>
    </w:p>
    <w:p w14:paraId="44472D1E">
      <w:pPr>
        <w:wordWrap/>
        <w:autoSpaceDE w:val="0"/>
        <w:autoSpaceDN w:val="0"/>
        <w:spacing w:before="680" w:after="0" w:line="520" w:lineRule="atLeast"/>
        <w:ind w:right="0"/>
        <w:jc w:val="center"/>
        <w:textAlignment w:val="auto"/>
        <w:rPr>
          <w:rFonts w:ascii="宋体" w:hAnsi="宋体" w:eastAsia="宋体" w:cs="宋体"/>
          <w:b/>
          <w:bCs/>
          <w:i w:val="0"/>
          <w:strike w:val="0"/>
          <w:color w:val="000000"/>
          <w:sz w:val="48"/>
          <w:szCs w:val="40"/>
        </w:rPr>
      </w:pPr>
    </w:p>
    <w:p w14:paraId="16AD8E80">
      <w:pPr>
        <w:wordWrap/>
        <w:autoSpaceDE w:val="0"/>
        <w:autoSpaceDN w:val="0"/>
        <w:spacing w:before="680" w:after="0" w:line="520" w:lineRule="atLeast"/>
        <w:ind w:right="0"/>
        <w:jc w:val="center"/>
        <w:textAlignment w:val="auto"/>
        <w:rPr>
          <w:rFonts w:ascii="宋体" w:hAnsi="宋体" w:eastAsia="宋体" w:cs="宋体"/>
          <w:b/>
          <w:bCs/>
          <w:i w:val="0"/>
          <w:strike w:val="0"/>
          <w:color w:val="000000"/>
          <w:sz w:val="48"/>
          <w:szCs w:val="40"/>
        </w:rPr>
      </w:pPr>
    </w:p>
    <w:p w14:paraId="12E0877F">
      <w:pPr>
        <w:wordWrap/>
        <w:autoSpaceDE w:val="0"/>
        <w:autoSpaceDN w:val="0"/>
        <w:spacing w:before="680" w:after="0" w:line="520" w:lineRule="atLeast"/>
        <w:ind w:right="0"/>
        <w:jc w:val="center"/>
        <w:textAlignment w:val="auto"/>
        <w:rPr>
          <w:rFonts w:ascii="宋体" w:hAnsi="宋体" w:eastAsia="宋体" w:cs="宋体"/>
          <w:b/>
          <w:bCs/>
          <w:i w:val="0"/>
          <w:strike w:val="0"/>
          <w:color w:val="000000"/>
          <w:sz w:val="48"/>
          <w:szCs w:val="40"/>
        </w:rPr>
      </w:pPr>
      <w:bookmarkStart w:id="0" w:name="_GoBack"/>
      <w:bookmarkEnd w:id="0"/>
    </w:p>
    <w:p w14:paraId="2B89C63D">
      <w:pPr>
        <w:keepNext w:val="0"/>
        <w:keepLines w:val="0"/>
        <w:pageBreakBefore w:val="0"/>
        <w:widowControl w:val="0"/>
        <w:kinsoku/>
        <w:wordWrap/>
        <w:overflowPunct/>
        <w:topLinePunct w:val="0"/>
        <w:autoSpaceDE w:val="0"/>
        <w:autoSpaceDN w:val="0"/>
        <w:bidi w:val="0"/>
        <w:adjustRightInd/>
        <w:snapToGrid/>
        <w:spacing w:before="3600" w:after="0" w:line="420" w:lineRule="atLeast"/>
        <w:ind w:right="0"/>
        <w:jc w:val="center"/>
        <w:textAlignment w:val="auto"/>
        <w:rPr>
          <w:rFonts w:hint="eastAsia" w:ascii="黑体" w:hAnsi="黑体" w:eastAsia="黑体" w:cs="黑体"/>
          <w:sz w:val="56"/>
          <w:szCs w:val="56"/>
        </w:rPr>
      </w:pPr>
      <w:r>
        <w:rPr>
          <w:rFonts w:ascii="宋体" w:hAnsi="宋体" w:eastAsia="宋体" w:cs="宋体"/>
          <w:b w:val="0"/>
          <w:i w:val="0"/>
          <w:strike w:val="0"/>
          <w:color w:val="000000"/>
          <w:sz w:val="36"/>
          <w:szCs w:val="32"/>
        </w:rPr>
        <w:t>部门(单位)名称：</w:t>
      </w:r>
      <w:r>
        <w:rPr>
          <w:rFonts w:hint="eastAsia" w:ascii="宋体" w:hAnsi="宋体" w:eastAsia="宋体" w:cs="宋体"/>
          <w:b w:val="0"/>
          <w:i w:val="0"/>
          <w:strike w:val="0"/>
          <w:color w:val="000000"/>
          <w:sz w:val="36"/>
          <w:szCs w:val="32"/>
        </w:rPr>
        <w:t>辰溪县大水田乡人民政府</w:t>
      </w:r>
    </w:p>
    <w:p w14:paraId="015042D2">
      <w:pPr>
        <w:jc w:val="center"/>
        <w:outlineLvl w:val="0"/>
        <w:rPr>
          <w:rFonts w:hint="eastAsia" w:ascii="黑体" w:hAnsi="黑体" w:eastAsia="黑体" w:cs="黑体"/>
          <w:sz w:val="50"/>
          <w:szCs w:val="50"/>
        </w:rPr>
        <w:sectPr>
          <w:pgSz w:w="11906" w:h="16838"/>
          <w:pgMar w:top="1440" w:right="1800" w:bottom="1440" w:left="1800" w:header="851" w:footer="992" w:gutter="0"/>
          <w:cols w:space="425" w:num="1"/>
          <w:docGrid w:type="lines" w:linePitch="312" w:charSpace="0"/>
        </w:sectPr>
      </w:pPr>
      <w:r>
        <w:rPr>
          <w:rFonts w:hint="eastAsia" w:ascii="宋体" w:hAnsi="宋体" w:cs="宋体"/>
          <w:b w:val="0"/>
          <w:i w:val="0"/>
          <w:strike w:val="0"/>
          <w:color w:val="000000"/>
          <w:sz w:val="28"/>
          <w:lang w:val="en-US" w:eastAsia="zh-CN"/>
        </w:rPr>
        <w:t xml:space="preserve">              </w:t>
      </w:r>
    </w:p>
    <w:p w14:paraId="6E83DB1B">
      <w:pPr>
        <w:keepNext w:val="0"/>
        <w:keepLines w:val="0"/>
        <w:pageBreakBefore w:val="0"/>
        <w:widowControl w:val="0"/>
        <w:kinsoku/>
        <w:wordWrap/>
        <w:overflowPunct/>
        <w:topLinePunct w:val="0"/>
        <w:autoSpaceDE/>
        <w:autoSpaceDN/>
        <w:bidi w:val="0"/>
        <w:adjustRightInd/>
        <w:snapToGrid/>
        <w:spacing w:line="0" w:lineRule="atLeast"/>
        <w:jc w:val="center"/>
        <w:textAlignment w:val="auto"/>
        <w:outlineLvl w:val="0"/>
        <w:rPr>
          <w:rFonts w:hint="eastAsia" w:ascii="方正小标宋简体" w:hAnsi="方正小标宋简体" w:eastAsia="方正小标宋简体" w:cs="方正小标宋简体"/>
          <w:sz w:val="50"/>
          <w:szCs w:val="50"/>
        </w:rPr>
      </w:pPr>
      <w:r>
        <w:rPr>
          <w:rFonts w:hint="eastAsia" w:ascii="方正小标宋简体" w:hAnsi="方正小标宋简体" w:eastAsia="方正小标宋简体" w:cs="方正小标宋简体"/>
          <w:sz w:val="50"/>
          <w:szCs w:val="50"/>
        </w:rPr>
        <w:t>20</w:t>
      </w:r>
      <w:r>
        <w:rPr>
          <w:rFonts w:hint="eastAsia" w:ascii="方正小标宋简体" w:hAnsi="方正小标宋简体" w:eastAsia="方正小标宋简体" w:cs="方正小标宋简体"/>
          <w:sz w:val="50"/>
          <w:szCs w:val="50"/>
          <w:lang w:val="en-US" w:eastAsia="zh-CN"/>
        </w:rPr>
        <w:t>23</w:t>
      </w:r>
      <w:r>
        <w:rPr>
          <w:rFonts w:hint="eastAsia" w:ascii="方正小标宋简体" w:hAnsi="方正小标宋简体" w:eastAsia="方正小标宋简体" w:cs="方正小标宋简体"/>
          <w:sz w:val="50"/>
          <w:szCs w:val="50"/>
        </w:rPr>
        <w:t>年度</w:t>
      </w:r>
      <w:r>
        <w:rPr>
          <w:rFonts w:hint="eastAsia" w:ascii="方正小标宋简体" w:hAnsi="方正小标宋简体" w:eastAsia="方正小标宋简体" w:cs="方正小标宋简体"/>
          <w:sz w:val="50"/>
          <w:szCs w:val="50"/>
          <w:lang w:val="en-US" w:eastAsia="zh-CN"/>
        </w:rPr>
        <w:t>大水田乡人民政府部门</w:t>
      </w:r>
      <w:r>
        <w:rPr>
          <w:rFonts w:hint="eastAsia" w:ascii="方正小标宋简体" w:hAnsi="方正小标宋简体" w:eastAsia="方正小标宋简体" w:cs="方正小标宋简体"/>
          <w:sz w:val="50"/>
          <w:szCs w:val="50"/>
        </w:rPr>
        <w:t>整体支出绩效自评报告</w:t>
      </w:r>
    </w:p>
    <w:p w14:paraId="3E8C339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黑体" w:cs="Times New Roman"/>
          <w:sz w:val="32"/>
          <w:szCs w:val="32"/>
        </w:rPr>
      </w:pPr>
    </w:p>
    <w:p w14:paraId="18D7F681">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一、</w:t>
      </w:r>
      <w:r>
        <w:rPr>
          <w:rFonts w:hint="eastAsia" w:ascii="黑体" w:hAnsi="黑体" w:eastAsia="黑体" w:cs="黑体"/>
          <w:b w:val="0"/>
          <w:bCs/>
          <w:color w:val="auto"/>
          <w:sz w:val="32"/>
          <w:szCs w:val="32"/>
        </w:rPr>
        <w:t>部门基本情况</w:t>
      </w:r>
    </w:p>
    <w:p w14:paraId="3290040E">
      <w:pPr>
        <w:keepNext w:val="0"/>
        <w:keepLines w:val="0"/>
        <w:pageBreakBefore w:val="0"/>
        <w:widowControl/>
        <w:kinsoku/>
        <w:wordWrap/>
        <w:overflowPunct/>
        <w:topLinePunct w:val="0"/>
        <w:bidi w:val="0"/>
        <w:spacing w:line="560" w:lineRule="exact"/>
        <w:ind w:firstLine="627" w:firstLineChars="196"/>
        <w:jc w:val="left"/>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机构设置情况与部门总体工作任务：辰溪县大水田乡人民政府属全额行政机关，是一级部门预算单位，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人居环境卫生整治工作等。内设党政办公室、党建办公室、经济发展办公室、社会事务办公室、社会治安和应急管理办公室、自然资源和生态环境办公室、社会事务综合服务中心、农业综合服务中心、便民服务中心、综合行政执法大队等部门。</w:t>
      </w:r>
    </w:p>
    <w:p w14:paraId="68F89D12">
      <w:pPr>
        <w:keepNext w:val="0"/>
        <w:keepLines w:val="0"/>
        <w:pageBreakBefore w:val="0"/>
        <w:widowControl/>
        <w:kinsoku/>
        <w:wordWrap/>
        <w:overflowPunct/>
        <w:topLinePunct w:val="0"/>
        <w:bidi w:val="0"/>
        <w:spacing w:line="560" w:lineRule="exact"/>
        <w:ind w:firstLine="627" w:firstLineChars="196"/>
        <w:jc w:val="left"/>
        <w:textAlignment w:val="auto"/>
        <w:rPr>
          <w:rFonts w:eastAsia="仿宋_GB2312"/>
          <w:sz w:val="32"/>
          <w:szCs w:val="32"/>
        </w:rPr>
      </w:pPr>
      <w:r>
        <w:rPr>
          <w:rFonts w:eastAsia="仿宋_GB2312"/>
          <w:sz w:val="32"/>
          <w:szCs w:val="32"/>
        </w:rPr>
        <w:t>1、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14:paraId="37E3DF80">
      <w:pPr>
        <w:keepNext w:val="0"/>
        <w:keepLines w:val="0"/>
        <w:pageBreakBefore w:val="0"/>
        <w:widowControl/>
        <w:kinsoku/>
        <w:wordWrap/>
        <w:overflowPunct/>
        <w:topLinePunct w:val="0"/>
        <w:bidi w:val="0"/>
        <w:spacing w:line="560" w:lineRule="exact"/>
        <w:ind w:firstLine="627" w:firstLineChars="196"/>
        <w:jc w:val="left"/>
        <w:textAlignment w:val="auto"/>
        <w:rPr>
          <w:rFonts w:eastAsia="仿宋_GB2312"/>
          <w:sz w:val="32"/>
          <w:szCs w:val="32"/>
        </w:rPr>
      </w:pPr>
      <w:r>
        <w:rPr>
          <w:rFonts w:eastAsia="仿宋_GB2312"/>
          <w:sz w:val="32"/>
          <w:szCs w:val="32"/>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14:paraId="53B05F9D">
      <w:pPr>
        <w:keepNext w:val="0"/>
        <w:keepLines w:val="0"/>
        <w:pageBreakBefore w:val="0"/>
        <w:widowControl/>
        <w:kinsoku/>
        <w:wordWrap/>
        <w:overflowPunct/>
        <w:topLinePunct w:val="0"/>
        <w:bidi w:val="0"/>
        <w:spacing w:line="560" w:lineRule="exact"/>
        <w:ind w:firstLine="627" w:firstLineChars="196"/>
        <w:jc w:val="left"/>
        <w:textAlignment w:val="auto"/>
        <w:rPr>
          <w:rFonts w:eastAsia="仿宋_GB2312"/>
          <w:sz w:val="32"/>
          <w:szCs w:val="32"/>
        </w:rPr>
      </w:pPr>
      <w:r>
        <w:rPr>
          <w:rFonts w:eastAsia="仿宋_GB2312"/>
          <w:sz w:val="32"/>
          <w:szCs w:val="32"/>
        </w:rPr>
        <w:t>3、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14:paraId="2D19057C">
      <w:pPr>
        <w:keepNext w:val="0"/>
        <w:keepLines w:val="0"/>
        <w:pageBreakBefore w:val="0"/>
        <w:widowControl/>
        <w:kinsoku/>
        <w:wordWrap/>
        <w:overflowPunct/>
        <w:topLinePunct w:val="0"/>
        <w:bidi w:val="0"/>
        <w:spacing w:line="560" w:lineRule="exact"/>
        <w:ind w:firstLine="627" w:firstLineChars="196"/>
        <w:jc w:val="left"/>
        <w:textAlignment w:val="auto"/>
        <w:rPr>
          <w:rFonts w:eastAsia="仿宋_GB2312"/>
          <w:sz w:val="32"/>
          <w:szCs w:val="32"/>
        </w:rPr>
      </w:pPr>
      <w:r>
        <w:rPr>
          <w:rFonts w:eastAsia="仿宋_GB2312"/>
          <w:sz w:val="32"/>
          <w:szCs w:val="32"/>
        </w:rPr>
        <w:t>4、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14:paraId="04CD9388">
      <w:pPr>
        <w:keepNext w:val="0"/>
        <w:keepLines w:val="0"/>
        <w:pageBreakBefore w:val="0"/>
        <w:widowControl/>
        <w:kinsoku/>
        <w:wordWrap/>
        <w:overflowPunct/>
        <w:topLinePunct w:val="0"/>
        <w:bidi w:val="0"/>
        <w:spacing w:line="560" w:lineRule="exact"/>
        <w:ind w:firstLine="627" w:firstLineChars="196"/>
        <w:jc w:val="left"/>
        <w:textAlignment w:val="auto"/>
        <w:rPr>
          <w:rFonts w:ascii="仿宋_GB2312" w:eastAsia="仿宋_GB2312"/>
          <w:kern w:val="0"/>
          <w:sz w:val="32"/>
          <w:szCs w:val="32"/>
        </w:rPr>
      </w:pPr>
      <w:r>
        <w:rPr>
          <w:rFonts w:eastAsia="仿宋_GB2312"/>
          <w:sz w:val="32"/>
          <w:szCs w:val="32"/>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w:t>
      </w:r>
      <w:r>
        <w:rPr>
          <w:rFonts w:ascii="仿宋_GB2312" w:eastAsia="仿宋_GB2312"/>
          <w:kern w:val="0"/>
          <w:sz w:val="32"/>
          <w:szCs w:val="32"/>
        </w:rPr>
        <w:t>完成党委、政府分配的其它中心工作。</w:t>
      </w:r>
    </w:p>
    <w:p w14:paraId="41C1CFEE">
      <w:pPr>
        <w:keepNext w:val="0"/>
        <w:keepLines w:val="0"/>
        <w:pageBreakBefore w:val="0"/>
        <w:widowControl/>
        <w:kinsoku/>
        <w:wordWrap/>
        <w:overflowPunct/>
        <w:topLinePunct w:val="0"/>
        <w:bidi w:val="0"/>
        <w:spacing w:line="560" w:lineRule="exact"/>
        <w:ind w:firstLine="627" w:firstLineChars="196"/>
        <w:jc w:val="left"/>
        <w:textAlignment w:val="auto"/>
        <w:rPr>
          <w:rFonts w:ascii="仿宋_GB2312" w:eastAsia="仿宋_GB2312"/>
          <w:kern w:val="0"/>
          <w:sz w:val="32"/>
          <w:szCs w:val="32"/>
        </w:rPr>
      </w:pPr>
      <w:r>
        <w:rPr>
          <w:rFonts w:ascii="仿宋_GB2312" w:eastAsia="仿宋_GB2312"/>
          <w:kern w:val="0"/>
          <w:sz w:val="32"/>
          <w:szCs w:val="32"/>
        </w:rPr>
        <w:t>6、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“两劳”人员的帮教工作，强化社会治安；负责安全生产监管、防汛抗旱、防灾减灾、抗震救灾、森林防火等工作；承办乡党委、政府和上级主管部门交办的其他事项。</w:t>
      </w:r>
    </w:p>
    <w:p w14:paraId="25D1D42E">
      <w:pPr>
        <w:keepNext w:val="0"/>
        <w:keepLines w:val="0"/>
        <w:pageBreakBefore w:val="0"/>
        <w:widowControl/>
        <w:kinsoku/>
        <w:wordWrap/>
        <w:overflowPunct/>
        <w:topLinePunct w:val="0"/>
        <w:bidi w:val="0"/>
        <w:spacing w:line="560" w:lineRule="exact"/>
        <w:ind w:firstLine="627" w:firstLineChars="196"/>
        <w:jc w:val="left"/>
        <w:textAlignment w:val="auto"/>
        <w:rPr>
          <w:rFonts w:eastAsia="仿宋_GB2312"/>
          <w:sz w:val="32"/>
          <w:szCs w:val="32"/>
        </w:rPr>
      </w:pPr>
      <w:r>
        <w:rPr>
          <w:rFonts w:eastAsia="仿宋_GB2312"/>
          <w:sz w:val="32"/>
          <w:szCs w:val="32"/>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14:paraId="57A073C1">
      <w:pPr>
        <w:pStyle w:val="4"/>
        <w:keepNext w:val="0"/>
        <w:keepLines w:val="0"/>
        <w:pageBreakBefore w:val="0"/>
        <w:kinsoku/>
        <w:wordWrap/>
        <w:overflowPunct/>
        <w:topLinePunct w:val="0"/>
        <w:bidi w:val="0"/>
        <w:spacing w:line="560" w:lineRule="exact"/>
        <w:ind w:firstLine="640" w:firstLineChars="200"/>
        <w:textAlignment w:val="auto"/>
        <w:rPr>
          <w:rFonts w:hint="eastAsia" w:eastAsia="仿宋_GB2312"/>
          <w:sz w:val="32"/>
          <w:szCs w:val="32"/>
        </w:rPr>
      </w:pPr>
      <w:r>
        <w:rPr>
          <w:rFonts w:hint="eastAsia" w:eastAsia="仿宋_GB2312"/>
          <w:sz w:val="32"/>
          <w:szCs w:val="32"/>
        </w:rPr>
        <w:t>8、综合行政执法大队：按照有关法律规定相对集中行使行政处罚权，以乡名义开展执法工作，并接受有关县级主管部门的业务指导和监督，逐步实现一支队伍管执法；承办乡党委、政府和上级主管部门交办的其他事项。</w:t>
      </w:r>
    </w:p>
    <w:p w14:paraId="25D4807E">
      <w:pPr>
        <w:pStyle w:val="4"/>
        <w:keepNext w:val="0"/>
        <w:keepLines w:val="0"/>
        <w:pageBreakBefore w:val="0"/>
        <w:kinsoku/>
        <w:wordWrap/>
        <w:overflowPunct/>
        <w:topLinePunct w:val="0"/>
        <w:bidi w:val="0"/>
        <w:spacing w:line="560" w:lineRule="exact"/>
        <w:ind w:firstLine="640" w:firstLineChars="200"/>
        <w:textAlignment w:val="auto"/>
        <w:rPr>
          <w:rFonts w:hint="eastAsia" w:eastAsia="仿宋_GB2312"/>
          <w:sz w:val="32"/>
          <w:szCs w:val="32"/>
        </w:rPr>
      </w:pPr>
      <w:r>
        <w:rPr>
          <w:rFonts w:hint="eastAsia" w:eastAsia="仿宋_GB2312"/>
          <w:sz w:val="32"/>
          <w:szCs w:val="32"/>
        </w:rPr>
        <w:t>人员情况：截至202</w:t>
      </w:r>
      <w:r>
        <w:rPr>
          <w:rFonts w:hint="eastAsia" w:eastAsia="仿宋_GB2312"/>
          <w:sz w:val="32"/>
          <w:szCs w:val="32"/>
          <w:lang w:val="en-US" w:eastAsia="zh-CN"/>
        </w:rPr>
        <w:t>3</w:t>
      </w:r>
      <w:r>
        <w:rPr>
          <w:rFonts w:hint="eastAsia" w:eastAsia="仿宋_GB2312"/>
          <w:sz w:val="32"/>
          <w:szCs w:val="32"/>
        </w:rPr>
        <w:t>年底，大水田乡人民政府核定人员编制44人，行政编制20人，事业编制24人；实际在编3</w:t>
      </w:r>
      <w:r>
        <w:rPr>
          <w:rFonts w:hint="eastAsia" w:eastAsia="仿宋_GB2312"/>
          <w:sz w:val="32"/>
          <w:szCs w:val="32"/>
          <w:lang w:val="en-US" w:eastAsia="zh-CN"/>
        </w:rPr>
        <w:t>8</w:t>
      </w:r>
      <w:r>
        <w:rPr>
          <w:rFonts w:hint="eastAsia" w:eastAsia="仿宋_GB2312"/>
          <w:sz w:val="32"/>
          <w:szCs w:val="32"/>
        </w:rPr>
        <w:t>人（行政编制19人，事业编制</w:t>
      </w:r>
      <w:r>
        <w:rPr>
          <w:rFonts w:hint="eastAsia" w:eastAsia="仿宋_GB2312"/>
          <w:sz w:val="32"/>
          <w:szCs w:val="32"/>
          <w:lang w:val="en-US" w:eastAsia="zh-CN"/>
        </w:rPr>
        <w:t>19</w:t>
      </w:r>
      <w:r>
        <w:rPr>
          <w:rFonts w:hint="eastAsia" w:eastAsia="仿宋_GB2312"/>
          <w:sz w:val="32"/>
          <w:szCs w:val="32"/>
        </w:rPr>
        <w:t>人），财政实际供给</w:t>
      </w:r>
      <w:r>
        <w:rPr>
          <w:rFonts w:hint="eastAsia" w:eastAsia="仿宋_GB2312"/>
          <w:sz w:val="32"/>
          <w:szCs w:val="32"/>
          <w:lang w:val="en-US" w:eastAsia="zh-CN"/>
        </w:rPr>
        <w:t>38</w:t>
      </w:r>
      <w:r>
        <w:rPr>
          <w:rFonts w:hint="eastAsia" w:eastAsia="仿宋_GB2312"/>
          <w:sz w:val="32"/>
          <w:szCs w:val="32"/>
        </w:rPr>
        <w:t>人。</w:t>
      </w:r>
    </w:p>
    <w:p w14:paraId="5CF538E6">
      <w:pPr>
        <w:pStyle w:val="4"/>
        <w:keepNext w:val="0"/>
        <w:keepLines w:val="0"/>
        <w:pageBreakBefore w:val="0"/>
        <w:kinsoku/>
        <w:wordWrap/>
        <w:overflowPunct/>
        <w:topLinePunct w:val="0"/>
        <w:bidi w:val="0"/>
        <w:spacing w:line="56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部门整体支出绩效目标：贯彻执行规划建设、基础设施建设，稳定和完善农村基本经营管理，全面实施乡政府各项决策部署，确保工作任务能顺利圆满地完成。严格把控财政资金的用途，计划控制三公经费支出。计划完成基础支出预算金额的100%。</w:t>
      </w:r>
    </w:p>
    <w:p w14:paraId="350FC28C">
      <w:pPr>
        <w:keepNext w:val="0"/>
        <w:keepLines w:val="0"/>
        <w:pageBreakBefore w:val="0"/>
        <w:numPr>
          <w:ilvl w:val="0"/>
          <w:numId w:val="0"/>
        </w:numPr>
        <w:kinsoku/>
        <w:wordWrap/>
        <w:overflowPunct/>
        <w:topLinePunct w:val="0"/>
        <w:bidi w:val="0"/>
        <w:spacing w:line="560" w:lineRule="exact"/>
        <w:ind w:leftChars="0"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二、一般公共预算支出情况</w:t>
      </w:r>
    </w:p>
    <w:p w14:paraId="38A19524">
      <w:pPr>
        <w:keepNext w:val="0"/>
        <w:keepLines w:val="0"/>
        <w:pageBreakBefore w:val="0"/>
        <w:widowControl/>
        <w:numPr>
          <w:ilvl w:val="0"/>
          <w:numId w:val="0"/>
        </w:numPr>
        <w:kinsoku/>
        <w:wordWrap/>
        <w:overflowPunct/>
        <w:topLinePunct w:val="0"/>
        <w:bidi w:val="0"/>
        <w:spacing w:line="560" w:lineRule="exact"/>
        <w:ind w:firstLine="643" w:firstLineChars="200"/>
        <w:jc w:val="left"/>
        <w:textAlignment w:val="auto"/>
        <w:rPr>
          <w:rFonts w:hint="eastAsia" w:ascii="楷体" w:hAnsi="楷体" w:eastAsia="楷体" w:cs="楷体"/>
          <w:b/>
          <w:bCs w:val="0"/>
          <w:color w:val="auto"/>
          <w:kern w:val="2"/>
          <w:sz w:val="32"/>
          <w:szCs w:val="32"/>
          <w:lang w:val="en-US" w:eastAsia="zh-CN" w:bidi="ar-SA"/>
        </w:rPr>
      </w:pPr>
      <w:r>
        <w:rPr>
          <w:rFonts w:hint="eastAsia" w:ascii="楷体" w:hAnsi="楷体" w:eastAsia="楷体" w:cs="楷体"/>
          <w:b/>
          <w:bCs w:val="0"/>
          <w:color w:val="auto"/>
          <w:kern w:val="2"/>
          <w:sz w:val="32"/>
          <w:szCs w:val="32"/>
          <w:lang w:val="en-US" w:eastAsia="zh-CN" w:bidi="ar-SA"/>
        </w:rPr>
        <w:t>（一）基本支出情况</w:t>
      </w:r>
    </w:p>
    <w:p w14:paraId="23A385A3">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2023年度本单位基本经费调整预算收入1174.33万元，决算支出1174.33万元，其中：基本支出1067.08万元，占90.87%；项目支出107.25万元，占9.13%；上缴上级支出0万元，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2"/>
          <w:szCs w:val="32"/>
          <w:lang w:val="en-US" w:eastAsia="zh-CN" w:bidi="ar-SA"/>
        </w:rPr>
        <w:t>；经营支出0万元，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2"/>
          <w:szCs w:val="32"/>
          <w:lang w:val="en-US" w:eastAsia="zh-CN" w:bidi="ar-SA"/>
        </w:rPr>
        <w:t>；对附属单位补助支出0万元，</w:t>
      </w:r>
      <w:r>
        <w:rPr>
          <w:rFonts w:hint="eastAsia" w:ascii="Times New Roman" w:hAnsi="Times New Roman" w:eastAsia="仿宋_GB2312"/>
          <w:sz w:val="32"/>
          <w:szCs w:val="32"/>
          <w:lang w:val="en-US" w:eastAsia="zh-CN"/>
        </w:rPr>
        <w:t>占0%</w:t>
      </w:r>
      <w:r>
        <w:rPr>
          <w:rFonts w:hint="eastAsia" w:ascii="仿宋" w:hAnsi="仿宋" w:eastAsia="仿宋" w:cs="仿宋"/>
          <w:color w:val="auto"/>
          <w:kern w:val="0"/>
          <w:sz w:val="32"/>
          <w:szCs w:val="32"/>
          <w:lang w:val="en-US" w:eastAsia="zh-CN" w:bidi="ar-SA"/>
        </w:rPr>
        <w:t>。</w:t>
      </w:r>
    </w:p>
    <w:p w14:paraId="4E29D322">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2023年度本单位共发生财政拨款支出</w:t>
      </w:r>
      <w:r>
        <w:rPr>
          <w:rFonts w:hint="eastAsia" w:ascii="Times New Roman" w:hAnsi="Times New Roman" w:eastAsia="仿宋_GB2312"/>
          <w:sz w:val="32"/>
          <w:szCs w:val="32"/>
          <w:lang w:val="en-US" w:eastAsia="zh-CN"/>
        </w:rPr>
        <w:t>664.68</w:t>
      </w:r>
      <w:r>
        <w:rPr>
          <w:rFonts w:hint="eastAsia" w:ascii="仿宋" w:hAnsi="仿宋" w:eastAsia="仿宋" w:cs="仿宋"/>
          <w:color w:val="auto"/>
          <w:kern w:val="0"/>
          <w:sz w:val="32"/>
          <w:szCs w:val="32"/>
          <w:lang w:val="en-US" w:eastAsia="zh-CN" w:bidi="ar-SA"/>
        </w:rPr>
        <w:t>万元，主要用于以下方面： 一般公共服务（类）支出470.04万元，占70.72%；教育支出2万元，占0.3%；文化旅游体育与传媒支出4万元，占0.6%；社会保障和就业支出103.65万元，占15.59%；节能环保支出7万元，占1.05%；城乡社区支出13万元，占1.96%；农林水支出34万元，占5.12%；粮油物资储备支出15万元，占2.26%；灾害防治及应急管理支出8万元，占1.2%；其他支出8万元，占1.2%。</w:t>
      </w:r>
    </w:p>
    <w:p w14:paraId="790247CF">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2023年度财政拨款基本支出643.68万元，其中：人员经费478.91万元，占基本支出的72.05%,主要包括基本工资200.85万元、津贴补贴55.53万元、奖金40.63万元、伙食补助费5.83万元、绩效工资14.04万元、单位基本养老缴费128.29万元、职业年金缴费11.91万元、职工基本医疗保险缴费7.38万元、其他社会保障缴费1.29万元、其他工资福利支出13.17万元。公用经费支出164.77万元，占基本支出的 27.95 %，主要包括办公费29.42万元、印刷费5.36万元、水费1.09万元、邮电费3万元、维修（护）费34万元、专用材料费33.73万元、专用燃料费2.28万元、劳务费18万元、工会经费3.75万元、公务用车运行维护费0万元、其他交通费18.05万元、其他商品和服务支出16.1万元。</w:t>
      </w:r>
    </w:p>
    <w:p w14:paraId="2A604F0E">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1、一般公共服务支出201（类）07（款）税收事务10（项）税收业务支出为12.34万元。</w:t>
      </w:r>
    </w:p>
    <w:p w14:paraId="0BB2634D">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2、粮油物资储备支出222（类）01（款）行政运行99（项）其他粮油物资事务支出为15万元。</w:t>
      </w:r>
    </w:p>
    <w:p w14:paraId="66FF66EE">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3、一般公共服务支出201（类）01（款）人大事务01（项）行政运行支出为4.98万元。</w:t>
      </w:r>
    </w:p>
    <w:p w14:paraId="03AD5E51">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4、社会保障和就业支出208（类）28（款）退役军人管理事务99（项）其他退役军人事务管理支出为2.2万元。</w:t>
      </w:r>
    </w:p>
    <w:p w14:paraId="6765BF7F">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5、一般公共服务支出201（类）03（款）政府办公厅（室）及相关机构事务01（项）行政运行支出为452.71万元。</w:t>
      </w:r>
    </w:p>
    <w:p w14:paraId="2009DD3B">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6、节能环保支出211（类）01（款）环境保护管理事务01（项）行政运行支出为2万元。</w:t>
      </w:r>
    </w:p>
    <w:p w14:paraId="3A93895D">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7、农林水支出213（类）99（款）其他农林水支出99（项）其他农林水支出为6万元。</w:t>
      </w:r>
    </w:p>
    <w:p w14:paraId="005AA38F">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8、节能环保支出211（类）04（款）自然生态保护99（项）其他自然生态保护支出为5万元。</w:t>
      </w:r>
    </w:p>
    <w:p w14:paraId="0E259BE4">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9、灾害防治及应急管理支出224（类）01（款）应急管理事务01（项）行政运行支出为5万元。</w:t>
      </w:r>
    </w:p>
    <w:p w14:paraId="5CA9B2C4">
      <w:pPr>
        <w:pStyle w:val="4"/>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10、灾害防治及应急管理支出224（类）06（款）自然灾害防治01（项）地质灾害防治支出为3万元。</w:t>
      </w:r>
    </w:p>
    <w:p w14:paraId="3C7D568F">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11、文化旅游体育与传媒支出207（类）01（款）文化和旅游99（项）其他文化和旅游支出为4万元。</w:t>
      </w:r>
    </w:p>
    <w:p w14:paraId="67E4CF07">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12、农林水支出213（类）03（款）水利06（项）水利工程运行与维护支出为23万元。</w:t>
      </w:r>
    </w:p>
    <w:p w14:paraId="25E689B0">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13、教育支出205（类）08（款）进修及培训02（项）干部教育支出为2万元。</w:t>
      </w:r>
    </w:p>
    <w:p w14:paraId="5B0B3ACE">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14、农林水支出213（类）03（款）水利15（项）抗旱支出为5万元。</w:t>
      </w:r>
    </w:p>
    <w:p w14:paraId="50BA1284">
      <w:pPr>
        <w:pStyle w:val="4"/>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15、社会保障和就业支出208（类）05（款）行政事业单位养老支出05（项）机关事业单位基本养老保险缴费支出为101.45万元。</w:t>
      </w:r>
    </w:p>
    <w:p w14:paraId="5D6A3328">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“三公”经费财政拨款支出预算为0万元，支出决算为0万元，由于预算数为0，无法计算百分比，其中：</w:t>
      </w:r>
    </w:p>
    <w:p w14:paraId="77495276">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因公出国（境）费支出预算为0万元，支出决算为0万元，由于预算数为0，无法计算百分比。</w:t>
      </w:r>
    </w:p>
    <w:p w14:paraId="7EFABB07">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公务接待费支出预算为0万元，支出决算为0万元，由于预算数为0，无法计算百分比。</w:t>
      </w:r>
    </w:p>
    <w:p w14:paraId="362B2A22">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公务用车购置费及运行维护费支出预算为0万元，由于预算数为0，无法计算百分比。</w:t>
      </w:r>
    </w:p>
    <w:p w14:paraId="3EA27591">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2023年度“三公”经费财政拨款支出决算中，公务接待费支出决算0万元，由于“三公”经费决算数为0，无法计算百分比,因公出国（境）费支出决算0万元，由于“三公”经费决算数为0，无法计算百分比,公务用车购置费及运行维护费支出决算0万元，由于“三公”经费决算数为0，无法计算百分比,其中：</w:t>
      </w:r>
    </w:p>
    <w:p w14:paraId="6EF5C446">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1、因公出国（境）费支出决算为0万元，全年安排因公出国（境）团组0个，累计0人次。</w:t>
      </w:r>
    </w:p>
    <w:p w14:paraId="31AE2695">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2、公务接待费支出决算为0万元，全年共接待来访团组0个、来宾0人次。</w:t>
      </w:r>
    </w:p>
    <w:p w14:paraId="49C2080E">
      <w:pPr>
        <w:pStyle w:val="4"/>
        <w:keepNext w:val="0"/>
        <w:keepLines w:val="0"/>
        <w:pageBreakBefore w:val="0"/>
        <w:kinsoku/>
        <w:wordWrap/>
        <w:overflowPunct/>
        <w:topLinePunct w:val="0"/>
        <w:bidi w:val="0"/>
        <w:spacing w:line="560" w:lineRule="exact"/>
        <w:ind w:firstLine="640" w:firstLineChars="200"/>
        <w:textAlignment w:val="auto"/>
        <w:rPr>
          <w:rStyle w:val="5"/>
          <w:rFonts w:hint="default" w:ascii="仿宋" w:hAnsi="仿宋" w:eastAsia="仿宋" w:cs="仿宋"/>
          <w:sz w:val="32"/>
          <w:szCs w:val="32"/>
          <w:lang w:val="en-US" w:eastAsia="zh-CN"/>
        </w:rPr>
      </w:pPr>
      <w:r>
        <w:rPr>
          <w:rFonts w:hint="eastAsia" w:ascii="仿宋" w:hAnsi="仿宋" w:eastAsia="仿宋" w:cs="仿宋"/>
          <w:color w:val="auto"/>
          <w:kern w:val="0"/>
          <w:sz w:val="32"/>
          <w:szCs w:val="32"/>
          <w:lang w:val="en-US" w:eastAsia="zh-CN" w:bidi="ar-SA"/>
        </w:rPr>
        <w:t>3、公务用车购置费及运行维护费支出决算为0万元，其中：公务用车购置费0万元，更新公务用车0辆。公务用车运行维护费0万元，主要是维修、检查、会议用车等有关支出，截止2023年12月31日，我单位开支财政拨款的公务用车保有量为 1辆</w:t>
      </w:r>
      <w:r>
        <w:rPr>
          <w:rFonts w:hint="eastAsia" w:ascii="宋体" w:hAnsi="宋体"/>
          <w:sz w:val="32"/>
          <w:szCs w:val="32"/>
        </w:rPr>
        <w:t>。</w:t>
      </w:r>
    </w:p>
    <w:p w14:paraId="3E266B1F">
      <w:pPr>
        <w:keepNext w:val="0"/>
        <w:keepLines w:val="0"/>
        <w:pageBreakBefore w:val="0"/>
        <w:widowControl/>
        <w:numPr>
          <w:ilvl w:val="0"/>
          <w:numId w:val="0"/>
        </w:numPr>
        <w:kinsoku/>
        <w:wordWrap/>
        <w:overflowPunct/>
        <w:topLinePunct w:val="0"/>
        <w:bidi w:val="0"/>
        <w:spacing w:line="560" w:lineRule="exact"/>
        <w:ind w:firstLine="643" w:firstLineChars="200"/>
        <w:jc w:val="left"/>
        <w:textAlignment w:val="auto"/>
        <w:rPr>
          <w:rFonts w:hint="eastAsia" w:ascii="楷体" w:hAnsi="楷体" w:eastAsia="楷体" w:cs="楷体"/>
          <w:b/>
          <w:color w:val="auto"/>
          <w:kern w:val="2"/>
          <w:sz w:val="32"/>
          <w:szCs w:val="32"/>
          <w:lang w:val="en-US" w:eastAsia="zh-CN" w:bidi="ar-SA"/>
        </w:rPr>
      </w:pPr>
      <w:r>
        <w:rPr>
          <w:rFonts w:hint="eastAsia" w:ascii="楷体" w:hAnsi="楷体" w:eastAsia="楷体" w:cs="楷体"/>
          <w:b/>
          <w:color w:val="auto"/>
          <w:kern w:val="2"/>
          <w:sz w:val="32"/>
          <w:szCs w:val="32"/>
          <w:lang w:val="en-US" w:eastAsia="zh-CN" w:bidi="ar-SA"/>
        </w:rPr>
        <w:t>（二）项目支出情况</w:t>
      </w:r>
    </w:p>
    <w:p w14:paraId="7B692B96">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本单位2023年项目支出决算为107.25万元，为行政运行项目支出。</w:t>
      </w:r>
    </w:p>
    <w:p w14:paraId="18EB25CC">
      <w:pPr>
        <w:keepNext w:val="0"/>
        <w:keepLines w:val="0"/>
        <w:pageBreakBefore w:val="0"/>
        <w:numPr>
          <w:ilvl w:val="0"/>
          <w:numId w:val="0"/>
        </w:numPr>
        <w:kinsoku/>
        <w:wordWrap/>
        <w:overflowPunct/>
        <w:topLinePunct w:val="0"/>
        <w:bidi w:val="0"/>
        <w:spacing w:line="560" w:lineRule="exact"/>
        <w:ind w:leftChars="0" w:firstLine="640" w:firstLineChars="200"/>
        <w:textAlignment w:val="auto"/>
        <w:rPr>
          <w:rFonts w:hint="eastAsia" w:ascii="黑体" w:hAnsi="黑体" w:eastAsia="黑体" w:cs="黑体"/>
          <w:b/>
          <w:color w:val="auto"/>
          <w:sz w:val="32"/>
          <w:szCs w:val="32"/>
          <w:lang w:val="en-US" w:eastAsia="zh-CN"/>
        </w:rPr>
      </w:pPr>
      <w:r>
        <w:rPr>
          <w:rFonts w:hint="eastAsia" w:ascii="黑体" w:hAnsi="黑体" w:eastAsia="黑体" w:cs="黑体"/>
          <w:b w:val="0"/>
          <w:bCs/>
          <w:color w:val="auto"/>
          <w:sz w:val="32"/>
          <w:szCs w:val="32"/>
          <w:lang w:val="en-US" w:eastAsia="zh-CN"/>
        </w:rPr>
        <w:t>三、政府性基金预算支出情况</w:t>
      </w:r>
    </w:p>
    <w:p w14:paraId="6D96F087">
      <w:pPr>
        <w:pStyle w:val="4"/>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本单位2023年度政府性基金财政拨款收入为21万元，政府性基金财政拨款支出为21万元，包括农村社会事业支出13万元、用于社会福利的彩票公益金支出8万元。</w:t>
      </w:r>
    </w:p>
    <w:p w14:paraId="47426056">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四、国有资本经营预算支出情况</w:t>
      </w:r>
    </w:p>
    <w:p w14:paraId="4F57739B">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本单位无国有资本经营预算支出。</w:t>
      </w:r>
    </w:p>
    <w:p w14:paraId="315402A3">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五、社会保险基金预算支出情况</w:t>
      </w:r>
    </w:p>
    <w:p w14:paraId="5AD0D827">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本单位无社会保险基金预算支出。</w:t>
      </w:r>
    </w:p>
    <w:p w14:paraId="0FB10937">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default"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六、部门整体支出绩效情况</w:t>
      </w:r>
    </w:p>
    <w:p w14:paraId="3860A527">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b/>
          <w:sz w:val="32"/>
          <w:szCs w:val="32"/>
        </w:rPr>
      </w:pPr>
      <w:r>
        <w:rPr>
          <w:rFonts w:hint="eastAsia" w:ascii="仿宋" w:hAnsi="仿宋" w:eastAsia="仿宋" w:cs="仿宋"/>
          <w:kern w:val="0"/>
          <w:sz w:val="32"/>
          <w:szCs w:val="32"/>
          <w:lang w:val="en-US" w:eastAsia="zh-CN"/>
        </w:rPr>
        <w:t>部门整体支出绩效评价分析包括：1.</w:t>
      </w:r>
      <w:r>
        <w:rPr>
          <w:rFonts w:hint="eastAsia" w:ascii="仿宋" w:hAnsi="仿宋" w:eastAsia="仿宋" w:cs="仿宋"/>
          <w:kern w:val="0"/>
          <w:sz w:val="32"/>
          <w:szCs w:val="32"/>
        </w:rPr>
        <w:t>投入情况分析，包括预算编制、目标设定分析等；</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执行管理情况分析，包括资金执行进度、调整情况、成本控制情况分析及项目完成进度情况等</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3.</w:t>
      </w:r>
      <w:r>
        <w:rPr>
          <w:rFonts w:hint="eastAsia" w:ascii="仿宋" w:hAnsi="仿宋" w:eastAsia="仿宋" w:cs="仿宋"/>
          <w:sz w:val="32"/>
          <w:szCs w:val="32"/>
        </w:rPr>
        <w:t>支出绩效情况分析，包括基本支出和项目支出的运行效果情况等。</w:t>
      </w:r>
    </w:p>
    <w:p w14:paraId="58E9B899">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大水田乡政府科学合理编制经费预算，根据中央和省、市、县财政预算改革的有关要求，结合单位实际需要，按标准、按项目科学认真编制部门预算，充分的预计项目支出并完整反应，编制部门预算绩效目标，按时完成预算编制报送工作。合理编制“三公经费”预算，压缩公用经费，支出总额基本控制在预算总额以内，预算执行率达100%，未出现截留、挤占、挪用、虚列支出等情况。为强化部门整体支出，加强国有资产管理，建立资产管理制度，将各类资产录入国有资产管理信息系统，分类建立资产卡片，实行动态管理，及时进行清查盘点，确保账实相符。提高资产使用效益，在财务管理和厉行节约方面开展大量工作，行政效能显著。在原有财务管理制度基础上，适时、针对性进行相关制度的完善。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按照财政要求，及时在预决算批复后在辰溪县人民政府的网站中进行信息公开，公开内容真实、完整，依法接收各部门及群众的监督。我乡编制内在职人员控制率达86.36%，制度执行总体较为有效，仍需进一步强化，资产使用管理也需进一步加强。我乡在不断改善行政管理、严格经费及资产管理；做好防汛抗旱、防治大气污染、疫情防控、人居环境整治工作；督促和指导乡村抓好基础管理工作和安全生产工作；改进文风会风，精简会议，提高了行政效率，各方面工作得到社会大众的肯定和好评，在年度绩效考核中成绩取得进一步提升。</w:t>
      </w:r>
    </w:p>
    <w:p w14:paraId="51D6375F">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七、存在的问题及原因分析</w:t>
      </w:r>
    </w:p>
    <w:p w14:paraId="5E7B99F8">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存在的问题：1、预算编制工作有待细化，预算编制的合理性需要提高，预算执行力度还要进一步加强。</w:t>
      </w:r>
    </w:p>
    <w:p w14:paraId="6B93F9CE">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2、因单位存在人在编不在现象导致经费不足：绩效工资和日常公用经费不足、与实际支出有差距。</w:t>
      </w:r>
    </w:p>
    <w:p w14:paraId="3F7C08B4">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3、公用经费控制有一定难度，基本为刚性支出。</w:t>
      </w:r>
    </w:p>
    <w:p w14:paraId="2CC683A7">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原因：本单位预算绩效管理人员工作经验不足，对预算编制、绩效管理等的制定及处理不熟悉，财政人员数量少，部分工作无专人负责，工作水平参差不齐等。</w:t>
      </w:r>
    </w:p>
    <w:p w14:paraId="7B2BE8C7">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八、下一步改进措施</w:t>
      </w:r>
    </w:p>
    <w:p w14:paraId="04FF2225">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针对上述存在的问题及对外整体支出管理工作的需要，拟实施的改进措施如下：</w:t>
      </w:r>
    </w:p>
    <w:p w14:paraId="784C28DD">
      <w:pPr>
        <w:keepNext w:val="0"/>
        <w:keepLines w:val="0"/>
        <w:pageBreakBefore w:val="0"/>
        <w:widowControl w:val="0"/>
        <w:numPr>
          <w:ilvl w:val="0"/>
          <w:numId w:val="0"/>
        </w:numPr>
        <w:kinsoku/>
        <w:wordWrap/>
        <w:overflowPunct/>
        <w:topLinePunct w:val="0"/>
        <w:bidi w:val="0"/>
        <w:adjustRightInd w:val="0"/>
        <w:snapToGrid w:val="0"/>
        <w:spacing w:line="54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39C969DA">
      <w:pPr>
        <w:keepNext w:val="0"/>
        <w:keepLines w:val="0"/>
        <w:pageBreakBefore w:val="0"/>
        <w:widowControl w:val="0"/>
        <w:numPr>
          <w:ilvl w:val="0"/>
          <w:numId w:val="0"/>
        </w:numPr>
        <w:kinsoku/>
        <w:wordWrap/>
        <w:overflowPunct/>
        <w:topLinePunct w:val="0"/>
        <w:bidi w:val="0"/>
        <w:adjustRightInd w:val="0"/>
        <w:snapToGrid w:val="0"/>
        <w:spacing w:line="54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55C2FB92">
      <w:pPr>
        <w:pStyle w:val="4"/>
        <w:keepNext w:val="0"/>
        <w:keepLines w:val="0"/>
        <w:pageBreakBefore w:val="0"/>
        <w:widowControl w:val="0"/>
        <w:kinsoku/>
        <w:wordWrap/>
        <w:overflowPunct/>
        <w:topLinePunct w:val="0"/>
        <w:bidi w:val="0"/>
        <w:adjustRightInd w:val="0"/>
        <w:spacing w:line="540"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14:paraId="5E3FACC0">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九、部门整体支出绩效自评结果拟应用和公开情况</w:t>
      </w:r>
    </w:p>
    <w:p w14:paraId="6FEF2A9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县财政相关部门统一部署，我单位2023年部门整体支出绩效自评结果将与2023年决算一同公开于政府门户网站中，接收社会监督。我单位将对绩效自评工作中发现的问题及时整改，解决绩效评价管理中存在的缺漏，提高工作效能。以结果应用为预算绩效管理的落脚点，促进预算管理，建立预算绩效结果与预算制定和年度绩效考核相结合的机制，提高财政资金使用效益。</w:t>
      </w:r>
    </w:p>
    <w:p w14:paraId="5960FEC3">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十、其他需要说明的情况</w:t>
      </w:r>
    </w:p>
    <w:p w14:paraId="044A4D3E">
      <w:pPr>
        <w:keepNext w:val="0"/>
        <w:keepLines w:val="0"/>
        <w:pageBreakBefore w:val="0"/>
        <w:numPr>
          <w:ilvl w:val="0"/>
          <w:numId w:val="0"/>
        </w:numPr>
        <w:kinsoku/>
        <w:wordWrap/>
        <w:overflowPunct/>
        <w:topLinePunct w:val="0"/>
        <w:bidi w:val="0"/>
        <w:spacing w:line="56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无</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F17FE3-1A88-4D1D-9F8F-A806CE20C8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0A1FDCF-7A75-4EB7-A6A7-34385B3759DA}"/>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3" w:fontKey="{6E55A2F7-5743-47AD-8E8B-85AC72A7A026}"/>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69AB9E57-6FC3-436C-B17E-03D379F1DF59}"/>
  </w:font>
  <w:font w:name="楷体">
    <w:panose1 w:val="02010609060101010101"/>
    <w:charset w:val="86"/>
    <w:family w:val="auto"/>
    <w:pitch w:val="default"/>
    <w:sig w:usb0="800002BF" w:usb1="38CF7CFA" w:usb2="00000016" w:usb3="00000000" w:csb0="00040001" w:csb1="00000000"/>
    <w:embedRegular r:id="rId5" w:fontKey="{8C27ABBE-ED12-4928-82C8-5DAC344FBB6E}"/>
  </w:font>
  <w:font w:name="仿宋">
    <w:panose1 w:val="02010609060101010101"/>
    <w:charset w:val="86"/>
    <w:family w:val="auto"/>
    <w:pitch w:val="default"/>
    <w:sig w:usb0="800002BF" w:usb1="38CF7CFA" w:usb2="00000016" w:usb3="00000000" w:csb0="00040001" w:csb1="00000000"/>
    <w:embedRegular r:id="rId6" w:fontKey="{EDDB2861-C9DD-4EC0-A0FC-E4F2A467FC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00000000"/>
    <w:rsid w:val="000E7B1F"/>
    <w:rsid w:val="001570FF"/>
    <w:rsid w:val="001A4716"/>
    <w:rsid w:val="002E6413"/>
    <w:rsid w:val="00D40D69"/>
    <w:rsid w:val="01633E9B"/>
    <w:rsid w:val="01BB5A85"/>
    <w:rsid w:val="022703C6"/>
    <w:rsid w:val="02317AF5"/>
    <w:rsid w:val="027A3412"/>
    <w:rsid w:val="029A7D90"/>
    <w:rsid w:val="02C447F9"/>
    <w:rsid w:val="033E4BBF"/>
    <w:rsid w:val="03465822"/>
    <w:rsid w:val="03885E3A"/>
    <w:rsid w:val="03C70711"/>
    <w:rsid w:val="04C904B8"/>
    <w:rsid w:val="04F55751"/>
    <w:rsid w:val="056326BB"/>
    <w:rsid w:val="05BC001D"/>
    <w:rsid w:val="05BF51DD"/>
    <w:rsid w:val="05C55124"/>
    <w:rsid w:val="05C81985"/>
    <w:rsid w:val="05CA098C"/>
    <w:rsid w:val="060C4B01"/>
    <w:rsid w:val="061B4D44"/>
    <w:rsid w:val="064E6EC7"/>
    <w:rsid w:val="0673692E"/>
    <w:rsid w:val="067B3A34"/>
    <w:rsid w:val="06823015"/>
    <w:rsid w:val="068B65D1"/>
    <w:rsid w:val="06AB431A"/>
    <w:rsid w:val="06E96BF0"/>
    <w:rsid w:val="07035F04"/>
    <w:rsid w:val="072E0504"/>
    <w:rsid w:val="073A569E"/>
    <w:rsid w:val="079F27F2"/>
    <w:rsid w:val="07AD2313"/>
    <w:rsid w:val="07C531B9"/>
    <w:rsid w:val="07DA29F3"/>
    <w:rsid w:val="080A5070"/>
    <w:rsid w:val="085D1644"/>
    <w:rsid w:val="089B5E71"/>
    <w:rsid w:val="08DB6A0C"/>
    <w:rsid w:val="09FC6723"/>
    <w:rsid w:val="0A3B3C06"/>
    <w:rsid w:val="0A466107"/>
    <w:rsid w:val="0A670558"/>
    <w:rsid w:val="0A7B2255"/>
    <w:rsid w:val="0A854E82"/>
    <w:rsid w:val="0A9E5F43"/>
    <w:rsid w:val="0ABA0FCF"/>
    <w:rsid w:val="0ADB7197"/>
    <w:rsid w:val="0B1306DF"/>
    <w:rsid w:val="0B204BAA"/>
    <w:rsid w:val="0B3D39AE"/>
    <w:rsid w:val="0B5331D2"/>
    <w:rsid w:val="0BE107DE"/>
    <w:rsid w:val="0C05627A"/>
    <w:rsid w:val="0C201306"/>
    <w:rsid w:val="0C3B6140"/>
    <w:rsid w:val="0CDA7707"/>
    <w:rsid w:val="0CE40585"/>
    <w:rsid w:val="0D233659"/>
    <w:rsid w:val="0D4728C2"/>
    <w:rsid w:val="0D5079C9"/>
    <w:rsid w:val="0D570D57"/>
    <w:rsid w:val="0D847672"/>
    <w:rsid w:val="0DD8176C"/>
    <w:rsid w:val="0E0B1B42"/>
    <w:rsid w:val="0E745939"/>
    <w:rsid w:val="0E76345F"/>
    <w:rsid w:val="0EA24254"/>
    <w:rsid w:val="0ED744A9"/>
    <w:rsid w:val="0EDB1514"/>
    <w:rsid w:val="0EDC703A"/>
    <w:rsid w:val="0EE24651"/>
    <w:rsid w:val="0EFE3455"/>
    <w:rsid w:val="0F492922"/>
    <w:rsid w:val="0F73799F"/>
    <w:rsid w:val="0FD50659"/>
    <w:rsid w:val="0FD7617F"/>
    <w:rsid w:val="106C2D6C"/>
    <w:rsid w:val="109C2F25"/>
    <w:rsid w:val="10BC5375"/>
    <w:rsid w:val="10E01064"/>
    <w:rsid w:val="111156C1"/>
    <w:rsid w:val="117D2D56"/>
    <w:rsid w:val="11B60016"/>
    <w:rsid w:val="11C40985"/>
    <w:rsid w:val="11FF376C"/>
    <w:rsid w:val="1218482D"/>
    <w:rsid w:val="123553DF"/>
    <w:rsid w:val="12435D4E"/>
    <w:rsid w:val="128D521B"/>
    <w:rsid w:val="133D454B"/>
    <w:rsid w:val="13985C26"/>
    <w:rsid w:val="13A66595"/>
    <w:rsid w:val="13AD5156"/>
    <w:rsid w:val="13FB7F63"/>
    <w:rsid w:val="143F2545"/>
    <w:rsid w:val="1448764C"/>
    <w:rsid w:val="144E09DA"/>
    <w:rsid w:val="14740441"/>
    <w:rsid w:val="14786413"/>
    <w:rsid w:val="147A3A34"/>
    <w:rsid w:val="14F90946"/>
    <w:rsid w:val="150317C5"/>
    <w:rsid w:val="15162FBF"/>
    <w:rsid w:val="155D7127"/>
    <w:rsid w:val="155E2E9F"/>
    <w:rsid w:val="15B8435D"/>
    <w:rsid w:val="15E96C0C"/>
    <w:rsid w:val="15F555B1"/>
    <w:rsid w:val="160449DB"/>
    <w:rsid w:val="16133C89"/>
    <w:rsid w:val="16161084"/>
    <w:rsid w:val="162B0FD3"/>
    <w:rsid w:val="162B2D81"/>
    <w:rsid w:val="165322D8"/>
    <w:rsid w:val="16702E8A"/>
    <w:rsid w:val="168E3310"/>
    <w:rsid w:val="16B965DF"/>
    <w:rsid w:val="16BF171B"/>
    <w:rsid w:val="1703785A"/>
    <w:rsid w:val="17285513"/>
    <w:rsid w:val="174D6D27"/>
    <w:rsid w:val="18055854"/>
    <w:rsid w:val="18491BE4"/>
    <w:rsid w:val="18506ACF"/>
    <w:rsid w:val="18730A0F"/>
    <w:rsid w:val="187529D9"/>
    <w:rsid w:val="18C4126B"/>
    <w:rsid w:val="18C66D91"/>
    <w:rsid w:val="18CD0120"/>
    <w:rsid w:val="193E2DCB"/>
    <w:rsid w:val="194C274C"/>
    <w:rsid w:val="195C76F5"/>
    <w:rsid w:val="19AF3CC9"/>
    <w:rsid w:val="19B65058"/>
    <w:rsid w:val="19F6392A"/>
    <w:rsid w:val="19FE255B"/>
    <w:rsid w:val="1A807414"/>
    <w:rsid w:val="1A9058A9"/>
    <w:rsid w:val="1B1C538E"/>
    <w:rsid w:val="1B34092A"/>
    <w:rsid w:val="1B6C00C4"/>
    <w:rsid w:val="1C493F61"/>
    <w:rsid w:val="1C6D1A9F"/>
    <w:rsid w:val="1C6F2382"/>
    <w:rsid w:val="1C7134B8"/>
    <w:rsid w:val="1C850D11"/>
    <w:rsid w:val="1CC655B2"/>
    <w:rsid w:val="1CDD6D9F"/>
    <w:rsid w:val="1CFC5477"/>
    <w:rsid w:val="1D1E53EE"/>
    <w:rsid w:val="1D5232E9"/>
    <w:rsid w:val="1D9C27B6"/>
    <w:rsid w:val="1DA84CB7"/>
    <w:rsid w:val="1DB4365C"/>
    <w:rsid w:val="1E122A78"/>
    <w:rsid w:val="1E3A4662"/>
    <w:rsid w:val="1E731769"/>
    <w:rsid w:val="1E7D6144"/>
    <w:rsid w:val="1E8E20FF"/>
    <w:rsid w:val="1EDB0CF1"/>
    <w:rsid w:val="1EEE2B9E"/>
    <w:rsid w:val="1EF108E0"/>
    <w:rsid w:val="1EFF124F"/>
    <w:rsid w:val="1F3F789D"/>
    <w:rsid w:val="1F501AAA"/>
    <w:rsid w:val="1F826CED"/>
    <w:rsid w:val="1FD06747"/>
    <w:rsid w:val="1FFB37C4"/>
    <w:rsid w:val="204A64FA"/>
    <w:rsid w:val="20517888"/>
    <w:rsid w:val="20605D1D"/>
    <w:rsid w:val="207E61A3"/>
    <w:rsid w:val="209239FD"/>
    <w:rsid w:val="20A200E4"/>
    <w:rsid w:val="20D34741"/>
    <w:rsid w:val="20E22BD6"/>
    <w:rsid w:val="20F36B91"/>
    <w:rsid w:val="21613AFB"/>
    <w:rsid w:val="217D46AD"/>
    <w:rsid w:val="21A34113"/>
    <w:rsid w:val="21A67760"/>
    <w:rsid w:val="21B7196D"/>
    <w:rsid w:val="21C5052E"/>
    <w:rsid w:val="2217240B"/>
    <w:rsid w:val="224C6559"/>
    <w:rsid w:val="22BA4C63"/>
    <w:rsid w:val="22EA5D72"/>
    <w:rsid w:val="2318468D"/>
    <w:rsid w:val="233A0AA7"/>
    <w:rsid w:val="235F050E"/>
    <w:rsid w:val="23922691"/>
    <w:rsid w:val="23CB77BA"/>
    <w:rsid w:val="23D031BA"/>
    <w:rsid w:val="23EA427B"/>
    <w:rsid w:val="245711E5"/>
    <w:rsid w:val="24646FFC"/>
    <w:rsid w:val="24C50845"/>
    <w:rsid w:val="24C525F3"/>
    <w:rsid w:val="24F3399B"/>
    <w:rsid w:val="25021151"/>
    <w:rsid w:val="255816B9"/>
    <w:rsid w:val="25665B84"/>
    <w:rsid w:val="256E2C8A"/>
    <w:rsid w:val="258C1362"/>
    <w:rsid w:val="25DF5936"/>
    <w:rsid w:val="266A3452"/>
    <w:rsid w:val="26720558"/>
    <w:rsid w:val="272E26D1"/>
    <w:rsid w:val="279F537D"/>
    <w:rsid w:val="27DD7C53"/>
    <w:rsid w:val="28033B5E"/>
    <w:rsid w:val="28072F22"/>
    <w:rsid w:val="286D0FD7"/>
    <w:rsid w:val="28927BEE"/>
    <w:rsid w:val="28A6273B"/>
    <w:rsid w:val="29600B3C"/>
    <w:rsid w:val="296543A4"/>
    <w:rsid w:val="29C4731D"/>
    <w:rsid w:val="29E03A2B"/>
    <w:rsid w:val="2AA809EC"/>
    <w:rsid w:val="2AE80DE9"/>
    <w:rsid w:val="2B9F3B9D"/>
    <w:rsid w:val="2BBA09D7"/>
    <w:rsid w:val="2BC730F4"/>
    <w:rsid w:val="2C1F4CDE"/>
    <w:rsid w:val="2C271DE5"/>
    <w:rsid w:val="2C3A6424"/>
    <w:rsid w:val="2C5801F0"/>
    <w:rsid w:val="2C730B86"/>
    <w:rsid w:val="2C7D1A05"/>
    <w:rsid w:val="2C8B5ED0"/>
    <w:rsid w:val="2D157E8F"/>
    <w:rsid w:val="2D197980"/>
    <w:rsid w:val="2D6B7AAF"/>
    <w:rsid w:val="2D7E5A35"/>
    <w:rsid w:val="2E0F2B31"/>
    <w:rsid w:val="2E1D6FFC"/>
    <w:rsid w:val="2E725599"/>
    <w:rsid w:val="2E7B1F74"/>
    <w:rsid w:val="2E9279E9"/>
    <w:rsid w:val="2EB37960"/>
    <w:rsid w:val="2ED00512"/>
    <w:rsid w:val="2F106B60"/>
    <w:rsid w:val="2F300FB0"/>
    <w:rsid w:val="2F65331D"/>
    <w:rsid w:val="2FC71915"/>
    <w:rsid w:val="2FD22068"/>
    <w:rsid w:val="2FDB0F1C"/>
    <w:rsid w:val="304271ED"/>
    <w:rsid w:val="30444D13"/>
    <w:rsid w:val="3049232A"/>
    <w:rsid w:val="30CE282F"/>
    <w:rsid w:val="31B9528D"/>
    <w:rsid w:val="31C75BFC"/>
    <w:rsid w:val="31D64091"/>
    <w:rsid w:val="31FC33CC"/>
    <w:rsid w:val="32056724"/>
    <w:rsid w:val="322A618B"/>
    <w:rsid w:val="32E4633A"/>
    <w:rsid w:val="33A06705"/>
    <w:rsid w:val="33A361F5"/>
    <w:rsid w:val="344A6670"/>
    <w:rsid w:val="346C2A8B"/>
    <w:rsid w:val="347B2CCE"/>
    <w:rsid w:val="348002E4"/>
    <w:rsid w:val="34C1242F"/>
    <w:rsid w:val="34D81ECE"/>
    <w:rsid w:val="351729F7"/>
    <w:rsid w:val="35551771"/>
    <w:rsid w:val="356D0FBE"/>
    <w:rsid w:val="36140CE4"/>
    <w:rsid w:val="3623361D"/>
    <w:rsid w:val="36435A6D"/>
    <w:rsid w:val="36B349A1"/>
    <w:rsid w:val="36C546D4"/>
    <w:rsid w:val="36D466C5"/>
    <w:rsid w:val="3710594F"/>
    <w:rsid w:val="373D070E"/>
    <w:rsid w:val="374675C3"/>
    <w:rsid w:val="37667C65"/>
    <w:rsid w:val="37704640"/>
    <w:rsid w:val="378B147A"/>
    <w:rsid w:val="37A97B52"/>
    <w:rsid w:val="37BC7885"/>
    <w:rsid w:val="37DC7F27"/>
    <w:rsid w:val="38BF587F"/>
    <w:rsid w:val="38D86941"/>
    <w:rsid w:val="39311BAD"/>
    <w:rsid w:val="394538AA"/>
    <w:rsid w:val="394C2E8B"/>
    <w:rsid w:val="395D0BF4"/>
    <w:rsid w:val="39730417"/>
    <w:rsid w:val="39736669"/>
    <w:rsid w:val="39A607ED"/>
    <w:rsid w:val="3A540249"/>
    <w:rsid w:val="3B0C28D2"/>
    <w:rsid w:val="3B0F23C2"/>
    <w:rsid w:val="3B5D137F"/>
    <w:rsid w:val="3BF35840"/>
    <w:rsid w:val="3C3C71E7"/>
    <w:rsid w:val="3C447E49"/>
    <w:rsid w:val="3C487939"/>
    <w:rsid w:val="3CE37662"/>
    <w:rsid w:val="3CF11D7F"/>
    <w:rsid w:val="3D580050"/>
    <w:rsid w:val="3D597924"/>
    <w:rsid w:val="3D712DFD"/>
    <w:rsid w:val="3D7F55DD"/>
    <w:rsid w:val="3DB64D77"/>
    <w:rsid w:val="3DCD3220"/>
    <w:rsid w:val="3DF00289"/>
    <w:rsid w:val="3E1A5306"/>
    <w:rsid w:val="3E2D328B"/>
    <w:rsid w:val="3E353EED"/>
    <w:rsid w:val="3E497999"/>
    <w:rsid w:val="3E6B3DB3"/>
    <w:rsid w:val="3ECC2AA4"/>
    <w:rsid w:val="3F406FEE"/>
    <w:rsid w:val="3F566811"/>
    <w:rsid w:val="3F7B0026"/>
    <w:rsid w:val="3F95733A"/>
    <w:rsid w:val="3FFF2A05"/>
    <w:rsid w:val="400E2C48"/>
    <w:rsid w:val="40532D51"/>
    <w:rsid w:val="40A165F6"/>
    <w:rsid w:val="410A1661"/>
    <w:rsid w:val="4125649B"/>
    <w:rsid w:val="41D659E7"/>
    <w:rsid w:val="41F30347"/>
    <w:rsid w:val="41FA16D6"/>
    <w:rsid w:val="420E5181"/>
    <w:rsid w:val="424E557E"/>
    <w:rsid w:val="429F5DD9"/>
    <w:rsid w:val="42AB6E74"/>
    <w:rsid w:val="42EA174A"/>
    <w:rsid w:val="43046F1B"/>
    <w:rsid w:val="433E1A96"/>
    <w:rsid w:val="43BB30E7"/>
    <w:rsid w:val="43EE526A"/>
    <w:rsid w:val="43F941F3"/>
    <w:rsid w:val="44466E54"/>
    <w:rsid w:val="4464552C"/>
    <w:rsid w:val="447A6AFE"/>
    <w:rsid w:val="449D0A3E"/>
    <w:rsid w:val="44F20D8A"/>
    <w:rsid w:val="45132AAF"/>
    <w:rsid w:val="45991206"/>
    <w:rsid w:val="45D109A0"/>
    <w:rsid w:val="45FB5A1D"/>
    <w:rsid w:val="46584C1D"/>
    <w:rsid w:val="47574ED5"/>
    <w:rsid w:val="47665118"/>
    <w:rsid w:val="4799729B"/>
    <w:rsid w:val="47D77DC3"/>
    <w:rsid w:val="482C6058"/>
    <w:rsid w:val="483376F0"/>
    <w:rsid w:val="48861F15"/>
    <w:rsid w:val="48B52A68"/>
    <w:rsid w:val="48E64762"/>
    <w:rsid w:val="48EE7ABB"/>
    <w:rsid w:val="49025314"/>
    <w:rsid w:val="494B0A69"/>
    <w:rsid w:val="498B5309"/>
    <w:rsid w:val="49CB3958"/>
    <w:rsid w:val="49F11610"/>
    <w:rsid w:val="4A0330F2"/>
    <w:rsid w:val="4A1B48DF"/>
    <w:rsid w:val="4A5751EC"/>
    <w:rsid w:val="4A963F66"/>
    <w:rsid w:val="4AB34B18"/>
    <w:rsid w:val="4ABB39CC"/>
    <w:rsid w:val="4AD827D0"/>
    <w:rsid w:val="4ADF3B5F"/>
    <w:rsid w:val="4B4B6AFE"/>
    <w:rsid w:val="4B7047B7"/>
    <w:rsid w:val="4B9C1A50"/>
    <w:rsid w:val="4BD72A88"/>
    <w:rsid w:val="4BD9235C"/>
    <w:rsid w:val="4BE807F1"/>
    <w:rsid w:val="4BFE0015"/>
    <w:rsid w:val="4C303F46"/>
    <w:rsid w:val="4C7958ED"/>
    <w:rsid w:val="4CC0176E"/>
    <w:rsid w:val="4CC248F1"/>
    <w:rsid w:val="4CDB2104"/>
    <w:rsid w:val="4CF338F1"/>
    <w:rsid w:val="4D2E66D8"/>
    <w:rsid w:val="4D6B3488"/>
    <w:rsid w:val="4DE1199C"/>
    <w:rsid w:val="4E5959D6"/>
    <w:rsid w:val="4EB64BD7"/>
    <w:rsid w:val="4EB8094F"/>
    <w:rsid w:val="4F473A81"/>
    <w:rsid w:val="4F512B51"/>
    <w:rsid w:val="4F675ED1"/>
    <w:rsid w:val="4F6B3C13"/>
    <w:rsid w:val="4F980780"/>
    <w:rsid w:val="4F9B5B7A"/>
    <w:rsid w:val="4FF260E2"/>
    <w:rsid w:val="502A587C"/>
    <w:rsid w:val="504F0E3F"/>
    <w:rsid w:val="50AA2519"/>
    <w:rsid w:val="50CC014E"/>
    <w:rsid w:val="510A745C"/>
    <w:rsid w:val="511107EA"/>
    <w:rsid w:val="517A638F"/>
    <w:rsid w:val="518965D2"/>
    <w:rsid w:val="51B01DB1"/>
    <w:rsid w:val="51CD2963"/>
    <w:rsid w:val="521B01A5"/>
    <w:rsid w:val="524D5852"/>
    <w:rsid w:val="524F15CA"/>
    <w:rsid w:val="52A86F2C"/>
    <w:rsid w:val="52E141EC"/>
    <w:rsid w:val="52EC506B"/>
    <w:rsid w:val="532C190B"/>
    <w:rsid w:val="5345477B"/>
    <w:rsid w:val="5385101B"/>
    <w:rsid w:val="53AE0572"/>
    <w:rsid w:val="53B35B89"/>
    <w:rsid w:val="53BC2C8F"/>
    <w:rsid w:val="53D1600F"/>
    <w:rsid w:val="53DD49B3"/>
    <w:rsid w:val="542E520F"/>
    <w:rsid w:val="544669FD"/>
    <w:rsid w:val="548B08B3"/>
    <w:rsid w:val="54E87AB4"/>
    <w:rsid w:val="552503C0"/>
    <w:rsid w:val="553E76D4"/>
    <w:rsid w:val="554F368F"/>
    <w:rsid w:val="55630EE8"/>
    <w:rsid w:val="55EC7130"/>
    <w:rsid w:val="5612303A"/>
    <w:rsid w:val="56156687"/>
    <w:rsid w:val="56242D6E"/>
    <w:rsid w:val="56A63783"/>
    <w:rsid w:val="56C37E91"/>
    <w:rsid w:val="56CD6F61"/>
    <w:rsid w:val="56FC15F5"/>
    <w:rsid w:val="57623B4D"/>
    <w:rsid w:val="577D0987"/>
    <w:rsid w:val="57803FD4"/>
    <w:rsid w:val="58214DBF"/>
    <w:rsid w:val="586631C9"/>
    <w:rsid w:val="58A81A34"/>
    <w:rsid w:val="58CD149A"/>
    <w:rsid w:val="592D1F39"/>
    <w:rsid w:val="595E6596"/>
    <w:rsid w:val="59A87812"/>
    <w:rsid w:val="5A1804F3"/>
    <w:rsid w:val="5A355549"/>
    <w:rsid w:val="5A414C11"/>
    <w:rsid w:val="5AC4067B"/>
    <w:rsid w:val="5AE96334"/>
    <w:rsid w:val="5B7025B1"/>
    <w:rsid w:val="5BB46942"/>
    <w:rsid w:val="5BC16969"/>
    <w:rsid w:val="5C4557EC"/>
    <w:rsid w:val="5CA2679A"/>
    <w:rsid w:val="5D1E0517"/>
    <w:rsid w:val="5D443CF5"/>
    <w:rsid w:val="5DAD189A"/>
    <w:rsid w:val="5E023994"/>
    <w:rsid w:val="5E0963CE"/>
    <w:rsid w:val="5E190CDE"/>
    <w:rsid w:val="5E532442"/>
    <w:rsid w:val="5E79352B"/>
    <w:rsid w:val="5EC450EE"/>
    <w:rsid w:val="5EF62DCD"/>
    <w:rsid w:val="5F013C4C"/>
    <w:rsid w:val="5F2E6A0B"/>
    <w:rsid w:val="5F434264"/>
    <w:rsid w:val="5F84662B"/>
    <w:rsid w:val="5F8D54E0"/>
    <w:rsid w:val="5FE377F5"/>
    <w:rsid w:val="60113C10"/>
    <w:rsid w:val="60275934"/>
    <w:rsid w:val="60911000"/>
    <w:rsid w:val="60EC092C"/>
    <w:rsid w:val="614147D4"/>
    <w:rsid w:val="614957FD"/>
    <w:rsid w:val="61693D2A"/>
    <w:rsid w:val="61BA6334"/>
    <w:rsid w:val="61DA69D6"/>
    <w:rsid w:val="62375BD7"/>
    <w:rsid w:val="62562501"/>
    <w:rsid w:val="626F711E"/>
    <w:rsid w:val="62B15989"/>
    <w:rsid w:val="62B31701"/>
    <w:rsid w:val="632B74E9"/>
    <w:rsid w:val="635307EE"/>
    <w:rsid w:val="63986074"/>
    <w:rsid w:val="641F4B74"/>
    <w:rsid w:val="648D1ADE"/>
    <w:rsid w:val="64E2007C"/>
    <w:rsid w:val="6525440C"/>
    <w:rsid w:val="652F0DE7"/>
    <w:rsid w:val="659550EE"/>
    <w:rsid w:val="65BF660F"/>
    <w:rsid w:val="65DE4CE7"/>
    <w:rsid w:val="66B560C5"/>
    <w:rsid w:val="66D71736"/>
    <w:rsid w:val="670D5158"/>
    <w:rsid w:val="67BF46A4"/>
    <w:rsid w:val="67C9107F"/>
    <w:rsid w:val="689B6EBF"/>
    <w:rsid w:val="68F93BE6"/>
    <w:rsid w:val="694D7A8E"/>
    <w:rsid w:val="695232F6"/>
    <w:rsid w:val="69715E72"/>
    <w:rsid w:val="69717C20"/>
    <w:rsid w:val="69735746"/>
    <w:rsid w:val="698F62F8"/>
    <w:rsid w:val="699D0A15"/>
    <w:rsid w:val="69CB5582"/>
    <w:rsid w:val="69F61ED3"/>
    <w:rsid w:val="6A386990"/>
    <w:rsid w:val="6A7554EE"/>
    <w:rsid w:val="6A75729C"/>
    <w:rsid w:val="6A890F99"/>
    <w:rsid w:val="6AF01018"/>
    <w:rsid w:val="6AF40B09"/>
    <w:rsid w:val="6B1E7934"/>
    <w:rsid w:val="6B246C0B"/>
    <w:rsid w:val="6B5670CE"/>
    <w:rsid w:val="6BCB7ABB"/>
    <w:rsid w:val="6BD526E8"/>
    <w:rsid w:val="6BE50451"/>
    <w:rsid w:val="6BEA3CBA"/>
    <w:rsid w:val="6C0E5BFA"/>
    <w:rsid w:val="6C1256EA"/>
    <w:rsid w:val="6C3118E9"/>
    <w:rsid w:val="6C5D448C"/>
    <w:rsid w:val="6C8D4D71"/>
    <w:rsid w:val="6CA4030D"/>
    <w:rsid w:val="6CCD1611"/>
    <w:rsid w:val="6D3E250F"/>
    <w:rsid w:val="6D5E04BB"/>
    <w:rsid w:val="6DBB590E"/>
    <w:rsid w:val="6DC02F24"/>
    <w:rsid w:val="6E1B45FE"/>
    <w:rsid w:val="6EB26D11"/>
    <w:rsid w:val="6EB72579"/>
    <w:rsid w:val="6EBC193D"/>
    <w:rsid w:val="6EE92007"/>
    <w:rsid w:val="6F190B3E"/>
    <w:rsid w:val="6F6873CF"/>
    <w:rsid w:val="6F6A1399"/>
    <w:rsid w:val="6F885CC3"/>
    <w:rsid w:val="6FBB1BF5"/>
    <w:rsid w:val="6FDB4045"/>
    <w:rsid w:val="6FF60E7F"/>
    <w:rsid w:val="6FFB6495"/>
    <w:rsid w:val="70253512"/>
    <w:rsid w:val="70531E2E"/>
    <w:rsid w:val="706C7393"/>
    <w:rsid w:val="70A94143"/>
    <w:rsid w:val="70EE7DA8"/>
    <w:rsid w:val="70F57389"/>
    <w:rsid w:val="715A543E"/>
    <w:rsid w:val="717A163C"/>
    <w:rsid w:val="719E17CE"/>
    <w:rsid w:val="71D21478"/>
    <w:rsid w:val="72273572"/>
    <w:rsid w:val="724E6D50"/>
    <w:rsid w:val="72691DDC"/>
    <w:rsid w:val="72D37256"/>
    <w:rsid w:val="730438B3"/>
    <w:rsid w:val="73326672"/>
    <w:rsid w:val="7343262D"/>
    <w:rsid w:val="73552361"/>
    <w:rsid w:val="73695125"/>
    <w:rsid w:val="73AF1A71"/>
    <w:rsid w:val="73D74B24"/>
    <w:rsid w:val="73EC4A73"/>
    <w:rsid w:val="74061605"/>
    <w:rsid w:val="742E508B"/>
    <w:rsid w:val="74C72DEA"/>
    <w:rsid w:val="756248C1"/>
    <w:rsid w:val="756643B1"/>
    <w:rsid w:val="7630676D"/>
    <w:rsid w:val="76426BCC"/>
    <w:rsid w:val="7651139C"/>
    <w:rsid w:val="765468FF"/>
    <w:rsid w:val="768E0063"/>
    <w:rsid w:val="76C577FD"/>
    <w:rsid w:val="76CD220E"/>
    <w:rsid w:val="76E23F0B"/>
    <w:rsid w:val="76FB321F"/>
    <w:rsid w:val="77040325"/>
    <w:rsid w:val="77112A42"/>
    <w:rsid w:val="771F2A69"/>
    <w:rsid w:val="775A6197"/>
    <w:rsid w:val="77DA2E34"/>
    <w:rsid w:val="77DE2925"/>
    <w:rsid w:val="77FE4D75"/>
    <w:rsid w:val="785030F6"/>
    <w:rsid w:val="7879089F"/>
    <w:rsid w:val="789B0816"/>
    <w:rsid w:val="78DF4BA6"/>
    <w:rsid w:val="78E977D3"/>
    <w:rsid w:val="799534B7"/>
    <w:rsid w:val="79C30024"/>
    <w:rsid w:val="79CD0EA3"/>
    <w:rsid w:val="79D0629D"/>
    <w:rsid w:val="7A2D7B93"/>
    <w:rsid w:val="7A4F7B0A"/>
    <w:rsid w:val="7A6730A5"/>
    <w:rsid w:val="7A7237F8"/>
    <w:rsid w:val="7A770E0E"/>
    <w:rsid w:val="7A835A05"/>
    <w:rsid w:val="7AEF6BF7"/>
    <w:rsid w:val="7B1B5C3E"/>
    <w:rsid w:val="7BE26D3D"/>
    <w:rsid w:val="7C0E7550"/>
    <w:rsid w:val="7C2D3E7B"/>
    <w:rsid w:val="7C6158D2"/>
    <w:rsid w:val="7CE64029"/>
    <w:rsid w:val="7D0045A4"/>
    <w:rsid w:val="7D0270B5"/>
    <w:rsid w:val="7D1159E7"/>
    <w:rsid w:val="7D31799A"/>
    <w:rsid w:val="7D8A0E59"/>
    <w:rsid w:val="7DAE0FEB"/>
    <w:rsid w:val="7DAF1184"/>
    <w:rsid w:val="7DB12889"/>
    <w:rsid w:val="7DD24CD9"/>
    <w:rsid w:val="7DDD367E"/>
    <w:rsid w:val="7E5E47BF"/>
    <w:rsid w:val="7EB02B41"/>
    <w:rsid w:val="7EB0669D"/>
    <w:rsid w:val="7F1A633B"/>
    <w:rsid w:val="7F313C82"/>
    <w:rsid w:val="7F7E679B"/>
    <w:rsid w:val="7F912972"/>
    <w:rsid w:val="7FC40652"/>
    <w:rsid w:val="7FDF7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Default"/>
    <w:autoRedefine/>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5">
    <w:name w:val="fontstyle01"/>
    <w:basedOn w:val="3"/>
    <w:autoRedefine/>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2233</Words>
  <Characters>2349</Characters>
  <Lines>0</Lines>
  <Paragraphs>0</Paragraphs>
  <TotalTime>2</TotalTime>
  <ScaleCrop>false</ScaleCrop>
  <LinksUpToDate>false</LinksUpToDate>
  <CharactersWithSpaces>2381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2024-04-09T02:41:00Z</dcterms:created>
  <dc:creator>frdn</dc:creator>
  <cp:lastModifiedBy>86135</cp:lastModifiedBy>
  <cp:lastPrinted>2024-04-10T02:02:00Z</cp:lastPrinted>
  <dcterms:modified xsi:type="dcterms:W3CDTF">2024-11-05T07:04:50Z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63629046DC0A4AC29F6F5A4EEDFB0C81_13</vt:lpwstr>
  </property>
</Properties>
</file>