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eastAsia="仿宋_GB2312"/>
          <w:sz w:val="32"/>
          <w:szCs w:val="32"/>
        </w:rPr>
      </w:pPr>
      <w:r>
        <w:rPr>
          <w:rFonts w:hint="eastAsia" w:eastAsia="黑体"/>
          <w:sz w:val="32"/>
          <w:szCs w:val="32"/>
        </w:rPr>
        <w:t>附件</w:t>
      </w:r>
      <w:r>
        <w:rPr>
          <w:rFonts w:eastAsia="黑体"/>
          <w:sz w:val="32"/>
          <w:szCs w:val="32"/>
        </w:rPr>
        <w:t>1</w:t>
      </w:r>
    </w:p>
    <w:p>
      <w:pPr>
        <w:spacing w:beforeLines="50" w:afterLines="50"/>
        <w:jc w:val="center"/>
        <w:rPr>
          <w:rFonts w:eastAsia="方正小标宋_GBK"/>
          <w:bCs/>
          <w:sz w:val="36"/>
          <w:szCs w:val="36"/>
        </w:rPr>
      </w:pPr>
      <w:r>
        <w:rPr>
          <w:rFonts w:hint="eastAsia" w:eastAsia="方正小标宋_GBK"/>
          <w:bCs/>
          <w:sz w:val="36"/>
          <w:szCs w:val="36"/>
        </w:rPr>
        <w:t>部门整体支出绩效评价共性指标框架</w:t>
      </w:r>
    </w:p>
    <w:tbl>
      <w:tblPr>
        <w:tblStyle w:val="5"/>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6"/>
        <w:gridCol w:w="866"/>
        <w:gridCol w:w="951"/>
        <w:gridCol w:w="2908"/>
        <w:gridCol w:w="4252"/>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666"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866" w:type="dxa"/>
            <w:tcMar>
              <w:top w:w="10" w:type="dxa"/>
              <w:left w:w="10" w:type="dxa"/>
              <w:bottom w:w="0" w:type="dxa"/>
              <w:right w:w="10" w:type="dxa"/>
            </w:tcMar>
            <w:vAlign w:val="center"/>
          </w:tcPr>
          <w:p>
            <w:pPr>
              <w:ind w:right="-174" w:rightChars="-83"/>
              <w:jc w:val="center"/>
              <w:rPr>
                <w:rFonts w:ascii="仿宋_GB2312" w:eastAsia="仿宋_GB2312"/>
                <w:b/>
                <w:bCs/>
                <w:szCs w:val="21"/>
              </w:rPr>
            </w:pPr>
            <w:r>
              <w:rPr>
                <w:rFonts w:hint="eastAsia" w:ascii="仿宋_GB2312" w:eastAsia="仿宋_GB2312"/>
                <w:b/>
                <w:bCs/>
                <w:szCs w:val="21"/>
              </w:rPr>
              <w:t>二级</w:t>
            </w:r>
          </w:p>
          <w:p>
            <w:pPr>
              <w:ind w:right="-174" w:rightChars="-83"/>
              <w:jc w:val="center"/>
              <w:rPr>
                <w:rFonts w:ascii="仿宋_GB2312" w:eastAsia="仿宋_GB2312"/>
                <w:b/>
                <w:bCs/>
                <w:szCs w:val="21"/>
              </w:rPr>
            </w:pPr>
            <w:r>
              <w:rPr>
                <w:rFonts w:hint="eastAsia" w:ascii="仿宋_GB2312" w:eastAsia="仿宋_GB2312"/>
                <w:b/>
                <w:bCs/>
                <w:szCs w:val="21"/>
              </w:rPr>
              <w:t>指标</w:t>
            </w:r>
          </w:p>
        </w:tc>
        <w:tc>
          <w:tcPr>
            <w:tcW w:w="95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w:t>
            </w:r>
          </w:p>
          <w:p>
            <w:pPr>
              <w:jc w:val="center"/>
              <w:rPr>
                <w:rFonts w:ascii="仿宋_GB2312" w:eastAsia="仿宋_GB2312"/>
                <w:b/>
                <w:bCs/>
                <w:szCs w:val="21"/>
              </w:rPr>
            </w:pPr>
            <w:r>
              <w:rPr>
                <w:rFonts w:hint="eastAsia" w:ascii="仿宋_GB2312" w:eastAsia="仿宋_GB2312"/>
                <w:b/>
                <w:bCs/>
                <w:szCs w:val="21"/>
              </w:rPr>
              <w:t>指标</w:t>
            </w:r>
          </w:p>
        </w:tc>
        <w:tc>
          <w:tcPr>
            <w:tcW w:w="2908"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评分及标准</w:t>
            </w:r>
          </w:p>
        </w:tc>
        <w:tc>
          <w:tcPr>
            <w:tcW w:w="4252"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指标说明</w:t>
            </w:r>
          </w:p>
        </w:tc>
        <w:tc>
          <w:tcPr>
            <w:tcW w:w="938" w:type="dxa"/>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投</w:t>
            </w:r>
            <w:r>
              <w:rPr>
                <w:rFonts w:ascii="仿宋_GB2312" w:eastAsia="仿宋_GB2312"/>
                <w:szCs w:val="21"/>
              </w:rPr>
              <w:t xml:space="preserve">   </w:t>
            </w:r>
            <w:r>
              <w:rPr>
                <w:rFonts w:hint="eastAsia" w:ascii="仿宋_GB2312" w:eastAsia="仿宋_GB2312"/>
                <w:szCs w:val="21"/>
              </w:rPr>
              <w:t>入</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目标</w:t>
            </w:r>
            <w:r>
              <w:rPr>
                <w:rFonts w:ascii="仿宋_GB2312" w:eastAsia="仿宋_GB2312"/>
                <w:szCs w:val="21"/>
              </w:rPr>
              <w:br w:type="textWrapping"/>
            </w:r>
            <w:r>
              <w:rPr>
                <w:rFonts w:hint="eastAsia" w:ascii="仿宋_GB2312" w:eastAsia="仿宋_GB2312"/>
                <w:szCs w:val="21"/>
              </w:rPr>
              <w:t>设定</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14</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绩效目标</w:t>
            </w:r>
          </w:p>
          <w:p>
            <w:pPr>
              <w:spacing w:line="320" w:lineRule="exact"/>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是否符合国家法律法规、国民经济和社会发展总体规划</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②</w:t>
            </w:r>
            <w:r>
              <w:rPr>
                <w:rFonts w:hint="eastAsia" w:ascii="仿宋_GB2312" w:eastAsia="仿宋_GB2312"/>
                <w:szCs w:val="21"/>
              </w:rPr>
              <w:t>是否符合部门“三定”方案确定的职责</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③</w:t>
            </w:r>
            <w:r>
              <w:rPr>
                <w:rFonts w:hint="eastAsia" w:ascii="仿宋_GB2312" w:eastAsia="仿宋_GB2312"/>
                <w:szCs w:val="21"/>
              </w:rPr>
              <w:t>是否符合部门制定的中长期实施规划</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绩效指标</w:t>
            </w:r>
          </w:p>
          <w:p>
            <w:pPr>
              <w:spacing w:line="320" w:lineRule="exact"/>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是否将部门整体的绩效目标细化分解为具体的工作任务</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是否通过清晰、可衡量的指标值予以体现。</w:t>
            </w:r>
            <w:r>
              <w:rPr>
                <w:rFonts w:ascii="仿宋_GB2312" w:eastAsia="仿宋_GB2312"/>
                <w:szCs w:val="21"/>
              </w:rPr>
              <w:t xml:space="preserve">    </w:t>
            </w:r>
            <w:r>
              <w:rPr>
                <w:rFonts w:hint="eastAsia" w:ascii="仿宋_GB2312" w:hAnsi="宋体" w:eastAsia="仿宋_GB2312" w:cs="宋体"/>
                <w:szCs w:val="21"/>
              </w:rPr>
              <w:t>③</w:t>
            </w:r>
            <w:r>
              <w:rPr>
                <w:rFonts w:hint="eastAsia" w:ascii="仿宋_GB2312" w:eastAsia="仿宋_GB2312"/>
                <w:szCs w:val="21"/>
              </w:rPr>
              <w:t>是否与部门年度的任务数或计划数相对应</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是否与本年度部门预算资金相匹配</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配置</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在职人员</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w:t>
            </w:r>
            <w:r>
              <w:rPr>
                <w:rFonts w:ascii="仿宋_GB2312" w:eastAsia="仿宋_GB2312"/>
                <w:szCs w:val="21"/>
              </w:rPr>
              <w:t>100%</w:t>
            </w:r>
            <w:r>
              <w:rPr>
                <w:rFonts w:hint="eastAsia" w:ascii="仿宋_GB2312" w:eastAsia="仿宋_GB2312"/>
                <w:szCs w:val="21"/>
              </w:rPr>
              <w:t>为标准，在职人员控制率≤</w:t>
            </w:r>
            <w:r>
              <w:rPr>
                <w:rFonts w:ascii="仿宋_GB2312" w:eastAsia="仿宋_GB2312"/>
                <w:szCs w:val="21"/>
              </w:rPr>
              <w:t>100%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分；每超过一个百分点扣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在职人员控制率</w:t>
            </w:r>
            <w:r>
              <w:rPr>
                <w:rFonts w:ascii="仿宋_GB2312" w:eastAsia="仿宋_GB2312"/>
                <w:szCs w:val="21"/>
              </w:rPr>
              <w:t>=</w:t>
            </w:r>
            <w:r>
              <w:rPr>
                <w:rFonts w:hint="eastAsia" w:ascii="仿宋_GB2312" w:eastAsia="仿宋_GB2312"/>
                <w:szCs w:val="21"/>
              </w:rPr>
              <w:t>（在职人员数</w:t>
            </w:r>
            <w:r>
              <w:rPr>
                <w:rFonts w:ascii="仿宋_GB2312" w:eastAsia="仿宋_GB2312"/>
                <w:szCs w:val="21"/>
              </w:rPr>
              <w:t>/</w:t>
            </w:r>
            <w:r>
              <w:rPr>
                <w:rFonts w:hint="eastAsia" w:ascii="仿宋_GB2312" w:eastAsia="仿宋_GB2312"/>
                <w:szCs w:val="21"/>
              </w:rPr>
              <w:t>编制数）×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在职人员数：部门实际在职人数，以财政部确定的部门决算编制口径为准。</w:t>
            </w:r>
            <w:r>
              <w:rPr>
                <w:rFonts w:ascii="仿宋_GB2312" w:eastAsia="仿宋_GB2312"/>
                <w:szCs w:val="21"/>
              </w:rPr>
              <w:br w:type="textWrapping"/>
            </w:r>
            <w:r>
              <w:rPr>
                <w:rFonts w:hint="eastAsia" w:ascii="仿宋_GB2312" w:eastAsia="仿宋_GB2312"/>
                <w:szCs w:val="21"/>
              </w:rPr>
              <w:t>编制数：机构编制部门核定批复的部门的人员编制数。</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“三公经费”变动率为</w:t>
            </w:r>
            <w:r>
              <w:rPr>
                <w:rFonts w:ascii="仿宋_GB2312" w:eastAsia="仿宋_GB2312"/>
                <w:szCs w:val="21"/>
              </w:rPr>
              <w:t>0</w:t>
            </w:r>
            <w:r>
              <w:rPr>
                <w:rFonts w:hint="eastAsia" w:ascii="仿宋_GB2312" w:eastAsia="仿宋_GB2312"/>
                <w:szCs w:val="21"/>
              </w:rPr>
              <w:t>，计</w:t>
            </w:r>
            <w:r>
              <w:rPr>
                <w:rFonts w:ascii="仿宋_GB2312" w:eastAsia="仿宋_GB2312"/>
                <w:szCs w:val="21"/>
              </w:rPr>
              <w:t>5</w:t>
            </w:r>
            <w:r>
              <w:rPr>
                <w:rFonts w:hint="eastAsia" w:ascii="仿宋_GB2312" w:eastAsia="仿宋_GB2312"/>
                <w:szCs w:val="21"/>
              </w:rPr>
              <w:t>分；“三公经费”＞</w:t>
            </w:r>
            <w:r>
              <w:rPr>
                <w:rFonts w:ascii="仿宋_GB2312" w:eastAsia="仿宋_GB2312"/>
                <w:szCs w:val="21"/>
              </w:rPr>
              <w:t>0</w:t>
            </w:r>
            <w:r>
              <w:rPr>
                <w:rFonts w:hint="eastAsia" w:ascii="仿宋_GB2312" w:eastAsia="仿宋_GB2312"/>
                <w:szCs w:val="21"/>
              </w:rPr>
              <w:t>，每超过一个百分点扣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“三公经费”变动率</w:t>
            </w:r>
            <w:r>
              <w:rPr>
                <w:rFonts w:ascii="仿宋_GB2312" w:eastAsia="仿宋_GB2312"/>
                <w:szCs w:val="21"/>
              </w:rPr>
              <w:t>=[</w:t>
            </w:r>
            <w:r>
              <w:rPr>
                <w:rFonts w:hint="eastAsia" w:ascii="仿宋_GB2312" w:eastAsia="仿宋_GB2312"/>
                <w:szCs w:val="21"/>
              </w:rPr>
              <w:t>（本年度“三公经费”总额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“三公经费”：年度预算安排的因公出国（境）费、公务车辆购置及运行费和公务招待费。</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1"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重点支出</w:t>
            </w:r>
          </w:p>
          <w:p>
            <w:pPr>
              <w:spacing w:line="320" w:lineRule="exact"/>
              <w:jc w:val="center"/>
              <w:rPr>
                <w:rFonts w:ascii="仿宋_GB2312" w:eastAsia="仿宋_GB2312"/>
                <w:szCs w:val="21"/>
              </w:rPr>
            </w:pPr>
            <w:r>
              <w:rPr>
                <w:rFonts w:hint="eastAsia" w:ascii="仿宋_GB2312" w:eastAsia="仿宋_GB2312"/>
                <w:szCs w:val="21"/>
              </w:rPr>
              <w:t>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“重点支出安排率”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分，每下降一个百分点扣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重点支出安排率</w:t>
            </w:r>
            <w:r>
              <w:rPr>
                <w:rFonts w:ascii="仿宋_GB2312" w:eastAsia="仿宋_GB2312"/>
                <w:szCs w:val="21"/>
              </w:rPr>
              <w:t>=</w:t>
            </w:r>
            <w:r>
              <w:rPr>
                <w:rFonts w:hint="eastAsia" w:ascii="仿宋_GB2312" w:eastAsia="仿宋_GB2312"/>
                <w:szCs w:val="21"/>
              </w:rPr>
              <w:t>（重点预算支出</w:t>
            </w:r>
            <w:r>
              <w:rPr>
                <w:rFonts w:ascii="仿宋_GB2312" w:eastAsia="仿宋_GB2312"/>
                <w:szCs w:val="21"/>
              </w:rPr>
              <w:t>/</w:t>
            </w:r>
            <w:r>
              <w:rPr>
                <w:rFonts w:hint="eastAsia" w:ascii="仿宋_GB2312" w:eastAsia="仿宋_GB2312"/>
                <w:szCs w:val="21"/>
              </w:rPr>
              <w:t>预算总支出）×</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重点预算支出：部门年度预算安排的，与本部门履职和发展密切相关、具有明显社会和经济影响、党委政府关心或社会比较关注的预算支出支出总额。</w:t>
            </w:r>
            <w:r>
              <w:rPr>
                <w:rFonts w:ascii="仿宋_GB2312" w:eastAsia="仿宋_GB2312"/>
                <w:szCs w:val="21"/>
              </w:rPr>
              <w:br w:type="textWrapping"/>
            </w:r>
            <w:r>
              <w:rPr>
                <w:rFonts w:hint="eastAsia" w:ascii="仿宋_GB2312" w:eastAsia="仿宋_GB2312"/>
                <w:szCs w:val="21"/>
              </w:rPr>
              <w:t>预算总支出：部门年度预算安排的预算支出支出总额。</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0"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（预算执行数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预算执行数：部门本年度实际完成的预算数。</w:t>
            </w:r>
            <w:r>
              <w:rPr>
                <w:rFonts w:ascii="仿宋_GB2312" w:eastAsia="仿宋_GB2312"/>
                <w:szCs w:val="21"/>
              </w:rPr>
              <w:br w:type="textWrapping"/>
            </w:r>
            <w:r>
              <w:rPr>
                <w:rFonts w:hint="eastAsia" w:ascii="仿宋_GB2312" w:eastAsia="仿宋_GB2312"/>
                <w:szCs w:val="21"/>
              </w:rPr>
              <w:t>预算数：财政部门批复的本年度部门预算数。</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调整率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预算调整率</w:t>
            </w:r>
            <w:r>
              <w:rPr>
                <w:rFonts w:ascii="仿宋_GB2312" w:eastAsia="仿宋_GB2312"/>
                <w:szCs w:val="21"/>
              </w:rPr>
              <w:t>=</w:t>
            </w:r>
            <w:r>
              <w:rPr>
                <w:rFonts w:hint="eastAsia" w:ascii="仿宋_GB2312" w:eastAsia="仿宋_GB2312"/>
                <w:szCs w:val="21"/>
              </w:rPr>
              <w:t>（预算调整数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预算调整数：部门在本年度内涉及预算的追加、追减或结构调整的资金总和（因落实国家政策、发生不可抗力、上级部门或本级党委政府临时交办而产生的调整除外）。</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支付</w:t>
            </w:r>
          </w:p>
          <w:p>
            <w:pPr>
              <w:spacing w:line="320" w:lineRule="exact"/>
              <w:jc w:val="center"/>
              <w:rPr>
                <w:rFonts w:ascii="仿宋_GB2312" w:eastAsia="仿宋_GB2312"/>
                <w:szCs w:val="21"/>
              </w:rPr>
            </w:pPr>
            <w:r>
              <w:rPr>
                <w:rFonts w:hint="eastAsia" w:ascii="仿宋_GB2312" w:eastAsia="仿宋_GB2312"/>
                <w:szCs w:val="21"/>
              </w:rPr>
              <w:t>进度率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支付进度率</w:t>
            </w:r>
            <w:r>
              <w:rPr>
                <w:rFonts w:ascii="仿宋_GB2312" w:eastAsia="仿宋_GB2312"/>
                <w:szCs w:val="21"/>
              </w:rPr>
              <w:t>=</w:t>
            </w:r>
            <w:r>
              <w:rPr>
                <w:rFonts w:hint="eastAsia" w:ascii="仿宋_GB2312" w:eastAsia="仿宋_GB2312"/>
                <w:szCs w:val="21"/>
              </w:rPr>
              <w:t>（实际支付进度</w:t>
            </w:r>
            <w:r>
              <w:rPr>
                <w:rFonts w:ascii="仿宋_GB2312" w:eastAsia="仿宋_GB2312"/>
                <w:szCs w:val="21"/>
              </w:rPr>
              <w:t>/</w:t>
            </w:r>
            <w:r>
              <w:rPr>
                <w:rFonts w:hint="eastAsia" w:ascii="仿宋_GB2312" w:eastAsia="仿宋_GB2312"/>
                <w:szCs w:val="21"/>
              </w:rPr>
              <w:t>既定支付进度）×</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实际支付进度：部门在某一时点的支出预算执行总数与年度支出预算数的比率。</w:t>
            </w:r>
            <w:r>
              <w:rPr>
                <w:rFonts w:ascii="仿宋_GB2312" w:eastAsia="仿宋_GB2312"/>
                <w:szCs w:val="21"/>
              </w:rPr>
              <w:br w:type="textWrapping"/>
            </w:r>
            <w:r>
              <w:rPr>
                <w:rFonts w:hint="eastAsia" w:ascii="仿宋_GB2312" w:eastAsia="仿宋_GB2312"/>
                <w:szCs w:val="21"/>
              </w:rPr>
              <w:t>既定支付进度：由部门在申报部门整体绩效目标时，参照序时支付进度、前三年支付进度、本级部门平均支付进度水平等确定的，在某一时点应达到的支付进度（比率）。</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continue"/>
            <w:tcMar>
              <w:top w:w="10" w:type="dxa"/>
              <w:left w:w="10" w:type="dxa"/>
              <w:bottom w:w="0" w:type="dxa"/>
              <w:right w:w="10" w:type="dxa"/>
            </w:tcMar>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w:t>
            </w:r>
          </w:p>
          <w:p>
            <w:pPr>
              <w:spacing w:line="320" w:lineRule="exact"/>
              <w:jc w:val="center"/>
              <w:rPr>
                <w:rFonts w:ascii="仿宋_GB2312" w:eastAsia="仿宋_GB2312"/>
                <w:szCs w:val="21"/>
              </w:rPr>
            </w:pPr>
            <w:r>
              <w:rPr>
                <w:rFonts w:hint="eastAsia" w:ascii="仿宋_GB2312" w:eastAsia="仿宋_GB2312"/>
                <w:szCs w:val="21"/>
              </w:rPr>
              <w:t>结余率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结转结余率</w:t>
            </w:r>
            <w:r>
              <w:rPr>
                <w:rFonts w:ascii="仿宋_GB2312" w:eastAsia="仿宋_GB2312"/>
                <w:szCs w:val="21"/>
              </w:rPr>
              <w:t>=</w:t>
            </w:r>
            <w:r>
              <w:rPr>
                <w:rFonts w:hint="eastAsia" w:ascii="仿宋_GB2312" w:eastAsia="仿宋_GB2312"/>
                <w:szCs w:val="21"/>
              </w:rPr>
              <w:t>结转结余总额</w:t>
            </w:r>
            <w:r>
              <w:rPr>
                <w:rFonts w:ascii="仿宋_GB2312" w:eastAsia="仿宋_GB2312"/>
                <w:szCs w:val="21"/>
              </w:rPr>
              <w:t>/</w:t>
            </w:r>
            <w:r>
              <w:rPr>
                <w:rFonts w:hint="eastAsia" w:ascii="仿宋_GB2312" w:eastAsia="仿宋_GB2312"/>
                <w:szCs w:val="21"/>
              </w:rPr>
              <w:t>支出预算数×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结转结余总额：部门本年度的结转资金与结余资金之和（以决算数为准）。</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结转结余</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结转结余变动率</w:t>
            </w:r>
            <w:r>
              <w:rPr>
                <w:rFonts w:ascii="仿宋_GB2312" w:eastAsia="仿宋_GB2312"/>
                <w:szCs w:val="21"/>
              </w:rPr>
              <w:t>=[</w:t>
            </w:r>
            <w:r>
              <w:rPr>
                <w:rFonts w:hint="eastAsia" w:ascii="仿宋_GB2312" w:eastAsia="仿宋_GB2312"/>
                <w:szCs w:val="21"/>
              </w:rPr>
              <w:t>（本年度累计结转结余资金总额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公用经费</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公用经费控制率</w:t>
            </w:r>
            <w:r>
              <w:rPr>
                <w:rFonts w:ascii="仿宋_GB2312" w:eastAsia="仿宋_GB2312"/>
                <w:szCs w:val="21"/>
              </w:rPr>
              <w:t>=</w:t>
            </w:r>
            <w:r>
              <w:rPr>
                <w:rFonts w:hint="eastAsia" w:ascii="仿宋_GB2312" w:eastAsia="仿宋_GB2312"/>
                <w:szCs w:val="21"/>
              </w:rPr>
              <w:t>（实际支出公用经费总额</w:t>
            </w:r>
            <w:r>
              <w:rPr>
                <w:rFonts w:ascii="仿宋_GB2312" w:eastAsia="仿宋_GB2312"/>
                <w:szCs w:val="21"/>
              </w:rPr>
              <w:t>/</w:t>
            </w:r>
            <w:r>
              <w:rPr>
                <w:rFonts w:hint="eastAsia" w:ascii="仿宋_GB2312" w:eastAsia="仿宋_GB2312"/>
                <w:szCs w:val="21"/>
              </w:rPr>
              <w:t>预算安排公用经费总额）×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4"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“三公经费”控制率（</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“三公经费”控制率</w:t>
            </w:r>
            <w:r>
              <w:rPr>
                <w:rFonts w:ascii="仿宋_GB2312" w:eastAsia="仿宋_GB2312"/>
                <w:szCs w:val="21"/>
              </w:rPr>
              <w:t>=</w:t>
            </w:r>
            <w:r>
              <w:rPr>
                <w:rFonts w:hint="eastAsia" w:ascii="仿宋_GB2312" w:eastAsia="仿宋_GB2312"/>
                <w:szCs w:val="21"/>
              </w:rPr>
              <w:t>（“三公经费”实际支出数</w:t>
            </w:r>
            <w:r>
              <w:rPr>
                <w:rFonts w:ascii="仿宋_GB2312" w:eastAsia="仿宋_GB2312"/>
                <w:szCs w:val="21"/>
              </w:rPr>
              <w:t>/</w:t>
            </w:r>
            <w:r>
              <w:rPr>
                <w:rFonts w:hint="eastAsia" w:ascii="仿宋_GB2312" w:eastAsia="仿宋_GB2312"/>
                <w:szCs w:val="21"/>
              </w:rPr>
              <w:t>“三公经费”预算安排数）×</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政府采购</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政府采购执行率</w:t>
            </w:r>
            <w:r>
              <w:rPr>
                <w:rFonts w:ascii="仿宋_GB2312" w:eastAsia="仿宋_GB2312"/>
                <w:szCs w:val="21"/>
              </w:rPr>
              <w:t>=</w:t>
            </w:r>
            <w:r>
              <w:rPr>
                <w:rFonts w:hint="eastAsia" w:ascii="仿宋_GB2312" w:eastAsia="仿宋_GB2312"/>
                <w:szCs w:val="21"/>
              </w:rPr>
              <w:t>（实际政府采购金额</w:t>
            </w:r>
            <w:r>
              <w:rPr>
                <w:rFonts w:ascii="仿宋_GB2312" w:eastAsia="仿宋_GB2312"/>
                <w:szCs w:val="21"/>
              </w:rPr>
              <w:t>/</w:t>
            </w:r>
            <w:r>
              <w:rPr>
                <w:rFonts w:hint="eastAsia" w:ascii="仿宋_GB2312" w:eastAsia="仿宋_GB2312"/>
                <w:szCs w:val="21"/>
              </w:rPr>
              <w:t>政府采购预算数）×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政府采购预算：采购机关根据事业发展计划和行政任务编制的、并经过规定程序批准的年度政府采购计划。</w:t>
            </w:r>
            <w:r>
              <w:rPr>
                <w:rFonts w:ascii="仿宋_GB2312" w:eastAsia="仿宋_GB2312"/>
                <w:szCs w:val="21"/>
              </w:rPr>
              <w:t xml:space="preserve"> </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p>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w:t>
            </w:r>
            <w:r>
              <w:rPr>
                <w:rFonts w:hint="eastAsia" w:ascii="仿宋_GB2312" w:eastAsia="仿宋_GB2312"/>
                <w:szCs w:val="21"/>
              </w:rPr>
              <w:t>有内部财务管理制度，会计核算制度等管理制度，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2.</w:t>
            </w:r>
            <w:r>
              <w:rPr>
                <w:rFonts w:hint="eastAsia" w:ascii="仿宋_GB2312" w:eastAsia="仿宋_GB2312"/>
                <w:szCs w:val="21"/>
              </w:rPr>
              <w:t>有本部门厉行节约制度，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3.</w:t>
            </w:r>
            <w:r>
              <w:rPr>
                <w:rFonts w:hint="eastAsia" w:ascii="仿宋_GB2312" w:eastAsia="仿宋_GB2312"/>
                <w:szCs w:val="21"/>
              </w:rPr>
              <w:t>相关管理制度合法、合规、完整，</w:t>
            </w:r>
            <w:r>
              <w:rPr>
                <w:rFonts w:ascii="仿宋_GB2312" w:eastAsia="仿宋_GB2312"/>
                <w:szCs w:val="21"/>
              </w:rPr>
              <w:t>0.5</w:t>
            </w:r>
            <w:r>
              <w:rPr>
                <w:rFonts w:hint="eastAsia" w:ascii="仿宋_GB2312" w:eastAsia="仿宋_GB2312"/>
                <w:szCs w:val="21"/>
              </w:rPr>
              <w:t>分；</w:t>
            </w:r>
            <w:r>
              <w:rPr>
                <w:rFonts w:ascii="仿宋_GB2312" w:eastAsia="仿宋_GB2312"/>
                <w:szCs w:val="21"/>
              </w:rPr>
              <w:t>4.</w:t>
            </w:r>
            <w:r>
              <w:rPr>
                <w:rFonts w:hint="eastAsia" w:ascii="仿宋_GB2312" w:eastAsia="仿宋_GB2312"/>
                <w:szCs w:val="21"/>
              </w:rPr>
              <w:t>相关管理制度得到有效执行，</w:t>
            </w:r>
            <w:r>
              <w:rPr>
                <w:rFonts w:ascii="仿宋_GB2312" w:eastAsia="仿宋_GB2312"/>
                <w:szCs w:val="21"/>
              </w:rPr>
              <w:t>0.5</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是否已制定或具有预算资金管理办法、内部财务管理制度、会计核算制度等管理制度；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相关管理制度是否合法、合规、完整；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相关管理制度是否得到有效执行。</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资金使用</w:t>
            </w:r>
          </w:p>
          <w:p>
            <w:pPr>
              <w:spacing w:line="320" w:lineRule="exact"/>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spacing w:line="300" w:lineRule="exact"/>
              <w:rPr>
                <w:rFonts w:ascii="仿宋_GB2312" w:eastAsia="仿宋_GB2312"/>
                <w:szCs w:val="21"/>
              </w:rPr>
            </w:pPr>
            <w:r>
              <w:rPr>
                <w:rFonts w:ascii="仿宋_GB2312" w:eastAsia="仿宋_GB2312"/>
                <w:szCs w:val="21"/>
              </w:rPr>
              <w:t>1.</w:t>
            </w:r>
            <w:r>
              <w:rPr>
                <w:rFonts w:hint="eastAsia" w:ascii="仿宋_GB2312" w:eastAsia="仿宋_GB2312"/>
                <w:szCs w:val="21"/>
              </w:rPr>
              <w:t>支出符合国家财经法规和财务管理制度规定以及有关专项资金管理办法的规定；</w:t>
            </w:r>
            <w:r>
              <w:rPr>
                <w:rFonts w:ascii="仿宋_GB2312" w:eastAsia="仿宋_GB2312"/>
                <w:szCs w:val="21"/>
              </w:rPr>
              <w:t>2.</w:t>
            </w:r>
            <w:r>
              <w:rPr>
                <w:rFonts w:hint="eastAsia" w:ascii="仿宋_GB2312" w:eastAsia="仿宋_GB2312"/>
                <w:szCs w:val="21"/>
              </w:rPr>
              <w:t>资金拨付有完整的审批程序和手续；</w:t>
            </w:r>
            <w:r>
              <w:rPr>
                <w:rFonts w:ascii="仿宋_GB2312" w:eastAsia="仿宋_GB2312"/>
                <w:szCs w:val="21"/>
              </w:rPr>
              <w:t>3.</w:t>
            </w:r>
            <w:r>
              <w:rPr>
                <w:rFonts w:hint="eastAsia" w:ascii="仿宋_GB2312" w:eastAsia="仿宋_GB2312"/>
                <w:szCs w:val="21"/>
              </w:rPr>
              <w:t>项目支出按规定经过评估论证；</w:t>
            </w:r>
            <w:r>
              <w:rPr>
                <w:rFonts w:ascii="仿宋_GB2312" w:eastAsia="仿宋_GB2312"/>
                <w:szCs w:val="21"/>
              </w:rPr>
              <w:t>4.</w:t>
            </w:r>
            <w:r>
              <w:rPr>
                <w:rFonts w:hint="eastAsia" w:ascii="仿宋_GB2312" w:eastAsia="仿宋_GB2312"/>
                <w:szCs w:val="21"/>
              </w:rPr>
              <w:t>支出符合部门预算批复的用途；</w:t>
            </w:r>
            <w:r>
              <w:rPr>
                <w:rFonts w:ascii="仿宋_GB2312" w:eastAsia="仿宋_GB2312"/>
                <w:szCs w:val="21"/>
              </w:rPr>
              <w:t>5.</w:t>
            </w:r>
            <w:r>
              <w:rPr>
                <w:rFonts w:hint="eastAsia" w:ascii="仿宋_GB2312" w:eastAsia="仿宋_GB2312"/>
                <w:szCs w:val="21"/>
              </w:rPr>
              <w:t>资金使用无截留、挤占、挪用、虚列支出等情况。</w:t>
            </w:r>
          </w:p>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以上情况每出现一例不符合要求的扣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是否符合国家财经法规和财务管理制度规定以及有关预算支出管理办法的规定；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预算支出的重大开支是否经过评估论证；</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是否符合部门预算批复的用途；</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是否存在截留、挤占、挪用、虚列支出等情况。</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3"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预决算信</w:t>
            </w:r>
          </w:p>
          <w:p>
            <w:pPr>
              <w:spacing w:line="320" w:lineRule="exact"/>
              <w:jc w:val="center"/>
              <w:rPr>
                <w:rFonts w:ascii="仿宋_GB2312" w:eastAsia="仿宋_GB2312"/>
                <w:szCs w:val="21"/>
              </w:rPr>
            </w:pPr>
            <w:r>
              <w:rPr>
                <w:rFonts w:hint="eastAsia" w:ascii="仿宋_GB2312" w:eastAsia="仿宋_GB2312"/>
                <w:szCs w:val="21"/>
              </w:rPr>
              <w:t>息公开性（</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rPr>
                <w:rFonts w:ascii="仿宋_GB2312" w:eastAsia="仿宋_GB2312"/>
                <w:szCs w:val="21"/>
              </w:rPr>
            </w:pPr>
            <w:r>
              <w:rPr>
                <w:rFonts w:hint="eastAsia" w:ascii="仿宋_GB2312" w:eastAsia="仿宋_GB2312"/>
                <w:szCs w:val="21"/>
              </w:rPr>
              <w:t>部门预算、执行、决算、监督、绩效等管理相关的信息未公开，每一项扣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是否按规定内容公开预决算信息；</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是否按规定时限公开预决算信息。</w:t>
            </w:r>
            <w:r>
              <w:rPr>
                <w:rFonts w:ascii="仿宋_GB2312" w:eastAsia="仿宋_GB2312"/>
                <w:szCs w:val="21"/>
              </w:rPr>
              <w:br w:type="textWrapping"/>
            </w:r>
            <w:r>
              <w:rPr>
                <w:rFonts w:hint="eastAsia" w:ascii="仿宋_GB2312" w:eastAsia="仿宋_GB2312"/>
                <w:szCs w:val="21"/>
              </w:rPr>
              <w:t>预决算信息是指与部门预算、执行、决算、监督、绩效等管理相关的信息。</w:t>
            </w:r>
          </w:p>
        </w:tc>
        <w:tc>
          <w:tcPr>
            <w:tcW w:w="938" w:type="dxa"/>
            <w:vAlign w:val="center"/>
          </w:tcPr>
          <w:p>
            <w:pPr>
              <w:spacing w:line="320" w:lineRule="exact"/>
              <w:ind w:left="105" w:leftChars="50" w:right="105" w:rightChars="50"/>
              <w:jc w:val="center"/>
              <w:rPr>
                <w:rFonts w:ascii="仿宋_GB2312" w:eastAsia="仿宋_GB2312"/>
                <w:szCs w:val="21"/>
              </w:rPr>
            </w:pPr>
            <w:r>
              <w:rPr>
                <w:rFonts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基础信息</w:t>
            </w:r>
          </w:p>
          <w:p>
            <w:pPr>
              <w:spacing w:line="320" w:lineRule="exact"/>
              <w:jc w:val="center"/>
              <w:rPr>
                <w:rFonts w:ascii="仿宋_GB2312" w:eastAsia="仿宋_GB2312"/>
                <w:szCs w:val="21"/>
              </w:rPr>
            </w:pPr>
            <w:r>
              <w:rPr>
                <w:rFonts w:hint="eastAsia" w:ascii="仿宋_GB2312" w:eastAsia="仿宋_GB2312"/>
                <w:szCs w:val="21"/>
              </w:rPr>
              <w:t>完善性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部门基础信息是否完善，缺一项扣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基础数据信息和会计信息资料是否真实；</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基础数据信息和会计信息资料是否完整；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基础数据信息和会计信息资料是否准确。</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部门有加强资产管理、规范资产管理行为而制定的管理制度的计</w:t>
            </w:r>
            <w:r>
              <w:rPr>
                <w:rFonts w:ascii="仿宋_GB2312" w:eastAsia="仿宋_GB2312"/>
                <w:szCs w:val="21"/>
              </w:rPr>
              <w:t>1</w:t>
            </w:r>
            <w:r>
              <w:rPr>
                <w:rFonts w:hint="eastAsia" w:ascii="仿宋_GB2312" w:eastAsia="仿宋_GB2312"/>
                <w:szCs w:val="21"/>
              </w:rPr>
              <w:t>分；有效执行相关文件的计</w:t>
            </w:r>
            <w:r>
              <w:rPr>
                <w:rFonts w:ascii="仿宋_GB2312" w:eastAsia="仿宋_GB2312"/>
                <w:szCs w:val="21"/>
              </w:rPr>
              <w:t>1</w:t>
            </w:r>
            <w:r>
              <w:rPr>
                <w:rFonts w:hint="eastAsia" w:ascii="仿宋_GB2312" w:eastAsia="仿宋_GB2312"/>
                <w:szCs w:val="21"/>
              </w:rPr>
              <w:t>分。反之不计分。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是否已制定或具有资产管理制度；</w:t>
            </w:r>
            <w:r>
              <w:rPr>
                <w:rFonts w:ascii="仿宋_GB2312" w:eastAsia="仿宋_GB2312"/>
                <w:szCs w:val="21"/>
              </w:rPr>
              <w:t xml:space="preserve">           </w:t>
            </w:r>
            <w:r>
              <w:rPr>
                <w:rFonts w:hint="eastAsia" w:ascii="仿宋_GB2312" w:hAnsi="宋体" w:eastAsia="仿宋_GB2312" w:cs="宋体"/>
                <w:szCs w:val="21"/>
              </w:rPr>
              <w:t>②</w:t>
            </w:r>
            <w:r>
              <w:rPr>
                <w:rFonts w:hint="eastAsia" w:ascii="仿宋_GB2312" w:eastAsia="仿宋_GB2312"/>
                <w:szCs w:val="21"/>
              </w:rPr>
              <w:t>相关资金管理制度是否合法、合规、完整；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相关资产管理制度是否得到有效执行。</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资产管理</w:t>
            </w:r>
          </w:p>
          <w:p>
            <w:pPr>
              <w:spacing w:line="320" w:lineRule="exact"/>
              <w:jc w:val="center"/>
              <w:rPr>
                <w:rFonts w:ascii="仿宋_GB2312" w:eastAsia="仿宋_GB2312"/>
                <w:szCs w:val="21"/>
              </w:rPr>
            </w:pPr>
            <w:r>
              <w:rPr>
                <w:rFonts w:hint="eastAsia" w:ascii="仿宋_GB2312" w:eastAsia="仿宋_GB2312"/>
                <w:szCs w:val="21"/>
              </w:rPr>
              <w:t>安全性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761"/>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部门的资产是否保存完整、使用合规、配置合理、处置规范、收入及时足额上缴计满分，每一项不达标扣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资产保存是否完整；</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资产配置是否合理；</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资产处置是否规范；</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资产账务管理是否合规，是否帐实相符；</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资产是否有偿使用及处置收入及时足额上缴。</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固定资产</w:t>
            </w:r>
          </w:p>
          <w:p>
            <w:pPr>
              <w:spacing w:line="320" w:lineRule="exact"/>
              <w:jc w:val="center"/>
              <w:rPr>
                <w:rFonts w:ascii="仿宋_GB2312" w:eastAsia="仿宋_GB2312"/>
                <w:szCs w:val="21"/>
              </w:rPr>
            </w:pPr>
            <w:r>
              <w:rPr>
                <w:rFonts w:hint="eastAsia" w:ascii="仿宋_GB2312" w:eastAsia="仿宋_GB2312"/>
                <w:szCs w:val="21"/>
              </w:rPr>
              <w:t>利用率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固定资产利用率</w:t>
            </w:r>
            <w:r>
              <w:rPr>
                <w:rFonts w:ascii="仿宋_GB2312" w:eastAsia="仿宋_GB2312"/>
                <w:szCs w:val="21"/>
              </w:rPr>
              <w:t>=</w:t>
            </w:r>
            <w:r>
              <w:rPr>
                <w:rFonts w:hint="eastAsia" w:ascii="仿宋_GB2312" w:eastAsia="仿宋_GB2312"/>
                <w:szCs w:val="21"/>
              </w:rPr>
              <w:t>（实际在用固定资产总额</w:t>
            </w:r>
            <w:r>
              <w:rPr>
                <w:rFonts w:ascii="仿宋_GB2312" w:eastAsia="仿宋_GB2312"/>
                <w:szCs w:val="21"/>
              </w:rPr>
              <w:t>/</w:t>
            </w:r>
            <w:r>
              <w:rPr>
                <w:rFonts w:hint="eastAsia" w:ascii="仿宋_GB2312" w:eastAsia="仿宋_GB2312"/>
                <w:szCs w:val="21"/>
              </w:rPr>
              <w:t>所有固定资产总额）×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9" w:hRule="atLeast"/>
          <w:jc w:val="center"/>
        </w:trPr>
        <w:tc>
          <w:tcPr>
            <w:tcW w:w="666" w:type="dxa"/>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产出（</w:t>
            </w:r>
            <w:r>
              <w:rPr>
                <w:rFonts w:ascii="仿宋_GB2312" w:eastAsia="仿宋_GB2312"/>
                <w:szCs w:val="21"/>
              </w:rPr>
              <w:t>20</w:t>
            </w:r>
            <w:r>
              <w:rPr>
                <w:rFonts w:hint="eastAsia" w:ascii="仿宋_GB2312" w:eastAsia="仿宋_GB2312"/>
                <w:szCs w:val="21"/>
              </w:rPr>
              <w:t>分）</w:t>
            </w:r>
          </w:p>
        </w:tc>
        <w:tc>
          <w:tcPr>
            <w:tcW w:w="866"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实际</w:t>
            </w:r>
          </w:p>
          <w:p>
            <w:pPr>
              <w:spacing w:line="320" w:lineRule="exact"/>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（实际完成工作数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实际完成工作数：一定时期（年度或规划期）内部门实际完成工作任务的数量。</w:t>
            </w:r>
            <w:r>
              <w:rPr>
                <w:rFonts w:ascii="仿宋_GB2312" w:eastAsia="仿宋_GB2312"/>
                <w:szCs w:val="21"/>
              </w:rPr>
              <w:br w:type="textWrapping"/>
            </w:r>
            <w:r>
              <w:rPr>
                <w:rFonts w:hint="eastAsia" w:ascii="仿宋_GB2312" w:eastAsia="仿宋_GB2312"/>
                <w:szCs w:val="21"/>
              </w:rPr>
              <w:t>计划工作数：部门整体绩效目标确定的一定时期（年度或规划期）内预计完成工作任务的数量。</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5"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产</w:t>
            </w:r>
          </w:p>
          <w:p>
            <w:pPr>
              <w:spacing w:line="320" w:lineRule="exact"/>
              <w:jc w:val="center"/>
              <w:rPr>
                <w:rFonts w:ascii="仿宋_GB2312" w:eastAsia="仿宋_GB2312"/>
                <w:szCs w:val="21"/>
              </w:rPr>
            </w:pPr>
            <w:r>
              <w:rPr>
                <w:rFonts w:hint="eastAsia" w:ascii="仿宋_GB2312" w:eastAsia="仿宋_GB2312"/>
                <w:szCs w:val="21"/>
              </w:rPr>
              <w:t>出</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完成</w:t>
            </w:r>
          </w:p>
          <w:p>
            <w:pPr>
              <w:spacing w:line="320" w:lineRule="exact"/>
              <w:jc w:val="center"/>
              <w:rPr>
                <w:rFonts w:ascii="仿宋_GB2312" w:eastAsia="仿宋_GB2312"/>
                <w:szCs w:val="21"/>
              </w:rPr>
            </w:pPr>
            <w:r>
              <w:rPr>
                <w:rFonts w:hint="eastAsia" w:ascii="仿宋_GB2312" w:eastAsia="仿宋_GB2312"/>
                <w:szCs w:val="21"/>
              </w:rPr>
              <w:t>及时率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完成及时率</w:t>
            </w:r>
            <w:r>
              <w:rPr>
                <w:rFonts w:ascii="仿宋_GB2312" w:eastAsia="仿宋_GB2312"/>
                <w:szCs w:val="21"/>
              </w:rPr>
              <w:t>=</w:t>
            </w:r>
            <w:r>
              <w:rPr>
                <w:rFonts w:hint="eastAsia" w:ascii="仿宋_GB2312" w:eastAsia="仿宋_GB2312"/>
                <w:szCs w:val="21"/>
              </w:rPr>
              <w:t>（及时完成实际工作数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及时完成实际工作数：部门按照整体绩效目标确定的时限实际完成的工作任务数量。</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质量</w:t>
            </w:r>
          </w:p>
          <w:p>
            <w:pPr>
              <w:spacing w:line="320" w:lineRule="exact"/>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质量达标实际工作数：一定时期（年度或规划期）内部门实际完成工作数中达到部门绩效目标要求（绩效标准值）的工作任务数量。</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重点工作</w:t>
            </w:r>
          </w:p>
          <w:p>
            <w:pPr>
              <w:spacing w:line="320" w:lineRule="exact"/>
              <w:jc w:val="center"/>
              <w:rPr>
                <w:rFonts w:ascii="仿宋_GB2312" w:eastAsia="仿宋_GB2312"/>
                <w:szCs w:val="21"/>
              </w:rPr>
            </w:pPr>
            <w:r>
              <w:rPr>
                <w:rFonts w:hint="eastAsia" w:ascii="仿宋_GB2312" w:eastAsia="仿宋_GB2312"/>
                <w:szCs w:val="21"/>
              </w:rPr>
              <w:t>办结率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根据绩效办</w:t>
            </w:r>
            <w:r>
              <w:rPr>
                <w:rFonts w:ascii="仿宋_GB2312" w:eastAsia="仿宋_GB2312"/>
                <w:szCs w:val="21"/>
              </w:rPr>
              <w:t>2019</w:t>
            </w:r>
            <w:r>
              <w:rPr>
                <w:rFonts w:hint="eastAsia" w:ascii="仿宋_GB2312" w:eastAsia="仿宋_GB2312"/>
                <w:szCs w:val="21"/>
              </w:rPr>
              <w:t>年对各部门为民办实事和部门重点工程与重点工作考核分数折算。该项得分</w:t>
            </w:r>
            <w:r>
              <w:rPr>
                <w:rFonts w:ascii="仿宋_GB2312" w:eastAsia="仿宋_GB2312"/>
                <w:szCs w:val="21"/>
              </w:rPr>
              <w:t>=</w:t>
            </w:r>
            <w:r>
              <w:rPr>
                <w:rFonts w:hint="eastAsia" w:ascii="仿宋_GB2312" w:eastAsia="仿宋_GB2312"/>
                <w:szCs w:val="21"/>
              </w:rPr>
              <w:t>（绩效办对应部分考核得分）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重点工作办结率</w:t>
            </w:r>
            <w:r>
              <w:rPr>
                <w:rFonts w:ascii="仿宋_GB2312" w:eastAsia="仿宋_GB2312"/>
                <w:szCs w:val="21"/>
              </w:rPr>
              <w:t>=</w:t>
            </w:r>
            <w:r>
              <w:rPr>
                <w:rFonts w:hint="eastAsia" w:ascii="仿宋_GB2312" w:eastAsia="仿宋_GB2312"/>
                <w:szCs w:val="21"/>
              </w:rPr>
              <w:t>（重点工作实际完成数</w:t>
            </w:r>
            <w:r>
              <w:rPr>
                <w:rFonts w:ascii="仿宋_GB2312" w:eastAsia="仿宋_GB2312"/>
                <w:szCs w:val="21"/>
              </w:rPr>
              <w:t>/</w:t>
            </w:r>
            <w:r>
              <w:rPr>
                <w:rFonts w:hint="eastAsia" w:ascii="仿宋_GB2312" w:eastAsia="仿宋_GB2312"/>
                <w:szCs w:val="21"/>
              </w:rPr>
              <w:t>交办或下达数）×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重点工作是指党委、政府、人大、相关部门交办或下达的工作任务。</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效</w:t>
            </w:r>
          </w:p>
          <w:p>
            <w:pPr>
              <w:spacing w:line="320" w:lineRule="exact"/>
              <w:jc w:val="center"/>
              <w:rPr>
                <w:rFonts w:ascii="仿宋_GB2312" w:eastAsia="仿宋_GB2312"/>
                <w:szCs w:val="21"/>
              </w:rPr>
            </w:pPr>
            <w:r>
              <w:rPr>
                <w:rFonts w:hint="eastAsia" w:ascii="仿宋_GB2312" w:eastAsia="仿宋_GB2312"/>
                <w:szCs w:val="21"/>
              </w:rPr>
              <w:t>果</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履职</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经济效益（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部门履行职责对经济发展所带来的直接或间接影响。</w:t>
            </w:r>
          </w:p>
        </w:tc>
        <w:tc>
          <w:tcPr>
            <w:tcW w:w="4252" w:type="dxa"/>
            <w:vMerge w:val="restart"/>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此三项指标为设置部门整体支出绩效评价指标时必须考虑的共性要素，可根据部门实际并结合部门整体支出绩效目标设立情况有选择的进行设置，并将其细化为相应的个性化指标。</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部门履行职责对社会发展所带来的直接或间接影响。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生态效益（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部门履行职责对生态环境所带来的直接或间接影响。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社会公众</w:t>
            </w:r>
          </w:p>
          <w:p>
            <w:pPr>
              <w:spacing w:line="320" w:lineRule="exact"/>
              <w:jc w:val="center"/>
              <w:rPr>
                <w:rFonts w:ascii="仿宋_GB2312" w:eastAsia="仿宋_GB2312"/>
                <w:szCs w:val="21"/>
              </w:rPr>
            </w:pPr>
            <w:r>
              <w:rPr>
                <w:rFonts w:hint="eastAsia" w:ascii="仿宋_GB2312" w:eastAsia="仿宋_GB2312"/>
                <w:szCs w:val="21"/>
              </w:rPr>
              <w:t>或服务对</w:t>
            </w:r>
          </w:p>
          <w:p>
            <w:pPr>
              <w:spacing w:line="320" w:lineRule="exact"/>
              <w:jc w:val="center"/>
              <w:rPr>
                <w:rFonts w:ascii="仿宋_GB2312" w:eastAsia="仿宋_GB2312"/>
                <w:szCs w:val="21"/>
              </w:rPr>
            </w:pPr>
            <w:r>
              <w:rPr>
                <w:rFonts w:hint="eastAsia" w:ascii="仿宋_GB2312" w:eastAsia="仿宋_GB2312"/>
                <w:szCs w:val="21"/>
              </w:rPr>
              <w:t>象满意度（</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社会公众或部门的服务对象对部门履职效果的满意程度。</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社会公众或服务对象是指部门履行职责而影响到的部门、群体或个人。一般采取社会调查的方式。</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9643" w:type="dxa"/>
            <w:gridSpan w:val="5"/>
            <w:vAlign w:val="center"/>
          </w:tcPr>
          <w:p>
            <w:pPr>
              <w:spacing w:line="320" w:lineRule="exact"/>
              <w:ind w:left="105" w:leftChars="50" w:right="105" w:rightChars="50"/>
              <w:jc w:val="center"/>
              <w:rPr>
                <w:rFonts w:hint="default" w:ascii="仿宋_GB2312" w:eastAsia="仿宋_GB2312"/>
                <w:color w:val="FF0000"/>
                <w:sz w:val="28"/>
                <w:szCs w:val="28"/>
                <w:lang w:val="en-US" w:eastAsia="zh-CN"/>
              </w:rPr>
            </w:pPr>
            <w:r>
              <w:rPr>
                <w:rFonts w:hint="eastAsia" w:ascii="仿宋_GB2312" w:eastAsia="仿宋_GB2312"/>
                <w:color w:val="auto"/>
                <w:sz w:val="28"/>
                <w:szCs w:val="28"/>
                <w:lang w:val="en-US" w:eastAsia="zh-CN"/>
              </w:rPr>
              <w:t>100</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p>
        </w:tc>
      </w:tr>
    </w:tbl>
    <w:p/>
    <w:p>
      <w:pPr>
        <w:widowControl/>
        <w:jc w:val="left"/>
      </w:pPr>
      <w:r>
        <w:br w:type="page"/>
      </w:r>
    </w:p>
    <w:p>
      <w:pPr>
        <w:widowControl/>
        <w:jc w:val="left"/>
        <w:rPr>
          <w:rFonts w:eastAsia="仿宋_GB2312"/>
          <w:sz w:val="32"/>
          <w:szCs w:val="32"/>
        </w:rPr>
      </w:pPr>
      <w:r>
        <w:rPr>
          <w:rFonts w:hint="eastAsia" w:eastAsia="黑体"/>
          <w:sz w:val="32"/>
          <w:szCs w:val="32"/>
        </w:rPr>
        <w:t>附件</w:t>
      </w:r>
      <w:r>
        <w:rPr>
          <w:rFonts w:eastAsia="黑体"/>
          <w:sz w:val="32"/>
          <w:szCs w:val="32"/>
        </w:rPr>
        <w:t>2</w:t>
      </w:r>
    </w:p>
    <w:p>
      <w:pPr>
        <w:jc w:val="center"/>
        <w:rPr>
          <w:rFonts w:ascii="仿宋" w:hAnsi="仿宋" w:eastAsia="仿宋"/>
          <w:b/>
          <w:bCs/>
          <w:sz w:val="44"/>
          <w:szCs w:val="44"/>
        </w:rPr>
      </w:pPr>
      <w:r>
        <w:rPr>
          <w:rFonts w:hint="eastAsia" w:ascii="仿宋" w:hAnsi="仿宋" w:eastAsia="仿宋"/>
          <w:b/>
          <w:bCs/>
          <w:sz w:val="44"/>
          <w:szCs w:val="44"/>
        </w:rPr>
        <w:t>部门整体支出绩效评价基础数据表</w:t>
      </w:r>
    </w:p>
    <w:p>
      <w:pPr>
        <w:rPr>
          <w:rFonts w:ascii="仿宋" w:hAnsi="仿宋" w:eastAsia="仿宋"/>
        </w:rPr>
      </w:pPr>
      <w:r>
        <w:rPr>
          <w:rFonts w:hint="eastAsia" w:ascii="仿宋" w:hAnsi="仿宋" w:eastAsia="仿宋"/>
        </w:rPr>
        <w:t>填报单位：辰溪县锦滨镇人民政府</w:t>
      </w:r>
    </w:p>
    <w:tbl>
      <w:tblPr>
        <w:tblStyle w:val="5"/>
        <w:tblW w:w="103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597"/>
        <w:gridCol w:w="2181"/>
        <w:gridCol w:w="2292"/>
        <w:gridCol w:w="22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3597" w:type="dxa"/>
            <w:vMerge w:val="restart"/>
            <w:vAlign w:val="center"/>
          </w:tcPr>
          <w:p>
            <w:pPr>
              <w:spacing w:line="440" w:lineRule="exact"/>
              <w:jc w:val="center"/>
              <w:rPr>
                <w:rFonts w:ascii="仿宋" w:hAnsi="仿宋" w:eastAsia="仿宋"/>
              </w:rPr>
            </w:pPr>
            <w:r>
              <w:rPr>
                <w:rFonts w:hint="eastAsia" w:ascii="仿宋" w:hAnsi="仿宋" w:eastAsia="仿宋"/>
              </w:rPr>
              <w:t>财政供养人员情况</w:t>
            </w: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rPr>
              <w:t>编制数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年实际在职人数</w:t>
            </w:r>
          </w:p>
        </w:tc>
        <w:tc>
          <w:tcPr>
            <w:tcW w:w="2244" w:type="dxa"/>
            <w:tcBorders>
              <w:left w:val="nil"/>
            </w:tcBorders>
            <w:vAlign w:val="center"/>
          </w:tcPr>
          <w:p>
            <w:pPr>
              <w:spacing w:line="440" w:lineRule="exact"/>
              <w:jc w:val="center"/>
              <w:rPr>
                <w:rFonts w:ascii="仿宋" w:hAnsi="仿宋" w:eastAsia="仿宋"/>
              </w:rPr>
            </w:pPr>
            <w:r>
              <w:rPr>
                <w:rFonts w:hint="eastAsia" w:ascii="仿宋" w:hAnsi="仿宋" w:eastAsia="仿宋"/>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atLeast"/>
          <w:jc w:val="center"/>
        </w:trPr>
        <w:tc>
          <w:tcPr>
            <w:tcW w:w="3597" w:type="dxa"/>
            <w:vMerge w:val="continue"/>
            <w:vAlign w:val="center"/>
          </w:tcPr>
          <w:p>
            <w:pPr>
              <w:widowControl/>
              <w:spacing w:line="440" w:lineRule="exact"/>
              <w:jc w:val="left"/>
              <w:rPr>
                <w:rFonts w:ascii="仿宋" w:hAnsi="仿宋" w:eastAsia="仿宋"/>
              </w:rPr>
            </w:pP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rPr>
              <w:t>120</w:t>
            </w:r>
          </w:p>
        </w:tc>
        <w:tc>
          <w:tcPr>
            <w:tcW w:w="2292" w:type="dxa"/>
            <w:tcBorders>
              <w:left w:val="nil"/>
            </w:tcBorders>
            <w:vAlign w:val="center"/>
          </w:tcPr>
          <w:p>
            <w:pPr>
              <w:spacing w:line="440" w:lineRule="exact"/>
              <w:jc w:val="center"/>
              <w:rPr>
                <w:rFonts w:ascii="仿宋" w:hAnsi="仿宋" w:eastAsia="仿宋"/>
              </w:rPr>
            </w:pPr>
            <w:r>
              <w:rPr>
                <w:rFonts w:hint="eastAsia" w:ascii="仿宋" w:hAnsi="仿宋" w:eastAsia="仿宋"/>
              </w:rPr>
              <w:t>120</w:t>
            </w:r>
          </w:p>
        </w:tc>
        <w:tc>
          <w:tcPr>
            <w:tcW w:w="2244" w:type="dxa"/>
            <w:tcBorders>
              <w:left w:val="nil"/>
            </w:tcBorders>
            <w:vAlign w:val="center"/>
          </w:tcPr>
          <w:p>
            <w:pPr>
              <w:spacing w:line="440" w:lineRule="exact"/>
              <w:jc w:val="center"/>
              <w:rPr>
                <w:rFonts w:ascii="仿宋" w:hAnsi="仿宋" w:eastAsia="仿宋"/>
              </w:rPr>
            </w:pPr>
            <w:r>
              <w:rPr>
                <w:rFonts w:hint="eastAsia" w:ascii="仿宋" w:hAnsi="仿宋" w:eastAsia="仿宋"/>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经费控制情况</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2019</w:t>
            </w:r>
            <w:r>
              <w:rPr>
                <w:rFonts w:hint="eastAsia" w:ascii="仿宋" w:hAnsi="仿宋" w:eastAsia="仿宋"/>
              </w:rPr>
              <w:t>年决算数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年预算数</w:t>
            </w:r>
          </w:p>
        </w:tc>
        <w:tc>
          <w:tcPr>
            <w:tcW w:w="2244"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8"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三公经费</w:t>
            </w:r>
          </w:p>
        </w:tc>
        <w:tc>
          <w:tcPr>
            <w:tcW w:w="2181" w:type="dxa"/>
            <w:tcBorders>
              <w:left w:val="nil"/>
            </w:tcBorders>
          </w:tcPr>
          <w:p>
            <w:pPr>
              <w:spacing w:line="440" w:lineRule="exact"/>
              <w:rPr>
                <w:rFonts w:ascii="仿宋" w:hAnsi="仿宋" w:eastAsia="仿宋"/>
              </w:rPr>
            </w:pPr>
            <w:r>
              <w:rPr>
                <w:rFonts w:ascii="仿宋" w:hAnsi="仿宋" w:eastAsia="仿宋"/>
              </w:rPr>
              <w:t>251083.65</w:t>
            </w:r>
          </w:p>
        </w:tc>
        <w:tc>
          <w:tcPr>
            <w:tcW w:w="2292" w:type="dxa"/>
            <w:tcBorders>
              <w:left w:val="nil"/>
            </w:tcBorders>
          </w:tcPr>
          <w:p>
            <w:pPr>
              <w:spacing w:line="440" w:lineRule="exact"/>
              <w:rPr>
                <w:rFonts w:ascii="仿宋" w:hAnsi="仿宋" w:eastAsia="仿宋"/>
              </w:rPr>
            </w:pPr>
            <w:r>
              <w:rPr>
                <w:rFonts w:hint="eastAsia" w:ascii="仿宋" w:hAnsi="仿宋" w:eastAsia="仿宋"/>
              </w:rPr>
              <w:t>400000</w:t>
            </w:r>
          </w:p>
        </w:tc>
        <w:tc>
          <w:tcPr>
            <w:tcW w:w="2244" w:type="dxa"/>
            <w:tcBorders>
              <w:left w:val="nil"/>
            </w:tcBorders>
          </w:tcPr>
          <w:p>
            <w:pPr>
              <w:spacing w:line="440" w:lineRule="exact"/>
              <w:rPr>
                <w:rFonts w:ascii="仿宋" w:hAnsi="仿宋" w:eastAsia="仿宋"/>
              </w:rPr>
            </w:pPr>
            <w:r>
              <w:rPr>
                <w:rFonts w:ascii="仿宋" w:hAnsi="仿宋" w:eastAsia="仿宋"/>
              </w:rPr>
              <w:t>274976.61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1"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、公务用车购置和维护经费</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其中：公车购置</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公车运行维护</w:t>
            </w:r>
          </w:p>
        </w:tc>
        <w:tc>
          <w:tcPr>
            <w:tcW w:w="2181" w:type="dxa"/>
            <w:tcBorders>
              <w:left w:val="nil"/>
            </w:tcBorders>
          </w:tcPr>
          <w:p>
            <w:pPr>
              <w:spacing w:line="440" w:lineRule="exact"/>
              <w:rPr>
                <w:rFonts w:ascii="仿宋" w:hAnsi="仿宋" w:eastAsia="仿宋"/>
              </w:rPr>
            </w:pPr>
            <w:r>
              <w:rPr>
                <w:rFonts w:ascii="仿宋" w:hAnsi="仿宋" w:eastAsia="仿宋"/>
              </w:rPr>
              <w:t>251083.65</w:t>
            </w:r>
          </w:p>
        </w:tc>
        <w:tc>
          <w:tcPr>
            <w:tcW w:w="2292" w:type="dxa"/>
            <w:tcBorders>
              <w:left w:val="nil"/>
            </w:tcBorders>
          </w:tcPr>
          <w:p>
            <w:pPr>
              <w:spacing w:line="440" w:lineRule="exact"/>
              <w:rPr>
                <w:rFonts w:ascii="仿宋" w:hAnsi="仿宋" w:eastAsia="仿宋"/>
              </w:rPr>
            </w:pPr>
            <w:r>
              <w:rPr>
                <w:rFonts w:hint="eastAsia" w:ascii="仿宋" w:hAnsi="仿宋" w:eastAsia="仿宋"/>
              </w:rPr>
              <w:t>400000</w:t>
            </w:r>
          </w:p>
        </w:tc>
        <w:tc>
          <w:tcPr>
            <w:tcW w:w="2244" w:type="dxa"/>
            <w:tcBorders>
              <w:left w:val="nil"/>
            </w:tcBorders>
          </w:tcPr>
          <w:p>
            <w:pPr>
              <w:spacing w:line="440" w:lineRule="exact"/>
              <w:rPr>
                <w:rFonts w:ascii="仿宋" w:hAnsi="仿宋" w:eastAsia="仿宋"/>
              </w:rPr>
            </w:pPr>
            <w:r>
              <w:rPr>
                <w:rFonts w:ascii="仿宋" w:hAnsi="仿宋" w:eastAsia="仿宋"/>
              </w:rPr>
              <w:t>252496.61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、出国经费</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3</w:t>
            </w:r>
            <w:r>
              <w:rPr>
                <w:rFonts w:hint="eastAsia" w:ascii="仿宋" w:hAnsi="仿宋" w:eastAsia="仿宋"/>
              </w:rPr>
              <w:t>、公务接待</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r>
              <w:rPr>
                <w:rFonts w:hint="eastAsia" w:ascii="仿宋" w:hAnsi="仿宋" w:eastAsia="仿宋"/>
              </w:rPr>
              <w:t>22480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项目支出：</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、抗疫国债资金</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ind w:firstLine="453"/>
              <w:rPr>
                <w:rFonts w:ascii="仿宋" w:hAnsi="仿宋" w:eastAsia="仿宋"/>
              </w:rPr>
            </w:pPr>
            <w:r>
              <w:rPr>
                <w:rFonts w:hint="eastAsia" w:ascii="仿宋" w:hAnsi="仿宋" w:eastAsia="仿宋"/>
              </w:rPr>
              <w:t>521832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、运行维护专项</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w:t>
            </w:r>
            <w:r>
              <w:rPr>
                <w:rFonts w:ascii="宋体" w:cs="宋体"/>
              </w:rPr>
              <w:t> </w:t>
            </w:r>
            <w:r>
              <w:rPr>
                <w:rFonts w:hint="eastAsia" w:ascii="仿宋" w:hAnsi="仿宋" w:eastAsia="仿宋"/>
              </w:rPr>
              <w:t>…</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公用经费</w:t>
            </w:r>
          </w:p>
        </w:tc>
        <w:tc>
          <w:tcPr>
            <w:tcW w:w="2181" w:type="dxa"/>
            <w:tcBorders>
              <w:left w:val="nil"/>
            </w:tcBorders>
          </w:tcPr>
          <w:p>
            <w:pPr>
              <w:spacing w:line="440" w:lineRule="exact"/>
              <w:rPr>
                <w:rFonts w:ascii="仿宋" w:hAnsi="仿宋" w:eastAsia="仿宋"/>
              </w:rPr>
            </w:pPr>
            <w:r>
              <w:rPr>
                <w:rFonts w:ascii="仿宋" w:hAnsi="仿宋" w:eastAsia="仿宋"/>
              </w:rPr>
              <w:t>2701337.06</w:t>
            </w:r>
          </w:p>
        </w:tc>
        <w:tc>
          <w:tcPr>
            <w:tcW w:w="2292" w:type="dxa"/>
            <w:tcBorders>
              <w:left w:val="nil"/>
            </w:tcBorders>
          </w:tcPr>
          <w:p>
            <w:pPr>
              <w:spacing w:line="440" w:lineRule="exact"/>
              <w:rPr>
                <w:rFonts w:ascii="仿宋" w:hAnsi="仿宋" w:eastAsia="仿宋"/>
              </w:rPr>
            </w:pPr>
            <w:r>
              <w:rPr>
                <w:rFonts w:hint="eastAsia" w:ascii="仿宋" w:hAnsi="仿宋" w:eastAsia="仿宋"/>
              </w:rPr>
              <w:t>2378000</w:t>
            </w:r>
          </w:p>
        </w:tc>
        <w:tc>
          <w:tcPr>
            <w:tcW w:w="2244" w:type="dxa"/>
            <w:tcBorders>
              <w:left w:val="nil"/>
            </w:tcBorders>
          </w:tcPr>
          <w:p>
            <w:pPr>
              <w:spacing w:line="440" w:lineRule="exact"/>
              <w:rPr>
                <w:rFonts w:ascii="仿宋" w:hAnsi="仿宋" w:eastAsia="仿宋"/>
              </w:rPr>
            </w:pPr>
            <w:r>
              <w:rPr>
                <w:rFonts w:ascii="仿宋" w:hAnsi="仿宋" w:eastAsia="仿宋"/>
              </w:rPr>
              <w:t>2747478.18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其中：办公经费</w:t>
            </w:r>
          </w:p>
        </w:tc>
        <w:tc>
          <w:tcPr>
            <w:tcW w:w="2181" w:type="dxa"/>
            <w:tcBorders>
              <w:left w:val="nil"/>
            </w:tcBorders>
          </w:tcPr>
          <w:p>
            <w:pPr>
              <w:spacing w:line="440" w:lineRule="exact"/>
              <w:rPr>
                <w:rFonts w:ascii="仿宋" w:hAnsi="仿宋" w:eastAsia="仿宋"/>
              </w:rPr>
            </w:pPr>
            <w:r>
              <w:rPr>
                <w:rFonts w:hint="eastAsia" w:ascii="仿宋" w:hAnsi="仿宋" w:eastAsia="仿宋"/>
              </w:rPr>
              <w:t>255870.6</w:t>
            </w:r>
          </w:p>
        </w:tc>
        <w:tc>
          <w:tcPr>
            <w:tcW w:w="2292" w:type="dxa"/>
            <w:tcBorders>
              <w:left w:val="nil"/>
            </w:tcBorders>
          </w:tcPr>
          <w:p>
            <w:pPr>
              <w:spacing w:line="440" w:lineRule="exact"/>
              <w:rPr>
                <w:rFonts w:ascii="仿宋" w:hAnsi="仿宋" w:eastAsia="仿宋"/>
              </w:rPr>
            </w:pPr>
            <w:r>
              <w:rPr>
                <w:rFonts w:hint="eastAsia" w:ascii="仿宋" w:hAnsi="仿宋" w:eastAsia="仿宋"/>
              </w:rPr>
              <w:t>350000</w:t>
            </w:r>
          </w:p>
        </w:tc>
        <w:tc>
          <w:tcPr>
            <w:tcW w:w="2244" w:type="dxa"/>
            <w:tcBorders>
              <w:left w:val="nil"/>
            </w:tcBorders>
          </w:tcPr>
          <w:p>
            <w:pPr>
              <w:tabs>
                <w:tab w:val="center" w:pos="1014"/>
              </w:tabs>
              <w:spacing w:line="440" w:lineRule="exact"/>
              <w:rPr>
                <w:rFonts w:ascii="仿宋" w:hAnsi="仿宋" w:eastAsia="仿宋"/>
              </w:rPr>
            </w:pPr>
            <w:r>
              <w:rPr>
                <w:rFonts w:ascii="仿宋" w:hAnsi="仿宋" w:eastAsia="仿宋"/>
              </w:rPr>
              <w:t>118300.62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水费、电费、差旅费</w:t>
            </w:r>
          </w:p>
        </w:tc>
        <w:tc>
          <w:tcPr>
            <w:tcW w:w="2181" w:type="dxa"/>
            <w:tcBorders>
              <w:left w:val="nil"/>
            </w:tcBorders>
          </w:tcPr>
          <w:p>
            <w:pPr>
              <w:spacing w:line="440" w:lineRule="exact"/>
              <w:rPr>
                <w:rFonts w:ascii="仿宋" w:hAnsi="仿宋" w:eastAsia="仿宋"/>
              </w:rPr>
            </w:pPr>
            <w:r>
              <w:rPr>
                <w:rFonts w:hint="eastAsia" w:ascii="仿宋" w:hAnsi="仿宋" w:eastAsia="仿宋"/>
              </w:rPr>
              <w:t>121808.34</w:t>
            </w:r>
          </w:p>
        </w:tc>
        <w:tc>
          <w:tcPr>
            <w:tcW w:w="2292" w:type="dxa"/>
            <w:tcBorders>
              <w:left w:val="nil"/>
            </w:tcBorders>
          </w:tcPr>
          <w:p>
            <w:pPr>
              <w:spacing w:line="440" w:lineRule="exact"/>
              <w:rPr>
                <w:rFonts w:ascii="仿宋" w:hAnsi="仿宋" w:eastAsia="仿宋"/>
              </w:rPr>
            </w:pPr>
            <w:r>
              <w:rPr>
                <w:rFonts w:hint="eastAsia" w:ascii="仿宋" w:hAnsi="仿宋" w:eastAsia="仿宋"/>
              </w:rPr>
              <w:t>86700</w:t>
            </w:r>
          </w:p>
        </w:tc>
        <w:tc>
          <w:tcPr>
            <w:tcW w:w="2244" w:type="dxa"/>
            <w:tcBorders>
              <w:left w:val="nil"/>
            </w:tcBorders>
          </w:tcPr>
          <w:p>
            <w:pPr>
              <w:spacing w:line="440" w:lineRule="exact"/>
              <w:rPr>
                <w:rFonts w:ascii="仿宋" w:hAnsi="仿宋" w:eastAsia="仿宋"/>
              </w:rPr>
            </w:pPr>
            <w:r>
              <w:rPr>
                <w:rFonts w:hint="eastAsia" w:ascii="仿宋" w:hAnsi="仿宋" w:eastAsia="仿宋"/>
              </w:rPr>
              <w:t>111904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会议费、培训费</w:t>
            </w:r>
          </w:p>
        </w:tc>
        <w:tc>
          <w:tcPr>
            <w:tcW w:w="2181" w:type="dxa"/>
            <w:tcBorders>
              <w:left w:val="nil"/>
            </w:tcBorders>
          </w:tcPr>
          <w:p>
            <w:pPr>
              <w:spacing w:line="440" w:lineRule="exact"/>
              <w:rPr>
                <w:rFonts w:ascii="仿宋" w:hAnsi="仿宋" w:eastAsia="仿宋"/>
              </w:rPr>
            </w:pPr>
            <w:r>
              <w:rPr>
                <w:rFonts w:hint="eastAsia" w:ascii="仿宋" w:hAnsi="仿宋" w:eastAsia="仿宋"/>
              </w:rPr>
              <w:t>118300</w:t>
            </w:r>
          </w:p>
        </w:tc>
        <w:tc>
          <w:tcPr>
            <w:tcW w:w="2292" w:type="dxa"/>
            <w:tcBorders>
              <w:left w:val="nil"/>
            </w:tcBorders>
          </w:tcPr>
          <w:p>
            <w:pPr>
              <w:spacing w:line="440" w:lineRule="exact"/>
              <w:rPr>
                <w:rFonts w:ascii="仿宋" w:hAnsi="仿宋" w:eastAsia="仿宋"/>
              </w:rPr>
            </w:pPr>
            <w:r>
              <w:rPr>
                <w:rFonts w:hint="eastAsia" w:ascii="仿宋" w:hAnsi="仿宋" w:eastAsia="仿宋"/>
              </w:rPr>
              <w:t>204700</w:t>
            </w:r>
          </w:p>
        </w:tc>
        <w:tc>
          <w:tcPr>
            <w:tcW w:w="2244" w:type="dxa"/>
            <w:tcBorders>
              <w:left w:val="nil"/>
            </w:tcBorders>
          </w:tcPr>
          <w:p>
            <w:pPr>
              <w:spacing w:line="440" w:lineRule="exact"/>
              <w:rPr>
                <w:rFonts w:ascii="仿宋" w:hAnsi="仿宋" w:eastAsia="仿宋"/>
              </w:rPr>
            </w:pPr>
            <w:r>
              <w:rPr>
                <w:rFonts w:hint="eastAsia" w:ascii="仿宋" w:hAnsi="仿宋" w:eastAsia="仿宋"/>
              </w:rPr>
              <w:t>89035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政府采购金额</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部门整体支出预算调整</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bl>
    <w:p>
      <w:pPr>
        <w:spacing w:line="400" w:lineRule="exact"/>
        <w:rPr>
          <w:rFonts w:ascii="仿宋" w:hAnsi="仿宋" w:eastAsia="仿宋"/>
        </w:rPr>
      </w:pPr>
      <w:r>
        <w:rPr>
          <w:rFonts w:hint="eastAsia" w:ascii="仿宋" w:hAnsi="仿宋" w:eastAsia="仿宋"/>
        </w:rPr>
        <w:t>说明：“项目支出”需要填报除专项资金和基本支出以外的所有项目情况，包括业务工作项目、运行维护项目等；“公用经费”填报基本支出中的一般商品和服务支出。</w:t>
      </w:r>
    </w:p>
    <w:p/>
    <w:p/>
    <w:p/>
    <w:p/>
    <w:p/>
    <w:p/>
    <w:p/>
    <w:p/>
    <w:p>
      <w:pPr>
        <w:widowControl/>
        <w:spacing w:line="600" w:lineRule="exact"/>
        <w:jc w:val="left"/>
        <w:rPr>
          <w:rFonts w:hint="eastAsia" w:eastAsia="黑体"/>
          <w:kern w:val="0"/>
          <w:sz w:val="32"/>
          <w:szCs w:val="32"/>
        </w:rPr>
      </w:pPr>
    </w:p>
    <w:p>
      <w:pPr>
        <w:widowControl/>
        <w:spacing w:line="600" w:lineRule="exact"/>
        <w:jc w:val="left"/>
        <w:rPr>
          <w:rFonts w:eastAsia="黑体"/>
          <w:kern w:val="0"/>
          <w:sz w:val="32"/>
          <w:szCs w:val="32"/>
        </w:rPr>
      </w:pPr>
      <w:r>
        <w:rPr>
          <w:rFonts w:hint="eastAsia" w:eastAsia="黑体"/>
          <w:kern w:val="0"/>
          <w:sz w:val="32"/>
          <w:szCs w:val="32"/>
        </w:rPr>
        <w:t>附件</w:t>
      </w:r>
      <w:r>
        <w:rPr>
          <w:rFonts w:eastAsia="黑体"/>
          <w:kern w:val="0"/>
          <w:sz w:val="32"/>
          <w:szCs w:val="32"/>
        </w:rPr>
        <w:t>3</w:t>
      </w:r>
    </w:p>
    <w:p>
      <w:pPr>
        <w:widowControl/>
        <w:spacing w:line="600" w:lineRule="exact"/>
        <w:jc w:val="left"/>
        <w:rPr>
          <w:rFonts w:eastAsia="黑体"/>
          <w:kern w:val="0"/>
          <w:sz w:val="32"/>
          <w:szCs w:val="32"/>
        </w:rPr>
      </w:pPr>
    </w:p>
    <w:p>
      <w:pPr>
        <w:spacing w:line="600" w:lineRule="exact"/>
        <w:jc w:val="center"/>
        <w:rPr>
          <w:rFonts w:eastAsia="方正小标宋_GBK"/>
          <w:sz w:val="32"/>
          <w:szCs w:val="32"/>
        </w:rPr>
      </w:pPr>
      <w:r>
        <w:rPr>
          <w:rFonts w:hint="eastAsia" w:eastAsia="方正小标宋_GBK"/>
          <w:sz w:val="36"/>
          <w:szCs w:val="36"/>
        </w:rPr>
        <w:t>辰溪县锦滨镇人民政府2020年度部门整体支出绩效评价报告</w:t>
      </w:r>
    </w:p>
    <w:p>
      <w:pPr>
        <w:pStyle w:val="9"/>
        <w:widowControl/>
        <w:numPr>
          <w:ilvl w:val="0"/>
          <w:numId w:val="1"/>
        </w:numPr>
        <w:spacing w:line="600" w:lineRule="exact"/>
        <w:ind w:left="640" w:firstLine="0" w:firstLineChars="0"/>
        <w:rPr>
          <w:rFonts w:ascii="Times New Roman" w:hAnsi="Times New Roman" w:eastAsia="黑体"/>
          <w:sz w:val="32"/>
          <w:szCs w:val="32"/>
        </w:rPr>
      </w:pPr>
      <w:r>
        <w:rPr>
          <w:rFonts w:hint="eastAsia" w:ascii="Times New Roman" w:hAnsi="Times New Roman" w:eastAsia="黑体"/>
          <w:sz w:val="32"/>
          <w:szCs w:val="32"/>
        </w:rPr>
        <w:t>部门、单位基本情况</w:t>
      </w:r>
    </w:p>
    <w:p>
      <w:pPr>
        <w:pStyle w:val="10"/>
        <w:ind w:firstLine="640" w:firstLineChars="200"/>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辰溪县锦滨镇人民政府作为一级部门预算单位，内设科室为：党政办公室、党建办公室、经济发展办公室、社会事务办公室、社会治安和应急管理办公室、自然资源和生态环境办公室、社会事务综合服务中心、农业综合服务中心、便民服务中心、综合行政执法大队等部门</w:t>
      </w:r>
      <w:r>
        <w:rPr>
          <w:rFonts w:hint="eastAsia" w:ascii="Times New Roman" w:hAnsi="Times New Roman" w:eastAsia="仿宋_GB2312" w:cs="Times New Roman"/>
          <w:color w:val="auto"/>
          <w:kern w:val="2"/>
          <w:sz w:val="32"/>
          <w:szCs w:val="32"/>
        </w:rPr>
        <w:t>。</w:t>
      </w:r>
    </w:p>
    <w:p>
      <w:pPr>
        <w:pStyle w:val="10"/>
        <w:ind w:firstLine="640" w:firstLineChars="200"/>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1、党政办公室：负责协助镇领导处理日常党务和行政管理工作；协助抓好纪检、监察、群团工作和精神文明建设；做好文秘、接待、后勤、信息、统计、档案、调研、督查工作；负责政策性文件、具体行政行为的审核和上报备案以及行政执法证件的使用管理，承办以镇政府为被告或被申请人的行政诉讼、行政赔偿和行政复议案件，具体承担依法行政、政务公开和行政执法监督的各项工作；联系联络人大、政协工作，承办镇党委、政府和上级主管部门交办的其他事项。</w:t>
      </w:r>
    </w:p>
    <w:p>
      <w:pPr>
        <w:pStyle w:val="10"/>
        <w:ind w:firstLine="640" w:firstLineChars="200"/>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2、党建办公室：按照干部管理权限，组织实施对干部的教育、培训、考核、奖惩、任免、后备干部的培养选拔和党员发展教育等工作；负责本单位干部职工心理健康关爱工作；承担基层党的政治建设、组织工作、宣传工作、统战工作、党风廉政建设和反腐败工作、党建带群团建设等职责；负责武装、民宗、群团和精神文明建设等工作。</w:t>
      </w:r>
    </w:p>
    <w:p>
      <w:pPr>
        <w:pStyle w:val="10"/>
        <w:ind w:firstLine="640" w:firstLineChars="200"/>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3、财政所：负责编制和执行镇政府财政预决算工作，管理预算内外资金、编制财政预算草案；负责管理和监督本镇所属行政事业单位的财务活动；负责财政收支管理，镇财政性资金债权管理；负责政府性项目及大额固定资金等方面的内审工作；负责党委会等会议决定事项的督办工作。</w:t>
      </w:r>
    </w:p>
    <w:p>
      <w:pPr>
        <w:pStyle w:val="10"/>
        <w:ind w:firstLine="640" w:firstLineChars="200"/>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4、经济发展办公室：贯彻国家对农业的方针、政策和法规，对农业产业结构调整，农业资源配置和产品品质改善实施服务；负责全镇农村经济发展规划和重要项目申报工作，指导全镇各村编制农村经济、项目立项，做好统计工作；引导各村深化农村经济体制改革，完善农村社会化服务体系，做好农业新技术的培训教育和职称评审工作；收集和反馈农业综合信息，为农业经济发展提供产前、产中、产后全方位服务，积极发展信息、中介、行业协会等社会服务组织；负责环境卫生工作；负责畜牧兽医的疫情监控及防疫工作；承担党委、政府和上级业务部门交办的其它工作。</w:t>
      </w:r>
    </w:p>
    <w:p>
      <w:pPr>
        <w:pStyle w:val="10"/>
        <w:ind w:firstLine="640" w:firstLineChars="200"/>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5、社会事务办公室：积极宣传贯彻《村民委员会组织法》，做好村民委员会换届选举的指导工作；负责行政区划，救灾、救济物资的管理与发放，灾民的安置，困难户的救济与扶贫，散居五保户的管理，积极开展社会募捐献爱心活动，负责残疾人事业的管理与协调；负责义务兵优待款及各项抚恤金的发放；负责民族宗教与侨务工作；负责城乡建设规划的编制，城镇、乡村建设工作</w:t>
      </w:r>
      <w:r>
        <w:rPr>
          <w:rFonts w:hint="eastAsia" w:ascii="Times New Roman" w:hAnsi="Times New Roman" w:eastAsia="仿宋_GB2312" w:cs="Times New Roman"/>
          <w:color w:val="auto"/>
          <w:kern w:val="2"/>
          <w:sz w:val="32"/>
          <w:szCs w:val="32"/>
        </w:rPr>
        <w:t>。</w:t>
      </w:r>
    </w:p>
    <w:p>
      <w:pPr>
        <w:pStyle w:val="10"/>
        <w:ind w:firstLine="640" w:firstLineChars="200"/>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6、社会治安和应急管理办公室：负责贯彻执行上级有关基层社会治安综合治理和应急管理工作的方针、政策和法律法规；健全镇、村两级社会治安（平安建设）、信访维稳、网格化管理等工作，指导协调民事纠纷调解处理工作；加强法制教育，广泛开展农村普法宣传；加强对外来人口的管理，开展 “两劳”人员的帮教工作，强化社会治安；负责安全生产监管、防汛抗旱、防灾减灾、抗震救灾、森林防火等工作</w:t>
      </w:r>
      <w:r>
        <w:rPr>
          <w:rFonts w:hint="eastAsia" w:ascii="Times New Roman" w:hAnsi="Times New Roman" w:eastAsia="仿宋_GB2312" w:cs="Times New Roman"/>
          <w:color w:val="auto"/>
          <w:kern w:val="2"/>
          <w:sz w:val="32"/>
          <w:szCs w:val="32"/>
        </w:rPr>
        <w:t>。</w:t>
      </w:r>
    </w:p>
    <w:p>
      <w:pPr>
        <w:pStyle w:val="10"/>
        <w:ind w:firstLine="640" w:firstLineChars="200"/>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7、自然资源和生态环境办公室：负责实施村规划和村镇建设管理等工作。监督、指导公共基础设施建设等。按照管理权限，指导、协调和实施自然资源、林政管理、造林绿化、生态环境保护等工作，组织协调生态环境污染事故与生态破坏事件查处，承办镇党委、政府和上级主管部门交办的其他事项。</w:t>
      </w:r>
    </w:p>
    <w:p>
      <w:pPr>
        <w:pStyle w:val="10"/>
        <w:ind w:firstLine="640" w:firstLineChars="200"/>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8、综合行政执法大队：按照有关法律规定相对集中行使行政处罚权，以镇名义开展执法工作，并接受有关县级主管部门的业务指导和监督，逐步实现一支队伍管执法；承办镇党委、政府和上级主管部门交办的其他事项。</w:t>
      </w:r>
    </w:p>
    <w:p>
      <w:pPr>
        <w:pStyle w:val="9"/>
        <w:widowControl/>
        <w:spacing w:line="600" w:lineRule="exact"/>
        <w:ind w:left="640" w:firstLine="0" w:firstLineChars="0"/>
        <w:rPr>
          <w:rFonts w:ascii="Times New Roman" w:hAnsi="Times New Roman" w:eastAsia="黑体"/>
          <w:sz w:val="32"/>
          <w:szCs w:val="32"/>
        </w:rPr>
      </w:pPr>
      <w:r>
        <w:rPr>
          <w:rFonts w:hint="eastAsia" w:ascii="Times New Roman" w:hAnsi="Times New Roman" w:eastAsia="黑体"/>
          <w:sz w:val="32"/>
          <w:szCs w:val="32"/>
        </w:rPr>
        <w:t>二、一般公共预算支出情况</w:t>
      </w:r>
    </w:p>
    <w:p>
      <w:pPr>
        <w:pStyle w:val="9"/>
        <w:widowControl/>
        <w:spacing w:line="600" w:lineRule="exact"/>
        <w:ind w:left="640" w:firstLine="0" w:firstLineChars="0"/>
        <w:rPr>
          <w:rFonts w:ascii="Times New Roman" w:hAnsi="Times New Roman" w:eastAsia="黑体"/>
          <w:sz w:val="32"/>
          <w:szCs w:val="32"/>
        </w:rPr>
      </w:pPr>
      <w:r>
        <w:rPr>
          <w:rFonts w:hint="eastAsia" w:ascii="Times New Roman" w:hAnsi="Times New Roman" w:eastAsia="黑体"/>
          <w:sz w:val="32"/>
          <w:szCs w:val="32"/>
        </w:rPr>
        <w:t>（一）基本支出情况</w:t>
      </w:r>
    </w:p>
    <w:p>
      <w:pPr>
        <w:pStyle w:val="10"/>
        <w:ind w:firstLine="640" w:firstLineChars="200"/>
        <w:rPr>
          <w:rFonts w:ascii="Times New Roman" w:hAnsi="Times New Roman"/>
          <w:sz w:val="32"/>
          <w:szCs w:val="32"/>
        </w:rPr>
      </w:pPr>
      <w:r>
        <w:rPr>
          <w:rFonts w:hint="eastAsia" w:ascii="Times New Roman" w:hAnsi="Times New Roman" w:eastAsia="仿宋_GB2312" w:cs="Times New Roman"/>
          <w:color w:val="auto"/>
          <w:kern w:val="2"/>
          <w:sz w:val="32"/>
          <w:szCs w:val="32"/>
        </w:rPr>
        <w:t xml:space="preserve">2020年度财政拨款基本支出1215.17万元，其中：人员经费940.42万元，占基本支出的77.39%,主要包括基本工资362.01万元、津贴补贴62.95万元、奖金123.09万元、绩效工资14.17万元、 机关事业单位基本养老保险缴费131.02万元、职业年金缴费18.25万元、职工基本医疗保险缴费60.57万元、其他社会保障缴费4.49万元、住房公积金17.88万元、其他工资福利支出74.3万元、抚恤金3.04万元、生活补助65.2万元、医疗费补助0.04万元、助学金1.15万元、奖励金0.9万元、其他对个人和家庭的补助1.36万元；公用经费 </w:t>
      </w:r>
      <w:r>
        <w:rPr>
          <w:rFonts w:hint="eastAsia" w:asciiTheme="minorEastAsia" w:hAnsiTheme="minorEastAsia" w:eastAsiaTheme="minorEastAsia"/>
          <w:sz w:val="32"/>
          <w:szCs w:val="32"/>
        </w:rPr>
        <w:t xml:space="preserve"> </w:t>
      </w:r>
      <w:r>
        <w:rPr>
          <w:rFonts w:hint="eastAsia" w:ascii="Times New Roman" w:hAnsi="Times New Roman" w:eastAsia="仿宋_GB2312" w:cs="Times New Roman"/>
          <w:color w:val="auto"/>
          <w:kern w:val="2"/>
          <w:sz w:val="32"/>
          <w:szCs w:val="32"/>
        </w:rPr>
        <w:t>274.74万元，占基本支出的22.61%，主要包括办公费11.83万元、印刷费7.45万元、手续费0.025万元、水费0.5万元、电费3万、邮电费1.31万元、取暖费3.91万元、差旅费7.68万元、维修（护）费20.63万元、会议费8.82万元、培训费0.085万元、公务接待费2.25万元、专用材料费14.33万元、专用燃料费0.19万元、劳务费1.3万元、工会经费47万、公务用车运行维护费25.25万元、其他交通费用46.76万元、其他商品和服务支出72.42万元。</w:t>
      </w:r>
    </w:p>
    <w:p>
      <w:pPr>
        <w:pStyle w:val="9"/>
        <w:widowControl/>
        <w:spacing w:line="600" w:lineRule="exact"/>
        <w:ind w:left="640" w:firstLine="0" w:firstLineChars="0"/>
        <w:rPr>
          <w:rFonts w:ascii="Times New Roman" w:hAnsi="Times New Roman" w:eastAsia="黑体"/>
          <w:sz w:val="32"/>
          <w:szCs w:val="32"/>
        </w:rPr>
      </w:pPr>
      <w:r>
        <w:rPr>
          <w:rFonts w:hint="eastAsia" w:ascii="Times New Roman" w:hAnsi="Times New Roman" w:eastAsia="黑体"/>
          <w:sz w:val="32"/>
          <w:szCs w:val="32"/>
        </w:rPr>
        <w:t>（二）项目支出情况</w:t>
      </w:r>
    </w:p>
    <w:p>
      <w:pPr>
        <w:widowControl/>
        <w:spacing w:line="600" w:lineRule="exact"/>
        <w:ind w:firstLine="640" w:firstLineChars="200"/>
        <w:jc w:val="left"/>
        <w:rPr>
          <w:rFonts w:eastAsia="仿宋_GB2312"/>
          <w:sz w:val="32"/>
          <w:szCs w:val="32"/>
        </w:rPr>
      </w:pPr>
      <w:r>
        <w:rPr>
          <w:rFonts w:hint="eastAsia" w:eastAsia="仿宋_GB2312"/>
          <w:sz w:val="32"/>
          <w:szCs w:val="32"/>
        </w:rPr>
        <w:t>本单位2020年度无项目支出。</w:t>
      </w:r>
    </w:p>
    <w:p>
      <w:pPr>
        <w:pStyle w:val="9"/>
        <w:widowControl/>
        <w:numPr>
          <w:ilvl w:val="0"/>
          <w:numId w:val="1"/>
        </w:numPr>
        <w:spacing w:line="600" w:lineRule="exact"/>
        <w:ind w:left="640" w:firstLine="0" w:firstLineChars="0"/>
        <w:jc w:val="left"/>
        <w:rPr>
          <w:rFonts w:ascii="Times New Roman" w:hAnsi="Times New Roman" w:eastAsia="黑体"/>
          <w:sz w:val="32"/>
          <w:szCs w:val="32"/>
        </w:rPr>
      </w:pPr>
      <w:r>
        <w:rPr>
          <w:rFonts w:hint="eastAsia" w:ascii="Times New Roman" w:hAnsi="Times New Roman" w:eastAsia="黑体"/>
          <w:sz w:val="32"/>
          <w:szCs w:val="32"/>
        </w:rPr>
        <w:t>政府性基金预算支出情况</w:t>
      </w:r>
    </w:p>
    <w:p>
      <w:pPr>
        <w:widowControl/>
        <w:spacing w:line="600" w:lineRule="exact"/>
        <w:ind w:firstLine="640" w:firstLineChars="200"/>
        <w:jc w:val="left"/>
        <w:rPr>
          <w:rFonts w:eastAsia="仿宋_GB2312"/>
          <w:sz w:val="32"/>
          <w:szCs w:val="32"/>
        </w:rPr>
      </w:pPr>
      <w:r>
        <w:rPr>
          <w:rFonts w:hint="eastAsia" w:eastAsia="仿宋_GB2312"/>
          <w:sz w:val="32"/>
          <w:szCs w:val="32"/>
        </w:rPr>
        <w:t>2020年度政府性基金预算财政拨款收入52.18万元，为抗疫国债资金52.18万元。本年支出52.18万元，年末结转和结余 0万元。</w:t>
      </w:r>
    </w:p>
    <w:p>
      <w:pPr>
        <w:pStyle w:val="9"/>
        <w:widowControl/>
        <w:numPr>
          <w:ilvl w:val="0"/>
          <w:numId w:val="1"/>
        </w:numPr>
        <w:spacing w:line="600" w:lineRule="exact"/>
        <w:ind w:left="640" w:firstLine="0" w:firstLineChars="0"/>
        <w:jc w:val="left"/>
        <w:rPr>
          <w:rFonts w:ascii="Times New Roman" w:hAnsi="Times New Roman" w:eastAsia="黑体"/>
          <w:sz w:val="32"/>
          <w:szCs w:val="32"/>
        </w:rPr>
      </w:pPr>
      <w:r>
        <w:rPr>
          <w:rFonts w:hint="eastAsia" w:ascii="Times New Roman" w:hAnsi="Times New Roman" w:eastAsia="黑体"/>
          <w:sz w:val="32"/>
          <w:szCs w:val="32"/>
        </w:rPr>
        <w:t>国有资本经营预算支出情况</w:t>
      </w:r>
    </w:p>
    <w:p>
      <w:pPr>
        <w:widowControl/>
        <w:spacing w:line="600" w:lineRule="exact"/>
        <w:ind w:firstLine="640" w:firstLineChars="200"/>
        <w:jc w:val="left"/>
        <w:rPr>
          <w:rFonts w:eastAsia="仿宋_GB2312"/>
          <w:sz w:val="32"/>
          <w:szCs w:val="32"/>
        </w:rPr>
      </w:pPr>
      <w:r>
        <w:rPr>
          <w:rFonts w:hint="eastAsia" w:eastAsia="仿宋_GB2312"/>
          <w:sz w:val="32"/>
          <w:szCs w:val="32"/>
        </w:rPr>
        <w:t>本单位2020年无国有资本经营预算支出。</w:t>
      </w:r>
    </w:p>
    <w:p>
      <w:pPr>
        <w:pStyle w:val="9"/>
        <w:widowControl/>
        <w:numPr>
          <w:ilvl w:val="0"/>
          <w:numId w:val="1"/>
        </w:numPr>
        <w:spacing w:line="600" w:lineRule="exact"/>
        <w:ind w:left="640" w:firstLine="0" w:firstLineChars="0"/>
        <w:jc w:val="left"/>
        <w:rPr>
          <w:rFonts w:ascii="Times New Roman" w:hAnsi="Times New Roman" w:eastAsia="黑体"/>
          <w:sz w:val="32"/>
          <w:szCs w:val="32"/>
        </w:rPr>
      </w:pPr>
      <w:r>
        <w:rPr>
          <w:rFonts w:hint="eastAsia" w:ascii="Times New Roman" w:hAnsi="Times New Roman" w:eastAsia="黑体"/>
          <w:sz w:val="32"/>
          <w:szCs w:val="32"/>
        </w:rPr>
        <w:t>社会保险基金预算支出情况</w:t>
      </w:r>
    </w:p>
    <w:p>
      <w:pPr>
        <w:widowControl/>
        <w:spacing w:line="600" w:lineRule="exact"/>
        <w:ind w:firstLine="640" w:firstLineChars="200"/>
        <w:jc w:val="left"/>
        <w:rPr>
          <w:rFonts w:eastAsia="仿宋_GB2312"/>
          <w:sz w:val="32"/>
          <w:szCs w:val="32"/>
        </w:rPr>
      </w:pPr>
      <w:r>
        <w:rPr>
          <w:rFonts w:hint="eastAsia" w:eastAsia="仿宋_GB2312"/>
          <w:sz w:val="32"/>
          <w:szCs w:val="32"/>
        </w:rPr>
        <w:t>本单位2020年无社会保险基金预算支出。</w:t>
      </w:r>
    </w:p>
    <w:p>
      <w:pPr>
        <w:widowControl/>
        <w:spacing w:line="600" w:lineRule="exact"/>
        <w:ind w:firstLine="645"/>
        <w:jc w:val="left"/>
        <w:rPr>
          <w:rFonts w:eastAsia="黑体"/>
          <w:sz w:val="32"/>
          <w:szCs w:val="32"/>
        </w:rPr>
      </w:pPr>
      <w:r>
        <w:rPr>
          <w:rFonts w:hint="eastAsia" w:eastAsia="黑体"/>
          <w:sz w:val="32"/>
          <w:szCs w:val="32"/>
        </w:rPr>
        <w:t>五、部门整体支出绩效情况</w:t>
      </w:r>
    </w:p>
    <w:p>
      <w:pPr>
        <w:pStyle w:val="10"/>
        <w:ind w:firstLine="640" w:firstLineChars="20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我单位以绩效目标实现为导向，进一步加强制度建设，提升自评质量，预算绩效管理取得一定成效。一是抓好绩效目标编制，及时报送绩效目标。二是探索绩效跟踪监控，要求加强过程监控。三是深入开展财政支出绩效评价，对专项资金实施绩效自评和项目核查，在此基础上形成自评报告。四是强化评价结果应用，组织绩效自评和绩效跟踪监控，对发现的问题及时改进，加强评价结果与项目资金安排的衔接。五是健全绩效管理工作机制，明确职责分工，努力提高了绩效管理工作水平。</w:t>
      </w:r>
    </w:p>
    <w:p>
      <w:pPr>
        <w:widowControl/>
        <w:spacing w:line="600" w:lineRule="exact"/>
        <w:ind w:firstLine="640" w:firstLineChars="200"/>
        <w:jc w:val="left"/>
        <w:rPr>
          <w:rFonts w:eastAsia="黑体"/>
          <w:sz w:val="32"/>
          <w:szCs w:val="32"/>
        </w:rPr>
      </w:pPr>
      <w:r>
        <w:rPr>
          <w:rFonts w:hint="eastAsia" w:eastAsia="黑体"/>
          <w:sz w:val="32"/>
          <w:szCs w:val="32"/>
        </w:rPr>
        <w:t>六、存在的问题及原因分析</w:t>
      </w:r>
    </w:p>
    <w:p>
      <w:pPr>
        <w:widowControl/>
        <w:spacing w:line="600" w:lineRule="exact"/>
        <w:ind w:firstLine="640" w:firstLineChars="200"/>
        <w:jc w:val="left"/>
        <w:rPr>
          <w:rFonts w:eastAsia="仿宋_GB2312"/>
          <w:sz w:val="32"/>
          <w:szCs w:val="32"/>
        </w:rPr>
      </w:pPr>
      <w:r>
        <w:rPr>
          <w:rFonts w:hint="eastAsia" w:eastAsia="仿宋_GB2312"/>
          <w:sz w:val="32"/>
          <w:szCs w:val="32"/>
        </w:rPr>
        <w:t>绩效目标设立不够明确、细化和量化。项目单位虽然设立了项目资金绩效目标，但目标不够明确、细化和量化。主要原因是财务人员业务水平有待提高。</w:t>
      </w:r>
    </w:p>
    <w:p>
      <w:pPr>
        <w:widowControl/>
        <w:numPr>
          <w:ilvl w:val="0"/>
          <w:numId w:val="2"/>
        </w:numPr>
        <w:spacing w:line="600" w:lineRule="exact"/>
        <w:ind w:firstLine="640" w:firstLineChars="200"/>
        <w:jc w:val="left"/>
        <w:rPr>
          <w:rFonts w:eastAsia="黑体"/>
          <w:sz w:val="32"/>
          <w:szCs w:val="32"/>
        </w:rPr>
      </w:pPr>
      <w:r>
        <w:rPr>
          <w:rFonts w:hint="eastAsia" w:eastAsia="黑体"/>
          <w:sz w:val="32"/>
          <w:szCs w:val="32"/>
        </w:rPr>
        <w:t>下一步改进措施</w:t>
      </w:r>
    </w:p>
    <w:p>
      <w:pPr>
        <w:widowControl/>
        <w:spacing w:line="600" w:lineRule="exact"/>
        <w:ind w:firstLine="640" w:firstLineChars="200"/>
        <w:jc w:val="left"/>
        <w:rPr>
          <w:rFonts w:eastAsia="仿宋_GB2312"/>
          <w:sz w:val="32"/>
          <w:szCs w:val="32"/>
        </w:rPr>
      </w:pPr>
      <w:r>
        <w:rPr>
          <w:rFonts w:eastAsia="仿宋_GB2312"/>
          <w:sz w:val="32"/>
          <w:szCs w:val="32"/>
        </w:rPr>
        <w:t>一、学合理编制预算并严格执行预算。</w:t>
      </w:r>
    </w:p>
    <w:p>
      <w:pPr>
        <w:widowControl/>
        <w:spacing w:line="600" w:lineRule="exact"/>
        <w:ind w:firstLine="640" w:firstLineChars="200"/>
        <w:jc w:val="left"/>
        <w:rPr>
          <w:rFonts w:eastAsia="仿宋_GB2312"/>
          <w:sz w:val="32"/>
          <w:szCs w:val="32"/>
        </w:rPr>
      </w:pPr>
      <w:r>
        <w:rPr>
          <w:rFonts w:eastAsia="仿宋_GB2312"/>
          <w:sz w:val="32"/>
          <w:szCs w:val="32"/>
        </w:rPr>
        <w:t>二、规范账务处理，提高财务信息质量</w:t>
      </w:r>
    </w:p>
    <w:p>
      <w:pPr>
        <w:widowControl/>
        <w:spacing w:line="600" w:lineRule="exact"/>
        <w:ind w:firstLine="640" w:firstLineChars="200"/>
        <w:jc w:val="left"/>
        <w:rPr>
          <w:rFonts w:eastAsia="仿宋_GB2312"/>
          <w:sz w:val="32"/>
          <w:szCs w:val="32"/>
        </w:rPr>
      </w:pPr>
      <w:r>
        <w:rPr>
          <w:rFonts w:eastAsia="仿宋_GB2312"/>
          <w:sz w:val="32"/>
          <w:szCs w:val="32"/>
        </w:rPr>
        <w:t>三、完善管理制度，加强资产管理。</w:t>
      </w:r>
    </w:p>
    <w:p>
      <w:pPr>
        <w:widowControl/>
        <w:spacing w:line="600" w:lineRule="exact"/>
        <w:ind w:firstLine="640" w:firstLineChars="200"/>
        <w:jc w:val="left"/>
        <w:rPr>
          <w:rFonts w:eastAsia="仿宋_GB2312"/>
          <w:sz w:val="32"/>
          <w:szCs w:val="32"/>
        </w:rPr>
      </w:pPr>
      <w:r>
        <w:rPr>
          <w:rFonts w:eastAsia="仿宋_GB2312"/>
          <w:sz w:val="32"/>
          <w:szCs w:val="32"/>
        </w:rPr>
        <w:t>四、加强业务培训和会计制度及预算法学习</w:t>
      </w:r>
    </w:p>
    <w:p>
      <w:pPr>
        <w:spacing w:line="600" w:lineRule="exact"/>
        <w:rPr>
          <w:rFonts w:hint="eastAsia" w:eastAsia="黑体"/>
          <w:sz w:val="32"/>
          <w:szCs w:val="32"/>
        </w:rPr>
      </w:pPr>
    </w:p>
    <w:p>
      <w:pPr>
        <w:spacing w:line="600" w:lineRule="exact"/>
        <w:rPr>
          <w:rFonts w:hint="eastAsia" w:eastAsia="黑体"/>
          <w:sz w:val="32"/>
          <w:szCs w:val="32"/>
        </w:rPr>
      </w:pPr>
    </w:p>
    <w:p>
      <w:pPr>
        <w:spacing w:line="600" w:lineRule="exact"/>
        <w:rPr>
          <w:rFonts w:hint="eastAsia" w:eastAsia="黑体"/>
          <w:sz w:val="32"/>
          <w:szCs w:val="32"/>
        </w:rPr>
      </w:pPr>
    </w:p>
    <w:p>
      <w:pPr>
        <w:spacing w:line="600" w:lineRule="exact"/>
        <w:rPr>
          <w:rFonts w:hint="eastAsia" w:eastAsia="黑体"/>
          <w:sz w:val="32"/>
          <w:szCs w:val="32"/>
        </w:rPr>
      </w:pPr>
    </w:p>
    <w:p>
      <w:pPr>
        <w:spacing w:line="600" w:lineRule="exact"/>
        <w:rPr>
          <w:rFonts w:hint="eastAsia" w:eastAsia="黑体"/>
          <w:sz w:val="32"/>
          <w:szCs w:val="32"/>
        </w:rPr>
      </w:pPr>
    </w:p>
    <w:p>
      <w:pPr>
        <w:spacing w:line="600" w:lineRule="exact"/>
        <w:rPr>
          <w:rFonts w:hint="eastAsia" w:eastAsia="黑体"/>
          <w:sz w:val="32"/>
          <w:szCs w:val="32"/>
        </w:rPr>
      </w:pPr>
    </w:p>
    <w:p>
      <w:pPr>
        <w:spacing w:line="600" w:lineRule="exact"/>
        <w:rPr>
          <w:rFonts w:hint="eastAsia" w:eastAsia="黑体"/>
          <w:sz w:val="32"/>
          <w:szCs w:val="32"/>
        </w:rPr>
      </w:pPr>
    </w:p>
    <w:p>
      <w:pPr>
        <w:spacing w:line="600" w:lineRule="exact"/>
        <w:rPr>
          <w:rFonts w:hint="eastAsia" w:eastAsia="黑体"/>
          <w:sz w:val="32"/>
          <w:szCs w:val="32"/>
        </w:rPr>
      </w:pPr>
    </w:p>
    <w:p>
      <w:pPr>
        <w:spacing w:line="600" w:lineRule="exact"/>
        <w:rPr>
          <w:rFonts w:hint="eastAsia" w:eastAsia="黑体"/>
          <w:sz w:val="32"/>
          <w:szCs w:val="32"/>
        </w:rPr>
      </w:pPr>
    </w:p>
    <w:p>
      <w:pPr>
        <w:spacing w:line="600" w:lineRule="exact"/>
        <w:rPr>
          <w:rFonts w:eastAsia="黑体"/>
          <w:sz w:val="32"/>
          <w:szCs w:val="32"/>
        </w:rPr>
      </w:pPr>
      <w:r>
        <w:rPr>
          <w:rFonts w:hint="eastAsia" w:eastAsia="黑体"/>
          <w:sz w:val="32"/>
          <w:szCs w:val="32"/>
        </w:rPr>
        <w:t>附件</w:t>
      </w:r>
      <w:r>
        <w:rPr>
          <w:rFonts w:eastAsia="黑体"/>
          <w:sz w:val="32"/>
          <w:szCs w:val="32"/>
        </w:rPr>
        <w:t>4-1</w:t>
      </w:r>
    </w:p>
    <w:p>
      <w:pPr>
        <w:spacing w:line="400" w:lineRule="exact"/>
        <w:rPr>
          <w:rFonts w:eastAsia="黑体"/>
          <w:sz w:val="32"/>
          <w:szCs w:val="32"/>
        </w:rPr>
      </w:pPr>
      <w:bookmarkStart w:id="0" w:name="_GoBack"/>
      <w:bookmarkEnd w:id="0"/>
    </w:p>
    <w:p>
      <w:pPr>
        <w:spacing w:afterLines="50" w:line="400" w:lineRule="exact"/>
        <w:jc w:val="center"/>
        <w:rPr>
          <w:rFonts w:eastAsia="方正小标宋_GBK"/>
          <w:bCs/>
          <w:sz w:val="36"/>
          <w:szCs w:val="36"/>
        </w:rPr>
      </w:pPr>
      <w:r>
        <w:rPr>
          <w:rFonts w:hint="eastAsia" w:eastAsia="方正小标宋_GBK"/>
          <w:bCs/>
          <w:sz w:val="36"/>
          <w:szCs w:val="36"/>
        </w:rPr>
        <w:t>预算支出绩效评价共性指标体系框架</w:t>
      </w:r>
    </w:p>
    <w:tbl>
      <w:tblPr>
        <w:tblStyle w:val="5"/>
        <w:tblW w:w="9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77"/>
        <w:gridCol w:w="674"/>
        <w:gridCol w:w="1071"/>
        <w:gridCol w:w="1975"/>
        <w:gridCol w:w="4482"/>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777"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674"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二级</w:t>
            </w:r>
            <w:r>
              <w:rPr>
                <w:rFonts w:ascii="仿宋_GB2312" w:eastAsia="仿宋_GB2312"/>
                <w:b/>
                <w:bCs/>
                <w:szCs w:val="21"/>
              </w:rPr>
              <w:br w:type="textWrapping"/>
            </w:r>
            <w:r>
              <w:rPr>
                <w:rFonts w:hint="eastAsia" w:ascii="仿宋_GB2312" w:eastAsia="仿宋_GB2312"/>
                <w:b/>
                <w:bCs/>
                <w:szCs w:val="21"/>
              </w:rPr>
              <w:t>指标</w:t>
            </w:r>
          </w:p>
        </w:tc>
        <w:tc>
          <w:tcPr>
            <w:tcW w:w="107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三级指标</w:t>
            </w:r>
          </w:p>
        </w:tc>
        <w:tc>
          <w:tcPr>
            <w:tcW w:w="1975"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评分及标准</w:t>
            </w:r>
          </w:p>
        </w:tc>
        <w:tc>
          <w:tcPr>
            <w:tcW w:w="4482"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指标说明</w:t>
            </w:r>
          </w:p>
        </w:tc>
        <w:tc>
          <w:tcPr>
            <w:tcW w:w="954" w:type="dxa"/>
            <w:vAlign w:val="center"/>
          </w:tcPr>
          <w:p>
            <w:pPr>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决</w:t>
            </w:r>
          </w:p>
          <w:p>
            <w:pPr>
              <w:jc w:val="center"/>
              <w:rPr>
                <w:rFonts w:ascii="仿宋_GB2312" w:eastAsia="仿宋_GB2312"/>
                <w:szCs w:val="21"/>
              </w:rPr>
            </w:pPr>
            <w:r>
              <w:rPr>
                <w:rFonts w:hint="eastAsia" w:ascii="仿宋_GB2312" w:eastAsia="仿宋_GB2312"/>
                <w:szCs w:val="21"/>
              </w:rPr>
              <w:t>策</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预算支出决策</w:t>
            </w:r>
          </w:p>
          <w:p>
            <w:pPr>
              <w:jc w:val="center"/>
              <w:rPr>
                <w:rFonts w:ascii="仿宋_GB2312" w:eastAsia="仿宋_GB2312"/>
                <w:szCs w:val="21"/>
              </w:rPr>
            </w:pPr>
            <w:r>
              <w:rPr>
                <w:rFonts w:hint="eastAsia" w:ascii="仿宋_GB2312" w:eastAsia="仿宋_GB2312"/>
                <w:szCs w:val="21"/>
              </w:rPr>
              <w:t>（项目立项）（</w:t>
            </w:r>
            <w:r>
              <w:rPr>
                <w:rFonts w:ascii="仿宋_GB2312" w:eastAsia="仿宋_GB2312"/>
                <w:szCs w:val="21"/>
              </w:rPr>
              <w:t>4</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预算支出决策（项目立项）依据</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充分性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决策（立项）是否符合国家相关法律法规、国民经济发展规划和相关政策；</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决策（立项）是否符合行业发展规划和政策要求；</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决策（立项）是否与部门职责范围相符，属于部门履职所需；</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预算支出是否属于公共财政支持范围，是否符合中央、地方事权支出责任划分原则；</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⑤</w:t>
            </w:r>
            <w:r>
              <w:rPr>
                <w:rFonts w:hint="eastAsia" w:ascii="仿宋_GB2312" w:eastAsia="仿宋_GB2312"/>
                <w:szCs w:val="21"/>
              </w:rPr>
              <w:t>预算支出是否与相关部门同类预算支出或部门内部相关预算支出重复。</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5"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决策（立项）程序规范性</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9"/>
              <w:numPr>
                <w:ilvl w:val="0"/>
                <w:numId w:val="3"/>
              </w:numPr>
              <w:spacing w:line="260" w:lineRule="exact"/>
              <w:ind w:firstLineChars="0"/>
              <w:rPr>
                <w:rFonts w:ascii="仿宋_GB2312" w:eastAsia="仿宋_GB2312"/>
                <w:szCs w:val="21"/>
              </w:rPr>
            </w:pPr>
            <w:r>
              <w:rPr>
                <w:rFonts w:hint="eastAsia" w:ascii="仿宋_GB2312" w:eastAsia="仿宋_GB2312"/>
                <w:szCs w:val="21"/>
              </w:rPr>
              <w:t>预算支出是否按照规定的程序申请设立；</w:t>
            </w:r>
          </w:p>
          <w:p>
            <w:pPr>
              <w:pStyle w:val="9"/>
              <w:numPr>
                <w:ilvl w:val="0"/>
                <w:numId w:val="3"/>
              </w:numPr>
              <w:spacing w:line="260" w:lineRule="exact"/>
              <w:ind w:firstLineChars="0"/>
              <w:rPr>
                <w:rFonts w:ascii="仿宋_GB2312" w:eastAsia="仿宋_GB2312"/>
                <w:szCs w:val="21"/>
              </w:rPr>
            </w:pPr>
            <w:r>
              <w:rPr>
                <w:rFonts w:hint="eastAsia" w:ascii="仿宋_GB2312" w:eastAsia="仿宋_GB2312"/>
                <w:szCs w:val="21"/>
              </w:rPr>
              <w:t>审批文件、材料是否符合相关要求；</w:t>
            </w:r>
          </w:p>
          <w:p>
            <w:pPr>
              <w:spacing w:line="260" w:lineRule="exact"/>
              <w:ind w:left="105" w:lef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事前是否已经过必要的可行性研究、专家论证、风险评估、绩效评估、集体决策。</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73"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绩效</w:t>
            </w:r>
          </w:p>
          <w:p>
            <w:pPr>
              <w:jc w:val="center"/>
              <w:rPr>
                <w:rFonts w:ascii="仿宋_GB2312" w:eastAsia="仿宋_GB2312"/>
                <w:szCs w:val="21"/>
              </w:rPr>
            </w:pPr>
            <w:r>
              <w:rPr>
                <w:rFonts w:hint="eastAsia" w:ascii="仿宋_GB2312" w:eastAsia="仿宋_GB2312"/>
                <w:szCs w:val="21"/>
              </w:rPr>
              <w:t>目标（</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绩效目标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eastAsia="仿宋_GB2312"/>
                <w:szCs w:val="21"/>
              </w:rPr>
              <w:t>（如未设定预算绩效目标，也可考核其他工作任务目标）</w:t>
            </w:r>
          </w:p>
          <w:p>
            <w:pPr>
              <w:pStyle w:val="9"/>
              <w:numPr>
                <w:ilvl w:val="0"/>
                <w:numId w:val="4"/>
              </w:numPr>
              <w:spacing w:line="260" w:lineRule="exact"/>
              <w:ind w:right="105" w:rightChars="50" w:firstLineChars="0"/>
              <w:rPr>
                <w:rFonts w:ascii="仿宋_GB2312" w:eastAsia="仿宋_GB2312"/>
                <w:szCs w:val="21"/>
              </w:rPr>
            </w:pPr>
            <w:r>
              <w:rPr>
                <w:rFonts w:hint="eastAsia" w:ascii="仿宋_GB2312" w:eastAsia="仿宋_GB2312"/>
                <w:szCs w:val="21"/>
              </w:rPr>
              <w:t>预算支出是否有绩效目标；</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预算支出绩效目标与实际工作内容是否具有相关性；</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预算支出预期产出效益和效果是否符合正常的业绩水平；是否与预算确定的预算支出投资额或资金量相匹配。</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绩效指标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是否将预算支出绩效目标细化分解为具体的绩效指标；</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是否通过清晰、可衡量的指标值体现。</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是否与预算支出目标任务数相对应。</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资金</w:t>
            </w:r>
          </w:p>
          <w:p>
            <w:pPr>
              <w:jc w:val="center"/>
              <w:rPr>
                <w:rFonts w:ascii="仿宋_GB2312" w:eastAsia="仿宋_GB2312"/>
                <w:szCs w:val="21"/>
              </w:rPr>
            </w:pPr>
            <w:r>
              <w:rPr>
                <w:rFonts w:hint="eastAsia" w:ascii="仿宋_GB2312" w:eastAsia="仿宋_GB2312"/>
                <w:szCs w:val="21"/>
              </w:rPr>
              <w:t>投入（</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预算编制</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科学性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9"/>
              <w:numPr>
                <w:ilvl w:val="0"/>
                <w:numId w:val="5"/>
              </w:numPr>
              <w:spacing w:line="260" w:lineRule="exact"/>
              <w:ind w:right="105" w:rightChars="50" w:firstLineChars="0"/>
              <w:rPr>
                <w:rFonts w:ascii="仿宋_GB2312" w:eastAsia="仿宋_GB2312"/>
                <w:szCs w:val="21"/>
              </w:rPr>
            </w:pPr>
            <w:r>
              <w:rPr>
                <w:rFonts w:hint="eastAsia" w:ascii="仿宋_GB2312" w:eastAsia="仿宋_GB2312"/>
                <w:szCs w:val="21"/>
              </w:rPr>
              <w:t>预算编制是否经过科学论证；</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预算内容与支出内容是否匹配；</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预算额度测算依据是否充分，是否按照标准编制；</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预算确定的预算支出投资额或资金量是否与工作任务相匹配</w:t>
            </w:r>
            <w:r>
              <w:rPr>
                <w:rFonts w:ascii="仿宋_GB2312" w:eastAsia="仿宋_GB2312"/>
                <w:szCs w:val="21"/>
              </w:rPr>
              <w:t>1</w:t>
            </w:r>
            <w:r>
              <w:rPr>
                <w:rFonts w:hint="eastAsia" w:ascii="仿宋_GB2312" w:eastAsia="仿宋_GB2312"/>
                <w:szCs w:val="21"/>
              </w:rPr>
              <w:t>分。</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资金分配</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9"/>
              <w:numPr>
                <w:ilvl w:val="0"/>
                <w:numId w:val="6"/>
              </w:numPr>
              <w:spacing w:line="260" w:lineRule="exact"/>
              <w:ind w:right="105" w:rightChars="50" w:firstLineChars="0"/>
              <w:rPr>
                <w:rFonts w:ascii="仿宋_GB2312" w:eastAsia="仿宋_GB2312"/>
                <w:szCs w:val="21"/>
              </w:rPr>
            </w:pPr>
            <w:r>
              <w:rPr>
                <w:rFonts w:hint="eastAsia" w:ascii="仿宋_GB2312" w:eastAsia="仿宋_GB2312"/>
                <w:szCs w:val="21"/>
              </w:rPr>
              <w:t>预算资金分配依据是否充分；</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资金分配额度是否合理，与项目实施单位或地方实际是否相适应。</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2" w:hRule="atLeast"/>
          <w:jc w:val="center"/>
        </w:trPr>
        <w:tc>
          <w:tcPr>
            <w:tcW w:w="777" w:type="dxa"/>
            <w:vMerge w:val="restart"/>
            <w:vAlign w:val="center"/>
          </w:tcPr>
          <w:p>
            <w:pPr>
              <w:jc w:val="center"/>
              <w:rPr>
                <w:rFonts w:ascii="仿宋_GB2312" w:eastAsia="仿宋_GB2312"/>
                <w:szCs w:val="21"/>
              </w:rPr>
            </w:pPr>
            <w:r>
              <w:rPr>
                <w:rFonts w:hint="eastAsia" w:ascii="仿宋_GB2312" w:eastAsia="仿宋_GB2312"/>
                <w:szCs w:val="21"/>
              </w:rPr>
              <w:t>过</w:t>
            </w: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资金</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到位率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w:t>
            </w:r>
            <w:r>
              <w:rPr>
                <w:rFonts w:hint="eastAsia" w:ascii="仿宋_GB2312" w:eastAsia="仿宋_GB2312"/>
                <w:szCs w:val="21"/>
              </w:rPr>
              <w:t>预算资金）×</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实际到位资金：一定时期（本年度或预算支出期）内落实到具体预算支出的资金。</w:t>
            </w:r>
            <w:r>
              <w:rPr>
                <w:rFonts w:ascii="仿宋_GB2312" w:eastAsia="仿宋_GB2312"/>
                <w:szCs w:val="21"/>
              </w:rPr>
              <w:br w:type="textWrapping"/>
            </w:r>
            <w:r>
              <w:rPr>
                <w:rFonts w:hint="eastAsia" w:ascii="仿宋_GB2312" w:eastAsia="仿宋_GB2312"/>
                <w:szCs w:val="21"/>
              </w:rPr>
              <w:t>预算资金：一定时期（本年度或预算支出期）内预算安排到具体预算支出的资金。</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5" w:hRule="atLeast"/>
          <w:jc w:val="center"/>
        </w:trPr>
        <w:tc>
          <w:tcPr>
            <w:tcW w:w="777" w:type="dxa"/>
            <w:vMerge w:val="continue"/>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（实际支出资金</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100%</w:t>
            </w:r>
            <w:r>
              <w:rPr>
                <w:rFonts w:hint="eastAsia" w:ascii="仿宋_GB2312" w:eastAsia="仿宋_GB2312"/>
                <w:szCs w:val="21"/>
              </w:rPr>
              <w:t>。</w:t>
            </w:r>
          </w:p>
          <w:p>
            <w:pPr>
              <w:spacing w:line="260" w:lineRule="exact"/>
              <w:ind w:left="105" w:leftChars="50" w:right="105" w:rightChars="50"/>
              <w:rPr>
                <w:rFonts w:ascii="仿宋_GB2312" w:eastAsia="仿宋_GB2312"/>
                <w:szCs w:val="21"/>
              </w:rPr>
            </w:pPr>
            <w:r>
              <w:rPr>
                <w:rFonts w:hint="eastAsia" w:ascii="仿宋_GB2312" w:eastAsia="仿宋_GB2312"/>
                <w:szCs w:val="21"/>
              </w:rPr>
              <w:t>实际支出资金：一定时期（本年度或预算支出期）内预算支出实际拨付的资金。</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jc w:val="cente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资金使用</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是否符合国家财经法规和财务管理制度以及有关专项资金管理办法的规定；</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是否符合预算支出预算批复或合同规定的用途；</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是否存在截留、挤占、挪用、虐列支出等情况。</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组织</w:t>
            </w:r>
          </w:p>
          <w:p>
            <w:pPr>
              <w:jc w:val="center"/>
              <w:rPr>
                <w:rFonts w:ascii="仿宋_GB2312" w:eastAsia="仿宋_GB2312"/>
                <w:szCs w:val="21"/>
              </w:rPr>
            </w:pPr>
            <w:r>
              <w:rPr>
                <w:rFonts w:hint="eastAsia" w:ascii="仿宋_GB2312" w:eastAsia="仿宋_GB2312"/>
                <w:szCs w:val="21"/>
              </w:rPr>
              <w:t>实施（</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管理制度</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是否已制定或具有相应的业务管理制度；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财务和业务管理制度是否合法、合规、完整。</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制度执行</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有效性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是否遵守相关法律法规和相关管理规定；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预算支出调整及支出调整手续是否完备；</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预算支出合同书、验收报告、技术鉴定等资料是否齐全并及时归档；</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预算支出实施的人员条件、场地设备、信息支撑等是否落实到位。</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81"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w:t>
            </w:r>
            <w:r>
              <w:rPr>
                <w:rFonts w:ascii="仿宋_GB2312" w:eastAsia="仿宋_GB2312"/>
                <w:szCs w:val="21"/>
              </w:rPr>
              <w:t xml:space="preserve">   </w:t>
            </w:r>
          </w:p>
          <w:p>
            <w:pPr>
              <w:jc w:val="center"/>
              <w:rPr>
                <w:rFonts w:ascii="仿宋_GB2312" w:eastAsia="仿宋_GB2312"/>
                <w:szCs w:val="21"/>
              </w:rPr>
            </w:pPr>
            <w:r>
              <w:rPr>
                <w:rFonts w:hint="eastAsia" w:ascii="仿宋_GB2312" w:eastAsia="仿宋_GB2312"/>
                <w:szCs w:val="21"/>
              </w:rPr>
              <w:t>出</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w:t>
            </w: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数量（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实际</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w:t>
            </w:r>
            <w:r>
              <w:rPr>
                <w:rFonts w:hint="eastAsia" w:ascii="仿宋_GB2312" w:eastAsia="仿宋_GB2312"/>
                <w:szCs w:val="21"/>
              </w:rPr>
              <w:t>计划产出数）×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实际产出数：一定时期（本年度或预算支出期）内预算支出实际产出的产品或提供的服务数量。</w:t>
            </w:r>
            <w:r>
              <w:rPr>
                <w:rFonts w:ascii="仿宋_GB2312" w:eastAsia="仿宋_GB2312"/>
                <w:szCs w:val="21"/>
              </w:rPr>
              <w:br w:type="textWrapping"/>
            </w:r>
            <w:r>
              <w:rPr>
                <w:rFonts w:hint="eastAsia" w:ascii="仿宋_GB2312" w:eastAsia="仿宋_GB2312"/>
                <w:szCs w:val="21"/>
              </w:rPr>
              <w:t>计划产出数：预算支出绩效目标确定的在一定时期（本年度或预算支出期）内计划产出的产品或提供的服务数量。</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质量（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质量</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（质量达标产出数</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产出数：一定时期（本年度或预算支出期）内实际达到既定质量标准的产品或服务数量。既定质量标准是指预算支出实施单位设立绩效目标时依据计划标准、行业标准、历史标准或其他标准而设定的绩效指标值。</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5" w:hRule="atLeast"/>
          <w:jc w:val="center"/>
        </w:trPr>
        <w:tc>
          <w:tcPr>
            <w:tcW w:w="777" w:type="dxa"/>
            <w:vMerge w:val="continue"/>
            <w:vAlign w:val="center"/>
          </w:tcPr>
          <w:p>
            <w:pPr>
              <w:rPr>
                <w:rFonts w:ascii="仿宋_GB2312" w:eastAsia="仿宋_GB2312"/>
                <w:szCs w:val="21"/>
              </w:rPr>
            </w:pPr>
          </w:p>
        </w:tc>
        <w:tc>
          <w:tcPr>
            <w:tcW w:w="674" w:type="dxa"/>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时效（</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及时性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达到绩效目标完成时间计</w:t>
            </w:r>
            <w:r>
              <w:rPr>
                <w:rFonts w:ascii="仿宋_GB2312" w:eastAsia="仿宋_GB2312"/>
                <w:szCs w:val="21"/>
              </w:rPr>
              <w:t>5</w:t>
            </w:r>
            <w:r>
              <w:rPr>
                <w:rFonts w:hint="eastAsia" w:ascii="仿宋_GB2312" w:eastAsia="仿宋_GB2312"/>
                <w:szCs w:val="21"/>
              </w:rPr>
              <w:t>分，超过</w:t>
            </w:r>
            <w:r>
              <w:rPr>
                <w:rFonts w:ascii="仿宋_GB2312" w:eastAsia="仿宋_GB2312"/>
                <w:szCs w:val="21"/>
              </w:rPr>
              <w:t>30%</w:t>
            </w:r>
            <w:r>
              <w:rPr>
                <w:rFonts w:hint="eastAsia" w:ascii="仿宋_GB2312" w:eastAsia="仿宋_GB2312"/>
                <w:szCs w:val="21"/>
              </w:rPr>
              <w:t>的不计分。</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实际完成时间：预算支出实施单位完成该预算支出实际所耗用的时间。</w:t>
            </w:r>
            <w:r>
              <w:rPr>
                <w:rFonts w:ascii="仿宋_GB2312" w:eastAsia="仿宋_GB2312"/>
                <w:szCs w:val="21"/>
              </w:rPr>
              <w:br w:type="textWrapping"/>
            </w:r>
            <w:r>
              <w:rPr>
                <w:rFonts w:hint="eastAsia" w:ascii="仿宋_GB2312" w:eastAsia="仿宋_GB2312"/>
                <w:szCs w:val="21"/>
              </w:rPr>
              <w:t>计划完成时间：按照预算支出实施计划或相关规定完成该预算支出所需的时间。</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Align w:val="center"/>
          </w:tcPr>
          <w:p>
            <w:pPr>
              <w:ind w:left="113"/>
              <w:jc w:val="center"/>
              <w:rPr>
                <w:rFonts w:ascii="仿宋_GB2312" w:eastAsia="仿宋_GB2312"/>
                <w:szCs w:val="21"/>
              </w:rPr>
            </w:pPr>
            <w:r>
              <w:rPr>
                <w:rFonts w:hint="eastAsia" w:ascii="仿宋_GB2312" w:eastAsia="仿宋_GB2312"/>
                <w:szCs w:val="21"/>
              </w:rPr>
              <w:t>产</w:t>
            </w:r>
            <w:r>
              <w:rPr>
                <w:rFonts w:ascii="仿宋_GB2312" w:eastAsia="仿宋_GB2312"/>
                <w:szCs w:val="21"/>
              </w:rPr>
              <w:t xml:space="preserve">   </w:t>
            </w:r>
            <w:r>
              <w:rPr>
                <w:rFonts w:hint="eastAsia" w:ascii="仿宋_GB2312" w:eastAsia="仿宋_GB2312"/>
                <w:szCs w:val="21"/>
              </w:rPr>
              <w:t>出</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w:t>
            </w:r>
          </w:p>
        </w:tc>
        <w:tc>
          <w:tcPr>
            <w:tcW w:w="674" w:type="dxa"/>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成本（</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成本</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节约率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2</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成本节约率</w:t>
            </w:r>
            <w:r>
              <w:rPr>
                <w:rFonts w:ascii="仿宋_GB2312" w:eastAsia="仿宋_GB2312"/>
                <w:szCs w:val="21"/>
              </w:rPr>
              <w:t>=[</w:t>
            </w:r>
            <w:r>
              <w:rPr>
                <w:rFonts w:hint="eastAsia" w:ascii="仿宋_GB2312" w:eastAsia="仿宋_GB2312"/>
                <w:szCs w:val="21"/>
              </w:rPr>
              <w:t>（计划成本</w:t>
            </w:r>
            <w:r>
              <w:rPr>
                <w:rFonts w:ascii="仿宋_GB2312" w:eastAsia="仿宋_GB2312"/>
                <w:szCs w:val="21"/>
              </w:rPr>
              <w:t>-</w:t>
            </w:r>
            <w:r>
              <w:rPr>
                <w:rFonts w:hint="eastAsia" w:ascii="仿宋_GB2312" w:eastAsia="仿宋_GB2312"/>
                <w:szCs w:val="21"/>
              </w:rPr>
              <w:t>实际成本）</w:t>
            </w:r>
            <w:r>
              <w:rPr>
                <w:rFonts w:ascii="仿宋_GB2312" w:eastAsia="仿宋_GB2312"/>
                <w:szCs w:val="21"/>
              </w:rPr>
              <w:t>/</w:t>
            </w:r>
            <w:r>
              <w:rPr>
                <w:rFonts w:hint="eastAsia" w:ascii="仿宋_GB2312" w:eastAsia="仿宋_GB2312"/>
                <w:szCs w:val="21"/>
              </w:rPr>
              <w:t>计划成本</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实际成本：预算支出实施单位如期、保质、保量完成既定工作目标实际所耗费的支出。</w:t>
            </w:r>
            <w:r>
              <w:rPr>
                <w:rFonts w:ascii="仿宋_GB2312" w:eastAsia="仿宋_GB2312"/>
                <w:szCs w:val="21"/>
              </w:rPr>
              <w:br w:type="textWrapping"/>
            </w:r>
            <w:r>
              <w:rPr>
                <w:rFonts w:hint="eastAsia" w:ascii="仿宋_GB2312" w:eastAsia="仿宋_GB2312"/>
                <w:szCs w:val="21"/>
              </w:rPr>
              <w:t>计划成本：预算支出实施单位为完成工作目标计划安排的支出，一般以预算支出预算为参考。</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效</w:t>
            </w:r>
          </w:p>
          <w:p>
            <w:pPr>
              <w:jc w:val="center"/>
              <w:rPr>
                <w:rFonts w:ascii="仿宋_GB2312" w:eastAsia="仿宋_GB2312"/>
                <w:szCs w:val="21"/>
              </w:rPr>
            </w:pPr>
            <w:r>
              <w:rPr>
                <w:rFonts w:hint="eastAsia" w:ascii="仿宋_GB2312" w:eastAsia="仿宋_GB2312"/>
                <w:szCs w:val="21"/>
              </w:rPr>
              <w:t>益</w:t>
            </w:r>
          </w:p>
          <w:p>
            <w:pPr>
              <w:jc w:val="center"/>
              <w:rPr>
                <w:rFonts w:ascii="仿宋_GB2312" w:eastAsia="仿宋_GB2312"/>
                <w:szCs w:val="21"/>
              </w:rPr>
            </w:pPr>
            <w:r>
              <w:rPr>
                <w:rFonts w:hint="eastAsia" w:ascii="仿宋_GB2312" w:eastAsia="仿宋_GB2312"/>
                <w:szCs w:val="21"/>
              </w:rPr>
              <w:t>（</w:t>
            </w:r>
            <w:r>
              <w:rPr>
                <w:rFonts w:ascii="仿宋_GB2312" w:eastAsia="仿宋_GB2312"/>
                <w:szCs w:val="21"/>
              </w:rPr>
              <w:t>30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预算支出</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实施效益（</w:t>
            </w:r>
            <w:r>
              <w:rPr>
                <w:rFonts w:ascii="仿宋_GB2312" w:eastAsia="仿宋_GB2312"/>
                <w:szCs w:val="21"/>
              </w:rPr>
              <w:t>20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达到绩效目标完成时间计</w:t>
            </w:r>
            <w:r>
              <w:rPr>
                <w:rFonts w:ascii="仿宋_GB2312" w:eastAsia="仿宋_GB2312"/>
                <w:szCs w:val="21"/>
              </w:rPr>
              <w:t>5</w:t>
            </w:r>
            <w:r>
              <w:rPr>
                <w:rFonts w:hint="eastAsia" w:ascii="仿宋_GB2312" w:eastAsia="仿宋_GB2312"/>
                <w:szCs w:val="21"/>
              </w:rPr>
              <w:t>分，少于</w:t>
            </w:r>
            <w:r>
              <w:rPr>
                <w:rFonts w:ascii="仿宋_GB2312" w:eastAsia="仿宋_GB2312"/>
                <w:szCs w:val="21"/>
              </w:rPr>
              <w:t>60%</w:t>
            </w:r>
            <w:r>
              <w:rPr>
                <w:rFonts w:hint="eastAsia" w:ascii="仿宋_GB2312" w:eastAsia="仿宋_GB2312"/>
                <w:szCs w:val="21"/>
              </w:rPr>
              <w:t>的不计分。</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预算支出实施所产生的社会效益、经济效益、生态效益、可持续影响等。可根据预算支出实际情况有选择地设置和细化。</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社会公众</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或服务对</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象满意度（</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ascii="仿宋_GB2312" w:eastAsia="仿宋_GB2312"/>
                <w:szCs w:val="21"/>
              </w:rPr>
              <w:t>100%</w:t>
            </w:r>
            <w:r>
              <w:rPr>
                <w:rFonts w:hint="eastAsia" w:ascii="仿宋_GB2312" w:eastAsia="仿宋_GB2312"/>
                <w:szCs w:val="21"/>
              </w:rPr>
              <w:t>计满分，每下降五个百分点扣</w:t>
            </w:r>
            <w:r>
              <w:rPr>
                <w:rFonts w:ascii="仿宋_GB2312" w:eastAsia="仿宋_GB2312"/>
                <w:szCs w:val="21"/>
              </w:rPr>
              <w:t>2</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社会公众或服务对象是指因该预算支出实施而受到影响的部门、群体或个人。一般采取社会调查的方式。</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10</w:t>
            </w:r>
          </w:p>
        </w:tc>
      </w:tr>
    </w:tbl>
    <w:p>
      <w:pPr>
        <w:widowControl/>
        <w:spacing w:line="600" w:lineRule="exact"/>
        <w:ind w:firstLine="420" w:firstLineChars="200"/>
        <w:jc w:val="left"/>
        <w:rPr>
          <w:rFonts w:eastAsia="黑体"/>
          <w:sz w:val="32"/>
          <w:szCs w:val="32"/>
        </w:rPr>
      </w:pPr>
      <w:r>
        <w:br w:type="page"/>
      </w:r>
      <w:r>
        <w:rPr>
          <w:rFonts w:hint="eastAsia" w:eastAsia="黑体"/>
          <w:sz w:val="32"/>
          <w:szCs w:val="32"/>
        </w:rPr>
        <w:t>附件</w:t>
      </w:r>
      <w:r>
        <w:rPr>
          <w:rFonts w:eastAsia="黑体"/>
          <w:sz w:val="32"/>
          <w:szCs w:val="32"/>
        </w:rPr>
        <w:t>4-2</w:t>
      </w:r>
    </w:p>
    <w:tbl>
      <w:tblPr>
        <w:tblStyle w:val="5"/>
        <w:tblW w:w="9999" w:type="dxa"/>
        <w:jc w:val="center"/>
        <w:tblLayout w:type="autofit"/>
        <w:tblCellMar>
          <w:top w:w="0" w:type="dxa"/>
          <w:left w:w="108" w:type="dxa"/>
          <w:bottom w:w="0" w:type="dxa"/>
          <w:right w:w="108" w:type="dxa"/>
        </w:tblCellMar>
      </w:tblPr>
      <w:tblGrid>
        <w:gridCol w:w="1135"/>
        <w:gridCol w:w="992"/>
        <w:gridCol w:w="1261"/>
        <w:gridCol w:w="1224"/>
        <w:gridCol w:w="1134"/>
        <w:gridCol w:w="1134"/>
        <w:gridCol w:w="828"/>
        <w:gridCol w:w="873"/>
        <w:gridCol w:w="1418"/>
      </w:tblGrid>
      <w:tr>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noWrap/>
            <w:vAlign w:val="center"/>
          </w:tcPr>
          <w:p>
            <w:pPr>
              <w:widowControl/>
              <w:spacing w:line="400" w:lineRule="exact"/>
              <w:jc w:val="center"/>
              <w:rPr>
                <w:rFonts w:eastAsia="方正小标宋_GBK"/>
                <w:color w:val="000000"/>
                <w:kern w:val="0"/>
                <w:sz w:val="36"/>
                <w:szCs w:val="36"/>
              </w:rPr>
            </w:pPr>
            <w:r>
              <w:rPr>
                <w:rFonts w:hint="eastAsia" w:eastAsia="方正小标宋_GBK"/>
                <w:color w:val="000000"/>
                <w:kern w:val="0"/>
                <w:sz w:val="36"/>
                <w:szCs w:val="36"/>
              </w:rPr>
              <w:t>预算支出绩效自评表</w:t>
            </w:r>
          </w:p>
        </w:tc>
      </w:tr>
      <w:tr>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noWrap/>
            <w:vAlign w:val="center"/>
          </w:tcPr>
          <w:p>
            <w:pPr>
              <w:widowControl/>
              <w:spacing w:line="320" w:lineRule="exact"/>
              <w:jc w:val="center"/>
              <w:rPr>
                <w:color w:val="000000"/>
                <w:kern w:val="0"/>
                <w:sz w:val="22"/>
              </w:rPr>
            </w:pPr>
            <w:r>
              <w:rPr>
                <w:rFonts w:hint="eastAsia"/>
                <w:color w:val="000000"/>
                <w:kern w:val="0"/>
                <w:sz w:val="22"/>
              </w:rPr>
              <w:t>（</w:t>
            </w:r>
            <w:r>
              <w:rPr>
                <w:color w:val="000000"/>
                <w:kern w:val="0"/>
                <w:sz w:val="22"/>
              </w:rPr>
              <w:t xml:space="preserve">  </w:t>
            </w:r>
            <w:r>
              <w:rPr>
                <w:rFonts w:hint="eastAsia"/>
                <w:color w:val="000000"/>
                <w:kern w:val="0"/>
                <w:sz w:val="22"/>
              </w:rPr>
              <w:t>2020</w:t>
            </w:r>
            <w:r>
              <w:rPr>
                <w:color w:val="000000"/>
                <w:kern w:val="0"/>
                <w:sz w:val="22"/>
              </w:rPr>
              <w:t xml:space="preserve"> </w:t>
            </w:r>
            <w:r>
              <w:rPr>
                <w:rFonts w:hint="eastAsia"/>
                <w:color w:val="000000"/>
                <w:kern w:val="0"/>
                <w:sz w:val="22"/>
              </w:rPr>
              <w:t>年度）</w:t>
            </w:r>
          </w:p>
        </w:tc>
      </w:tr>
      <w:tr>
        <w:tblPrEx>
          <w:tblCellMar>
            <w:top w:w="0" w:type="dxa"/>
            <w:left w:w="108" w:type="dxa"/>
            <w:bottom w:w="0" w:type="dxa"/>
            <w:right w:w="108" w:type="dxa"/>
          </w:tblCellMar>
        </w:tblPrEx>
        <w:trPr>
          <w:trHeight w:val="532"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项目支</w:t>
            </w:r>
          </w:p>
          <w:p>
            <w:pPr>
              <w:widowControl/>
              <w:spacing w:line="320" w:lineRule="exact"/>
              <w:jc w:val="center"/>
              <w:rPr>
                <w:rFonts w:eastAsia="仿宋_GB2312"/>
                <w:color w:val="000000"/>
                <w:kern w:val="0"/>
                <w:szCs w:val="21"/>
              </w:rPr>
            </w:pPr>
            <w:r>
              <w:rPr>
                <w:rFonts w:hint="eastAsia"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2020年度部门整体支出　</w:t>
            </w:r>
          </w:p>
        </w:tc>
      </w:tr>
      <w:tr>
        <w:tblPrEx>
          <w:tblCellMar>
            <w:top w:w="0" w:type="dxa"/>
            <w:left w:w="108" w:type="dxa"/>
            <w:bottom w:w="0" w:type="dxa"/>
            <w:right w:w="108" w:type="dxa"/>
          </w:tblCellMar>
        </w:tblPrEx>
        <w:trPr>
          <w:trHeight w:val="340"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主管部门</w:t>
            </w:r>
          </w:p>
        </w:tc>
        <w:tc>
          <w:tcPr>
            <w:tcW w:w="4611" w:type="dxa"/>
            <w:gridSpan w:val="4"/>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辰溪县锦滨镇人民政府</w:t>
            </w:r>
          </w:p>
        </w:tc>
        <w:tc>
          <w:tcPr>
            <w:tcW w:w="1134" w:type="dxa"/>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辰溪县锦滨镇人民政府</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项目资金</w:t>
            </w:r>
            <w:r>
              <w:rPr>
                <w:rFonts w:eastAsia="仿宋_GB2312"/>
                <w:color w:val="000000"/>
                <w:kern w:val="0"/>
                <w:szCs w:val="21"/>
              </w:rPr>
              <w:br w:type="textWrapping"/>
            </w:r>
            <w:r>
              <w:rPr>
                <w:rFonts w:hint="eastAsia" w:eastAsia="仿宋_GB2312"/>
                <w:color w:val="000000"/>
                <w:kern w:val="0"/>
                <w:szCs w:val="21"/>
              </w:rPr>
              <w:t>（万元）</w:t>
            </w: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年初预算数</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全年预算数</w:t>
            </w:r>
          </w:p>
        </w:tc>
        <w:tc>
          <w:tcPr>
            <w:tcW w:w="1134"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全年执行数</w:t>
            </w:r>
          </w:p>
        </w:tc>
        <w:tc>
          <w:tcPr>
            <w:tcW w:w="82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分值</w:t>
            </w:r>
          </w:p>
        </w:tc>
        <w:tc>
          <w:tcPr>
            <w:tcW w:w="873"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执行率</w:t>
            </w:r>
          </w:p>
        </w:tc>
        <w:tc>
          <w:tcPr>
            <w:tcW w:w="141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得分</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年度资金总额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2049.76</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2049.76</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2049.76</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100</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其中：当年财政拨款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1759.41</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1759.41</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1759.41</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100</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上年结转资金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290.35</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290.35</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290.35</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100</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其他资金</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年度总</w:t>
            </w:r>
          </w:p>
          <w:p>
            <w:pPr>
              <w:widowControl/>
              <w:spacing w:line="320" w:lineRule="exact"/>
              <w:jc w:val="center"/>
              <w:rPr>
                <w:rFonts w:eastAsia="仿宋_GB2312"/>
                <w:color w:val="000000"/>
                <w:kern w:val="0"/>
                <w:szCs w:val="21"/>
              </w:rPr>
            </w:pPr>
            <w:r>
              <w:rPr>
                <w:rFonts w:hint="eastAsia" w:eastAsia="仿宋_GB2312"/>
                <w:color w:val="000000"/>
                <w:kern w:val="0"/>
                <w:szCs w:val="21"/>
              </w:rPr>
              <w:t>体目标</w:t>
            </w:r>
          </w:p>
        </w:tc>
        <w:tc>
          <w:tcPr>
            <w:tcW w:w="4611" w:type="dxa"/>
            <w:gridSpan w:val="4"/>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预期目标</w:t>
            </w:r>
          </w:p>
        </w:tc>
        <w:tc>
          <w:tcPr>
            <w:tcW w:w="4253" w:type="dxa"/>
            <w:gridSpan w:val="4"/>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实际完成情况　</w:t>
            </w:r>
          </w:p>
        </w:tc>
      </w:tr>
      <w:tr>
        <w:tblPrEx>
          <w:tblCellMar>
            <w:top w:w="0" w:type="dxa"/>
            <w:left w:w="108" w:type="dxa"/>
            <w:bottom w:w="0" w:type="dxa"/>
            <w:right w:w="108" w:type="dxa"/>
          </w:tblCellMar>
        </w:tblPrEx>
        <w:trPr>
          <w:trHeight w:val="1160" w:hRule="atLeast"/>
          <w:jc w:val="center"/>
        </w:trPr>
        <w:tc>
          <w:tcPr>
            <w:tcW w:w="1135"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4611" w:type="dxa"/>
            <w:gridSpan w:val="4"/>
            <w:tcBorders>
              <w:top w:val="single" w:color="auto" w:sz="4" w:space="0"/>
              <w:left w:val="nil"/>
              <w:bottom w:val="single" w:color="auto" w:sz="4" w:space="0"/>
              <w:right w:val="single" w:color="000000" w:sz="4" w:space="0"/>
            </w:tcBorders>
            <w:vAlign w:val="center"/>
          </w:tcPr>
          <w:p>
            <w:pPr>
              <w:widowControl/>
              <w:spacing w:line="320" w:lineRule="exact"/>
              <w:rPr>
                <w:rFonts w:eastAsia="仿宋_GB2312"/>
                <w:color w:val="000000"/>
                <w:kern w:val="0"/>
                <w:szCs w:val="21"/>
              </w:rPr>
            </w:pPr>
            <w:r>
              <w:rPr>
                <w:rFonts w:hint="eastAsia" w:eastAsia="仿宋_GB2312"/>
                <w:color w:val="000000"/>
                <w:kern w:val="0"/>
                <w:szCs w:val="21"/>
              </w:rPr>
              <w:t>贯彻执行规划建设，基础设施建设，稳定和完善农村基本经营管理全面实施下政府各项决策部署</w:t>
            </w:r>
          </w:p>
        </w:tc>
        <w:tc>
          <w:tcPr>
            <w:tcW w:w="4253" w:type="dxa"/>
            <w:gridSpan w:val="4"/>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已全部完成</w:t>
            </w:r>
          </w:p>
        </w:tc>
      </w:tr>
      <w:tr>
        <w:tblPrEx>
          <w:tblCellMar>
            <w:top w:w="0" w:type="dxa"/>
            <w:left w:w="108" w:type="dxa"/>
            <w:bottom w:w="0" w:type="dxa"/>
            <w:right w:w="108" w:type="dxa"/>
          </w:tblCellMar>
        </w:tblPrEx>
        <w:trPr>
          <w:trHeight w:val="888" w:hRule="atLeast"/>
          <w:jc w:val="center"/>
        </w:trPr>
        <w:tc>
          <w:tcPr>
            <w:tcW w:w="1135"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绩</w:t>
            </w:r>
          </w:p>
          <w:p>
            <w:pPr>
              <w:widowControl/>
              <w:spacing w:line="320" w:lineRule="exact"/>
              <w:jc w:val="center"/>
              <w:rPr>
                <w:rFonts w:eastAsia="仿宋_GB2312"/>
                <w:color w:val="000000"/>
                <w:kern w:val="0"/>
                <w:szCs w:val="21"/>
              </w:rPr>
            </w:pPr>
            <w:r>
              <w:rPr>
                <w:rFonts w:hint="eastAsia" w:eastAsia="仿宋_GB2312"/>
                <w:color w:val="000000"/>
                <w:kern w:val="0"/>
                <w:szCs w:val="21"/>
              </w:rPr>
              <w:t>效</w:t>
            </w:r>
          </w:p>
          <w:p>
            <w:pPr>
              <w:widowControl/>
              <w:spacing w:line="320" w:lineRule="exact"/>
              <w:jc w:val="center"/>
              <w:rPr>
                <w:rFonts w:eastAsia="仿宋_GB2312"/>
                <w:color w:val="000000"/>
                <w:kern w:val="0"/>
                <w:szCs w:val="21"/>
              </w:rPr>
            </w:pPr>
            <w:r>
              <w:rPr>
                <w:rFonts w:hint="eastAsia" w:eastAsia="仿宋_GB2312"/>
                <w:color w:val="000000"/>
                <w:kern w:val="0"/>
                <w:szCs w:val="21"/>
              </w:rPr>
              <w:t>指</w:t>
            </w:r>
          </w:p>
          <w:p>
            <w:pPr>
              <w:widowControl/>
              <w:spacing w:line="320" w:lineRule="exact"/>
              <w:jc w:val="center"/>
              <w:rPr>
                <w:rFonts w:eastAsia="仿宋_GB2312"/>
                <w:color w:val="000000"/>
                <w:kern w:val="0"/>
                <w:szCs w:val="21"/>
              </w:rPr>
            </w:pPr>
            <w:r>
              <w:rPr>
                <w:rFonts w:hint="eastAsia"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二级指标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三级指标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指标值</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w:t>
            </w:r>
          </w:p>
          <w:p>
            <w:pPr>
              <w:widowControl/>
              <w:spacing w:line="320" w:lineRule="exact"/>
              <w:jc w:val="center"/>
              <w:rPr>
                <w:rFonts w:eastAsia="仿宋_GB2312"/>
                <w:color w:val="000000"/>
                <w:kern w:val="0"/>
                <w:szCs w:val="21"/>
              </w:rPr>
            </w:pPr>
            <w:r>
              <w:rPr>
                <w:rFonts w:hint="eastAsia" w:eastAsia="仿宋_GB2312"/>
                <w:color w:val="000000"/>
                <w:kern w:val="0"/>
                <w:szCs w:val="21"/>
              </w:rPr>
              <w:t>完成值</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分值</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得分</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偏差原因</w:t>
            </w:r>
          </w:p>
          <w:p>
            <w:pPr>
              <w:widowControl/>
              <w:spacing w:line="320" w:lineRule="exact"/>
              <w:jc w:val="center"/>
              <w:rPr>
                <w:rFonts w:eastAsia="仿宋_GB2312"/>
                <w:color w:val="000000"/>
                <w:kern w:val="0"/>
                <w:szCs w:val="21"/>
              </w:rPr>
            </w:pPr>
            <w:r>
              <w:rPr>
                <w:rFonts w:hint="eastAsia" w:eastAsia="仿宋_GB2312"/>
                <w:color w:val="000000"/>
                <w:kern w:val="0"/>
                <w:szCs w:val="21"/>
              </w:rPr>
              <w:t>分析及</w:t>
            </w:r>
          </w:p>
          <w:p>
            <w:pPr>
              <w:widowControl/>
              <w:spacing w:line="320" w:lineRule="exact"/>
              <w:jc w:val="center"/>
              <w:rPr>
                <w:rFonts w:eastAsia="仿宋_GB2312"/>
                <w:color w:val="000000"/>
                <w:kern w:val="0"/>
                <w:szCs w:val="21"/>
              </w:rPr>
            </w:pPr>
            <w:r>
              <w:rPr>
                <w:rFonts w:hint="eastAsia" w:eastAsia="仿宋_GB2312"/>
                <w:color w:val="000000"/>
                <w:kern w:val="0"/>
                <w:szCs w:val="21"/>
              </w:rPr>
              <w:t>改进措施</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产出</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p>
          <w:p>
            <w:pPr>
              <w:widowControl/>
              <w:spacing w:line="320" w:lineRule="exact"/>
              <w:jc w:val="center"/>
              <w:rPr>
                <w:rFonts w:eastAsia="仿宋_GB2312"/>
                <w:color w:val="000000"/>
                <w:kern w:val="0"/>
                <w:szCs w:val="21"/>
              </w:rPr>
            </w:pPr>
            <w:r>
              <w:rPr>
                <w:rFonts w:eastAsia="仿宋_GB2312"/>
                <w:color w:val="000000"/>
                <w:kern w:val="0"/>
                <w:szCs w:val="21"/>
              </w:rPr>
              <w:t>(50</w:t>
            </w:r>
            <w:r>
              <w:rPr>
                <w:rFonts w:hint="eastAsia" w:eastAsia="仿宋_GB2312"/>
                <w:color w:val="000000"/>
                <w:kern w:val="0"/>
                <w:szCs w:val="21"/>
              </w:rPr>
              <w:t>分</w:t>
            </w:r>
            <w:r>
              <w:rPr>
                <w:rFonts w:eastAsia="仿宋_GB2312"/>
                <w:color w:val="000000"/>
                <w:kern w:val="0"/>
                <w:szCs w:val="21"/>
              </w:rPr>
              <w:t>)</w:t>
            </w:r>
          </w:p>
        </w:tc>
        <w:tc>
          <w:tcPr>
            <w:tcW w:w="1261"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数量指标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实际完成各项工作</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质量指标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实际完成各项工作的质量</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时效指标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完成时间</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2020年底</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2020年底</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886"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成本指标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完成各项工作的费用</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232.92</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232.92</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458"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效益</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left"/>
              <w:rPr>
                <w:rFonts w:eastAsia="仿宋_GB2312"/>
                <w:color w:val="000000"/>
                <w:kern w:val="0"/>
                <w:szCs w:val="21"/>
              </w:rPr>
            </w:pPr>
          </w:p>
          <w:p>
            <w:pPr>
              <w:widowControl/>
              <w:spacing w:line="320" w:lineRule="exact"/>
              <w:jc w:val="left"/>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30</w:t>
            </w:r>
            <w:r>
              <w:rPr>
                <w:rFonts w:hint="eastAsia" w:eastAsia="仿宋_GB2312"/>
                <w:color w:val="000000"/>
                <w:kern w:val="0"/>
                <w:szCs w:val="21"/>
              </w:rPr>
              <w:t>分）</w:t>
            </w:r>
          </w:p>
          <w:p>
            <w:pPr>
              <w:spacing w:line="320" w:lineRule="exact"/>
              <w:jc w:val="left"/>
              <w:rPr>
                <w:rFonts w:eastAsia="仿宋_GB2312"/>
                <w:color w:val="000000"/>
                <w:kern w:val="0"/>
                <w:szCs w:val="21"/>
              </w:rPr>
            </w:pPr>
            <w:r>
              <w:rPr>
                <w:rFonts w:hint="eastAsia" w:eastAsia="仿宋_GB2312"/>
                <w:color w:val="000000"/>
                <w:kern w:val="0"/>
                <w:szCs w:val="21"/>
              </w:rPr>
              <w:t>　</w:t>
            </w:r>
          </w:p>
        </w:tc>
        <w:tc>
          <w:tcPr>
            <w:tcW w:w="1261"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经济效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社会效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疫情防控落实到位</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20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20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生态效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992" w:type="dxa"/>
            <w:vMerge w:val="continue"/>
            <w:tcBorders>
              <w:left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可持续影响指标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做实做强服务职工品牌</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100%</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20</w:t>
            </w:r>
          </w:p>
        </w:tc>
        <w:tc>
          <w:tcPr>
            <w:tcW w:w="87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20</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满意度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10</w:t>
            </w:r>
            <w:r>
              <w:rPr>
                <w:rFonts w:hint="eastAsia" w:eastAsia="仿宋_GB2312"/>
                <w:color w:val="000000"/>
                <w:kern w:val="0"/>
                <w:szCs w:val="21"/>
              </w:rPr>
              <w:t>分）</w:t>
            </w:r>
          </w:p>
        </w:tc>
        <w:tc>
          <w:tcPr>
            <w:tcW w:w="1261" w:type="dxa"/>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服务对象满意度指标</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全镇广大职工满意度</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100%</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100%</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10</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总分</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100</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bl>
    <w:p>
      <w:pPr>
        <w:spacing w:beforeLines="50" w:line="320" w:lineRule="exact"/>
      </w:pPr>
      <w:r>
        <w:rPr>
          <w:rFonts w:hint="eastAsia" w:eastAsia="仿宋_GB2312"/>
          <w:sz w:val="24"/>
        </w:rPr>
        <w:t>填表人：</w:t>
      </w:r>
      <w:r>
        <w:rPr>
          <w:rFonts w:eastAsia="仿宋_GB2312"/>
          <w:sz w:val="24"/>
        </w:rPr>
        <w:t xml:space="preserve">         </w:t>
      </w:r>
      <w:r>
        <w:rPr>
          <w:rFonts w:hint="eastAsia" w:eastAsia="仿宋_GB2312"/>
          <w:sz w:val="24"/>
        </w:rPr>
        <w:t>填报日期：</w:t>
      </w:r>
      <w:r>
        <w:rPr>
          <w:rFonts w:eastAsia="仿宋_GB2312"/>
          <w:sz w:val="24"/>
        </w:rPr>
        <w:t xml:space="preserve">           </w:t>
      </w:r>
      <w:r>
        <w:rPr>
          <w:rFonts w:hint="eastAsia" w:eastAsia="仿宋_GB2312"/>
          <w:sz w:val="24"/>
        </w:rPr>
        <w:t>联系电话：</w:t>
      </w:r>
      <w:r>
        <w:rPr>
          <w:rFonts w:eastAsia="仿宋_GB2312"/>
          <w:sz w:val="24"/>
        </w:rPr>
        <w:t xml:space="preserve">       </w:t>
      </w:r>
      <w:r>
        <w:rPr>
          <w:rFonts w:hint="eastAsia" w:eastAsia="仿宋_GB2312"/>
          <w:sz w:val="24"/>
        </w:rPr>
        <w:t>单位负责人签字：</w:t>
      </w:r>
    </w:p>
    <w:sectPr>
      <w:pgSz w:w="11906" w:h="16838"/>
      <w:pgMar w:top="468"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SimSun-ExtB"/>
    <w:panose1 w:val="00000000000000000000"/>
    <w:charset w:val="86"/>
    <w:family w:val="script"/>
    <w:pitch w:val="default"/>
    <w:sig w:usb0="00000000" w:usb1="00000000" w:usb2="00000010" w:usb3="00000000" w:csb0="00040000" w:csb1="00000000"/>
  </w:font>
  <w:font w:name="SimSun-ExtB">
    <w:panose1 w:val="02010609060101010101"/>
    <w:charset w:val="86"/>
    <w:family w:val="auto"/>
    <w:pitch w:val="default"/>
    <w:sig w:usb0="00000001" w:usb1="02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AB47AF"/>
    <w:multiLevelType w:val="singleLevel"/>
    <w:tmpl w:val="C7AB47AF"/>
    <w:lvl w:ilvl="0" w:tentative="0">
      <w:start w:val="7"/>
      <w:numFmt w:val="chineseCounting"/>
      <w:suff w:val="nothing"/>
      <w:lvlText w:val="%1、"/>
      <w:lvlJc w:val="left"/>
      <w:rPr>
        <w:rFonts w:hint="eastAsia"/>
      </w:rPr>
    </w:lvl>
  </w:abstractNum>
  <w:abstractNum w:abstractNumId="1">
    <w:nsid w:val="23F930A0"/>
    <w:multiLevelType w:val="multilevel"/>
    <w:tmpl w:val="23F930A0"/>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2">
    <w:nsid w:val="454D5428"/>
    <w:multiLevelType w:val="multilevel"/>
    <w:tmpl w:val="454D5428"/>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3">
    <w:nsid w:val="5148AE64"/>
    <w:multiLevelType w:val="singleLevel"/>
    <w:tmpl w:val="5148AE64"/>
    <w:lvl w:ilvl="0" w:tentative="0">
      <w:start w:val="1"/>
      <w:numFmt w:val="chineseCounting"/>
      <w:suff w:val="nothing"/>
      <w:lvlText w:val="%1、"/>
      <w:lvlJc w:val="left"/>
      <w:rPr>
        <w:rFonts w:hint="eastAsia"/>
      </w:rPr>
    </w:lvl>
  </w:abstractNum>
  <w:abstractNum w:abstractNumId="4">
    <w:nsid w:val="5B4A74CD"/>
    <w:multiLevelType w:val="multilevel"/>
    <w:tmpl w:val="5B4A74CD"/>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5">
    <w:nsid w:val="775728FA"/>
    <w:multiLevelType w:val="multilevel"/>
    <w:tmpl w:val="775728FA"/>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num w:numId="1">
    <w:abstractNumId w:val="3"/>
  </w:num>
  <w:num w:numId="2">
    <w:abstractNumId w:val="0"/>
  </w:num>
  <w:num w:numId="3">
    <w:abstractNumId w:val="2"/>
  </w:num>
  <w:num w:numId="4">
    <w:abstractNumId w:val="1"/>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rsids>
    <w:rsidRoot w:val="00A045A1"/>
    <w:rsid w:val="000000A5"/>
    <w:rsid w:val="00022046"/>
    <w:rsid w:val="00037FEA"/>
    <w:rsid w:val="000B0765"/>
    <w:rsid w:val="000B57BC"/>
    <w:rsid w:val="001107A7"/>
    <w:rsid w:val="00162440"/>
    <w:rsid w:val="00174EEF"/>
    <w:rsid w:val="001A127E"/>
    <w:rsid w:val="00234476"/>
    <w:rsid w:val="002530C6"/>
    <w:rsid w:val="002558F7"/>
    <w:rsid w:val="002752D6"/>
    <w:rsid w:val="0031755D"/>
    <w:rsid w:val="003711D0"/>
    <w:rsid w:val="00377767"/>
    <w:rsid w:val="00377A33"/>
    <w:rsid w:val="00396AAA"/>
    <w:rsid w:val="003E5114"/>
    <w:rsid w:val="00426627"/>
    <w:rsid w:val="004869C4"/>
    <w:rsid w:val="00493979"/>
    <w:rsid w:val="005833DD"/>
    <w:rsid w:val="00595424"/>
    <w:rsid w:val="00597FBB"/>
    <w:rsid w:val="005A4AB0"/>
    <w:rsid w:val="00614437"/>
    <w:rsid w:val="00634126"/>
    <w:rsid w:val="006370F0"/>
    <w:rsid w:val="006811E5"/>
    <w:rsid w:val="006A57F6"/>
    <w:rsid w:val="006B5E37"/>
    <w:rsid w:val="007B54D9"/>
    <w:rsid w:val="00822DA2"/>
    <w:rsid w:val="00887C00"/>
    <w:rsid w:val="008A4834"/>
    <w:rsid w:val="008D7141"/>
    <w:rsid w:val="008D77F4"/>
    <w:rsid w:val="00947E30"/>
    <w:rsid w:val="009677C0"/>
    <w:rsid w:val="009A29A3"/>
    <w:rsid w:val="009D3359"/>
    <w:rsid w:val="009D4AE4"/>
    <w:rsid w:val="00A045A1"/>
    <w:rsid w:val="00A070E1"/>
    <w:rsid w:val="00A317C9"/>
    <w:rsid w:val="00A3605E"/>
    <w:rsid w:val="00A75C37"/>
    <w:rsid w:val="00A865A7"/>
    <w:rsid w:val="00A86D65"/>
    <w:rsid w:val="00AA700A"/>
    <w:rsid w:val="00B364CE"/>
    <w:rsid w:val="00B56634"/>
    <w:rsid w:val="00BB062F"/>
    <w:rsid w:val="00BB55FB"/>
    <w:rsid w:val="00BB6107"/>
    <w:rsid w:val="00BC61F7"/>
    <w:rsid w:val="00BD1C3A"/>
    <w:rsid w:val="00BF151A"/>
    <w:rsid w:val="00C25716"/>
    <w:rsid w:val="00C3391C"/>
    <w:rsid w:val="00C344EC"/>
    <w:rsid w:val="00C4552C"/>
    <w:rsid w:val="00C72139"/>
    <w:rsid w:val="00C743CE"/>
    <w:rsid w:val="00CA4203"/>
    <w:rsid w:val="00CC4C2C"/>
    <w:rsid w:val="00CD20A2"/>
    <w:rsid w:val="00D10324"/>
    <w:rsid w:val="00D42786"/>
    <w:rsid w:val="00E127F9"/>
    <w:rsid w:val="00E50869"/>
    <w:rsid w:val="00F318D3"/>
    <w:rsid w:val="00F45BFB"/>
    <w:rsid w:val="00F55CD7"/>
    <w:rsid w:val="00F779E8"/>
    <w:rsid w:val="00FC7FE9"/>
    <w:rsid w:val="046B2252"/>
    <w:rsid w:val="2AC307FB"/>
    <w:rsid w:val="37B356BE"/>
    <w:rsid w:val="44664F3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iPriority w:val="99"/>
    <w:pPr>
      <w:tabs>
        <w:tab w:val="center" w:pos="4153"/>
        <w:tab w:val="right" w:pos="8306"/>
      </w:tabs>
      <w:snapToGrid w:val="0"/>
      <w:jc w:val="left"/>
    </w:pPr>
    <w:rPr>
      <w:rFonts w:ascii="Calibri" w:hAnsi="Calibri"/>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character" w:customStyle="1" w:styleId="7">
    <w:name w:val="页眉 Char"/>
    <w:basedOn w:val="6"/>
    <w:link w:val="3"/>
    <w:semiHidden/>
    <w:locked/>
    <w:uiPriority w:val="99"/>
    <w:rPr>
      <w:rFonts w:cs="Times New Roman"/>
      <w:sz w:val="18"/>
      <w:szCs w:val="18"/>
    </w:rPr>
  </w:style>
  <w:style w:type="character" w:customStyle="1" w:styleId="8">
    <w:name w:val="页脚 Char"/>
    <w:basedOn w:val="6"/>
    <w:link w:val="2"/>
    <w:semiHidden/>
    <w:qFormat/>
    <w:locked/>
    <w:uiPriority w:val="99"/>
    <w:rPr>
      <w:rFonts w:cs="Times New Roman"/>
      <w:sz w:val="18"/>
      <w:szCs w:val="18"/>
    </w:rPr>
  </w:style>
  <w:style w:type="paragraph" w:styleId="9">
    <w:name w:val="List Paragraph"/>
    <w:basedOn w:val="1"/>
    <w:qFormat/>
    <w:uiPriority w:val="99"/>
    <w:pPr>
      <w:ind w:firstLine="420" w:firstLineChars="200"/>
    </w:pPr>
    <w:rPr>
      <w:rFonts w:ascii="Calibri" w:hAnsi="Calibri"/>
      <w:szCs w:val="22"/>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15</Pages>
  <Words>1553</Words>
  <Characters>8854</Characters>
  <Lines>73</Lines>
  <Paragraphs>20</Paragraphs>
  <TotalTime>61</TotalTime>
  <ScaleCrop>false</ScaleCrop>
  <LinksUpToDate>false</LinksUpToDate>
  <CharactersWithSpaces>10387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2021-09-03T07:00:00Z</dcterms:created>
  <dc:creator>AutoBVT</dc:creator>
  <cp:lastModifiedBy>大傻</cp:lastModifiedBy>
  <cp:lastPrinted>2021-09-06T01:38:28Z</cp:lastPrinted>
  <dcterms:modified xsi:type="dcterms:W3CDTF">2021-09-06T02:49:45Z</dcterms:modified>
  <dc:title>附件1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F954CD0CE3854E478E64B8B63FBD615F</vt:lpwstr>
  </property>
</Properties>
</file>