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15AC6">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sz w:val="24"/>
        </w:rPr>
      </w:pPr>
      <w:r>
        <w:rPr>
          <w:rFonts w:ascii="仿宋" w:hAnsi="仿宋" w:eastAsia="仿宋"/>
          <w:sz w:val="28"/>
          <w:szCs w:val="28"/>
        </w:rPr>
        <w:t>附件</w:t>
      </w:r>
      <w:r>
        <w:rPr>
          <w:rFonts w:hint="eastAsia" w:ascii="仿宋" w:hAnsi="仿宋" w:eastAsia="仿宋"/>
          <w:sz w:val="28"/>
          <w:szCs w:val="28"/>
        </w:rPr>
        <w:t xml:space="preserve">4 </w:t>
      </w:r>
      <w:r>
        <w:rPr>
          <w:rFonts w:hint="eastAsia" w:ascii="仿宋" w:hAnsi="仿宋" w:eastAsia="仿宋"/>
          <w:sz w:val="24"/>
        </w:rPr>
        <w:t xml:space="preserve"> </w:t>
      </w:r>
    </w:p>
    <w:p w14:paraId="7D96FB74">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sz w:val="24"/>
        </w:rPr>
      </w:pPr>
    </w:p>
    <w:p w14:paraId="7AFF9F1F">
      <w:pPr>
        <w:spacing w:line="600" w:lineRule="exact"/>
        <w:jc w:val="center"/>
        <w:rPr>
          <w:sz w:val="24"/>
        </w:rPr>
      </w:pPr>
    </w:p>
    <w:p w14:paraId="2DD2BB76">
      <w:pPr>
        <w:spacing w:line="600" w:lineRule="exact"/>
        <w:jc w:val="center"/>
        <w:rPr>
          <w:sz w:val="24"/>
        </w:rPr>
      </w:pPr>
    </w:p>
    <w:p w14:paraId="6661931F">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val="en-US" w:eastAsia="zh-CN"/>
        </w:rPr>
        <w:t>辰溪县</w:t>
      </w:r>
      <w:r>
        <w:rPr>
          <w:rFonts w:hint="eastAsia" w:ascii="黑体" w:hAnsi="黑体" w:eastAsia="黑体" w:cs="黑体"/>
          <w:bCs/>
          <w:sz w:val="44"/>
          <w:lang w:eastAsia="zh-CN"/>
        </w:rPr>
        <w:t>修溪镇人民政府</w:t>
      </w:r>
      <w:r>
        <w:rPr>
          <w:rFonts w:hint="eastAsia" w:ascii="黑体" w:hAnsi="黑体" w:eastAsia="黑体" w:cs="黑体"/>
          <w:bCs/>
          <w:sz w:val="44"/>
        </w:rPr>
        <w:t>部门整体支出绩效自评报告</w:t>
      </w:r>
    </w:p>
    <w:p w14:paraId="7C5CEEAE">
      <w:pPr>
        <w:spacing w:line="600" w:lineRule="exact"/>
        <w:jc w:val="center"/>
        <w:rPr>
          <w:sz w:val="24"/>
        </w:rPr>
      </w:pPr>
    </w:p>
    <w:p w14:paraId="781ABE5A">
      <w:pPr>
        <w:spacing w:line="600" w:lineRule="exact"/>
        <w:jc w:val="center"/>
        <w:rPr>
          <w:sz w:val="24"/>
        </w:rPr>
      </w:pPr>
    </w:p>
    <w:p w14:paraId="11BF2918">
      <w:pPr>
        <w:spacing w:line="600" w:lineRule="exact"/>
        <w:jc w:val="center"/>
        <w:rPr>
          <w:sz w:val="24"/>
        </w:rPr>
      </w:pPr>
    </w:p>
    <w:p w14:paraId="619B1C14">
      <w:pPr>
        <w:spacing w:line="600" w:lineRule="exact"/>
        <w:jc w:val="center"/>
        <w:rPr>
          <w:sz w:val="24"/>
        </w:rPr>
      </w:pPr>
    </w:p>
    <w:p w14:paraId="6410CF10">
      <w:pPr>
        <w:spacing w:line="600" w:lineRule="exact"/>
        <w:jc w:val="center"/>
        <w:rPr>
          <w:sz w:val="24"/>
        </w:rPr>
      </w:pPr>
    </w:p>
    <w:p w14:paraId="06F5D070">
      <w:pPr>
        <w:spacing w:line="600" w:lineRule="exact"/>
        <w:jc w:val="center"/>
        <w:rPr>
          <w:sz w:val="24"/>
        </w:rPr>
      </w:pPr>
    </w:p>
    <w:p w14:paraId="5621ED3F">
      <w:pPr>
        <w:spacing w:line="600" w:lineRule="exact"/>
        <w:jc w:val="center"/>
        <w:rPr>
          <w:sz w:val="24"/>
        </w:rPr>
      </w:pPr>
    </w:p>
    <w:p w14:paraId="16846A67">
      <w:pPr>
        <w:spacing w:line="600" w:lineRule="exact"/>
        <w:jc w:val="center"/>
        <w:rPr>
          <w:sz w:val="24"/>
        </w:rPr>
      </w:pPr>
    </w:p>
    <w:p w14:paraId="08084F27">
      <w:pPr>
        <w:spacing w:line="600" w:lineRule="exact"/>
        <w:jc w:val="center"/>
        <w:rPr>
          <w:sz w:val="24"/>
        </w:rPr>
      </w:pPr>
    </w:p>
    <w:p w14:paraId="42764080">
      <w:pPr>
        <w:spacing w:line="600" w:lineRule="exact"/>
        <w:jc w:val="center"/>
        <w:rPr>
          <w:sz w:val="24"/>
        </w:rPr>
      </w:pPr>
    </w:p>
    <w:p w14:paraId="7E1D549D">
      <w:pPr>
        <w:spacing w:line="600" w:lineRule="exact"/>
        <w:jc w:val="center"/>
        <w:rPr>
          <w:sz w:val="24"/>
        </w:rPr>
      </w:pPr>
    </w:p>
    <w:p w14:paraId="3F258864">
      <w:pPr>
        <w:spacing w:line="600" w:lineRule="exact"/>
        <w:jc w:val="center"/>
        <w:rPr>
          <w:sz w:val="24"/>
        </w:rPr>
      </w:pPr>
    </w:p>
    <w:p w14:paraId="5563B836">
      <w:pPr>
        <w:spacing w:line="600" w:lineRule="exact"/>
        <w:rPr>
          <w:sz w:val="24"/>
        </w:rPr>
      </w:pPr>
    </w:p>
    <w:p w14:paraId="2D43D45F">
      <w:pPr>
        <w:spacing w:line="600" w:lineRule="exact"/>
        <w:jc w:val="center"/>
        <w:rPr>
          <w:sz w:val="32"/>
          <w:szCs w:val="32"/>
          <w:u w:val="single"/>
        </w:rPr>
      </w:pPr>
      <w:r>
        <w:rPr>
          <w:rFonts w:hint="eastAsia"/>
          <w:sz w:val="32"/>
          <w:szCs w:val="32"/>
        </w:rPr>
        <w:t>部门（单位）名称：</w:t>
      </w:r>
      <w:r>
        <w:rPr>
          <w:rFonts w:hint="eastAsia"/>
          <w:sz w:val="32"/>
          <w:szCs w:val="32"/>
          <w:u w:val="single"/>
          <w:lang w:eastAsia="zh-CN"/>
        </w:rPr>
        <w:t>辰溪县修溪镇人民政府</w:t>
      </w:r>
      <w:r>
        <w:rPr>
          <w:rFonts w:hint="eastAsia"/>
          <w:sz w:val="32"/>
          <w:szCs w:val="32"/>
          <w:u w:val="single"/>
        </w:rPr>
        <w:t xml:space="preserve"> </w:t>
      </w:r>
    </w:p>
    <w:p w14:paraId="5C6276E5">
      <w:pPr>
        <w:spacing w:line="600" w:lineRule="exact"/>
        <w:ind w:firstLine="640"/>
        <w:jc w:val="center"/>
        <w:rPr>
          <w:sz w:val="32"/>
          <w:szCs w:val="32"/>
        </w:rPr>
      </w:pPr>
      <w:r>
        <w:rPr>
          <w:rFonts w:hint="eastAsia"/>
          <w:sz w:val="32"/>
          <w:szCs w:val="32"/>
          <w:lang w:val="en-US" w:eastAsia="zh-CN"/>
        </w:rPr>
        <w:t>2024</w:t>
      </w:r>
      <w:r>
        <w:rPr>
          <w:rFonts w:hint="eastAsia"/>
          <w:sz w:val="32"/>
          <w:szCs w:val="32"/>
        </w:rPr>
        <w:t xml:space="preserve">年 </w:t>
      </w:r>
      <w:r>
        <w:rPr>
          <w:rFonts w:hint="eastAsia"/>
          <w:sz w:val="32"/>
          <w:szCs w:val="32"/>
          <w:lang w:val="en-US" w:eastAsia="zh-CN"/>
        </w:rPr>
        <w:t>4</w:t>
      </w:r>
      <w:r>
        <w:rPr>
          <w:rFonts w:hint="eastAsia"/>
          <w:sz w:val="32"/>
          <w:szCs w:val="32"/>
        </w:rPr>
        <w:t>月</w:t>
      </w:r>
      <w:r>
        <w:rPr>
          <w:rFonts w:hint="eastAsia"/>
          <w:sz w:val="32"/>
          <w:szCs w:val="32"/>
          <w:lang w:val="en-US" w:eastAsia="zh-CN"/>
        </w:rPr>
        <w:t>8</w:t>
      </w:r>
      <w:r>
        <w:rPr>
          <w:rFonts w:hint="eastAsia"/>
          <w:sz w:val="32"/>
          <w:szCs w:val="32"/>
        </w:rPr>
        <w:t xml:space="preserve"> 日</w:t>
      </w:r>
    </w:p>
    <w:p w14:paraId="6651D468">
      <w:pPr>
        <w:spacing w:line="600" w:lineRule="exact"/>
        <w:jc w:val="center"/>
        <w:rPr>
          <w:rFonts w:hint="eastAsia" w:eastAsia="方正小标宋_GBK"/>
          <w:sz w:val="36"/>
          <w:szCs w:val="36"/>
        </w:rPr>
      </w:pPr>
    </w:p>
    <w:p w14:paraId="0627841E">
      <w:pPr>
        <w:rPr>
          <w:rFonts w:hint="default" w:eastAsia="方正小标宋_GBK"/>
          <w:sz w:val="36"/>
          <w:szCs w:val="36"/>
          <w:lang w:val="en-US" w:eastAsia="zh-CN"/>
        </w:rPr>
      </w:pPr>
    </w:p>
    <w:p w14:paraId="6A07C702">
      <w:pPr>
        <w:widowControl/>
        <w:spacing w:line="640" w:lineRule="exact"/>
        <w:jc w:val="center"/>
        <w:rPr>
          <w:rFonts w:hint="eastAsia" w:ascii="黑体" w:hAnsi="黑体" w:eastAsia="黑体" w:cs="黑体"/>
          <w:bCs/>
          <w:sz w:val="44"/>
        </w:rPr>
      </w:pPr>
      <w:bookmarkStart w:id="0" w:name="_GoBack"/>
      <w:bookmarkEnd w:id="0"/>
      <w:r>
        <w:rPr>
          <w:rFonts w:hint="eastAsia" w:ascii="黑体" w:hAnsi="黑体" w:eastAsia="黑体" w:cs="黑体"/>
          <w:bCs/>
          <w:sz w:val="44"/>
        </w:rPr>
        <w:t>2023年度</w:t>
      </w:r>
      <w:r>
        <w:rPr>
          <w:rFonts w:hint="eastAsia" w:ascii="黑体" w:hAnsi="黑体" w:eastAsia="黑体" w:cs="黑体"/>
          <w:bCs/>
          <w:sz w:val="44"/>
          <w:lang w:eastAsia="zh-CN"/>
        </w:rPr>
        <w:t>修溪镇人民政府</w:t>
      </w:r>
      <w:r>
        <w:rPr>
          <w:rFonts w:hint="eastAsia" w:ascii="黑体" w:hAnsi="黑体" w:eastAsia="黑体" w:cs="黑体"/>
          <w:bCs/>
          <w:sz w:val="44"/>
        </w:rPr>
        <w:t>部门整体支出绩效自评报告</w:t>
      </w:r>
    </w:p>
    <w:p w14:paraId="3D9545C7">
      <w:pPr>
        <w:spacing w:line="600" w:lineRule="exact"/>
        <w:jc w:val="center"/>
        <w:rPr>
          <w:rFonts w:eastAsia="方正小标宋_GBK"/>
          <w:sz w:val="32"/>
          <w:szCs w:val="32"/>
        </w:rPr>
      </w:pPr>
    </w:p>
    <w:p w14:paraId="44845F63">
      <w:pPr>
        <w:pStyle w:val="7"/>
        <w:widowControl/>
        <w:numPr>
          <w:ilvl w:val="0"/>
          <w:numId w:val="1"/>
        </w:numPr>
        <w:spacing w:line="600" w:lineRule="exact"/>
        <w:ind w:left="640" w:firstLine="0" w:firstLineChars="0"/>
        <w:rPr>
          <w:rFonts w:hint="eastAsia" w:ascii="Times New Roman" w:hAnsi="Times New Roman" w:eastAsia="黑体"/>
          <w:sz w:val="32"/>
          <w:szCs w:val="32"/>
        </w:rPr>
      </w:pPr>
      <w:r>
        <w:rPr>
          <w:rFonts w:hint="eastAsia" w:ascii="Times New Roman" w:hAnsi="Times New Roman" w:eastAsia="黑体"/>
          <w:sz w:val="32"/>
          <w:szCs w:val="32"/>
        </w:rPr>
        <w:t>部门基本情况</w:t>
      </w:r>
    </w:p>
    <w:p w14:paraId="6B179DC5">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（一）</w:t>
      </w:r>
      <w:r>
        <w:rPr>
          <w:rFonts w:hint="eastAsia" w:ascii="仿宋" w:hAnsi="仿宋" w:eastAsia="仿宋" w:cs="仿宋"/>
          <w:b/>
          <w:bCs/>
          <w:kern w:val="0"/>
          <w:sz w:val="32"/>
          <w:szCs w:val="32"/>
        </w:rPr>
        <w:t>部门职能与机构设置</w:t>
      </w:r>
    </w:p>
    <w:p w14:paraId="1C5D115A">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辰溪县</w:t>
      </w:r>
      <w:r>
        <w:rPr>
          <w:rFonts w:hint="eastAsia" w:ascii="仿宋" w:hAnsi="仿宋" w:eastAsia="仿宋" w:cs="仿宋"/>
          <w:kern w:val="0"/>
          <w:sz w:val="32"/>
          <w:szCs w:val="32"/>
          <w:lang w:eastAsia="zh-CN"/>
        </w:rPr>
        <w:t>修溪</w:t>
      </w:r>
      <w:r>
        <w:rPr>
          <w:rFonts w:hint="eastAsia" w:ascii="仿宋" w:hAnsi="仿宋" w:eastAsia="仿宋" w:cs="仿宋"/>
          <w:kern w:val="0"/>
          <w:sz w:val="32"/>
          <w:szCs w:val="32"/>
        </w:rPr>
        <w:t>镇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14:paraId="37DDD1D8">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机构设置情况：</w:t>
      </w:r>
      <w:r>
        <w:rPr>
          <w:rFonts w:hint="eastAsia" w:ascii="仿宋" w:hAnsi="仿宋" w:eastAsia="仿宋" w:cs="仿宋"/>
          <w:kern w:val="0"/>
          <w:sz w:val="32"/>
          <w:szCs w:val="32"/>
          <w:lang w:eastAsia="zh-CN"/>
        </w:rPr>
        <w:t>修溪</w:t>
      </w:r>
      <w:r>
        <w:rPr>
          <w:rFonts w:hint="eastAsia" w:ascii="仿宋" w:hAnsi="仿宋" w:eastAsia="仿宋" w:cs="仿宋"/>
          <w:kern w:val="0"/>
          <w:sz w:val="32"/>
          <w:szCs w:val="32"/>
        </w:rPr>
        <w:t>镇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14:paraId="73815A8D">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lang w:val="en-US" w:eastAsia="zh-CN"/>
        </w:rPr>
        <w:t>（二）</w:t>
      </w:r>
      <w:r>
        <w:rPr>
          <w:rFonts w:hint="eastAsia" w:ascii="仿宋" w:hAnsi="仿宋" w:eastAsia="仿宋" w:cs="仿宋"/>
          <w:b/>
          <w:bCs/>
          <w:kern w:val="0"/>
          <w:sz w:val="32"/>
          <w:szCs w:val="32"/>
        </w:rPr>
        <w:t>人员情况</w:t>
      </w:r>
    </w:p>
    <w:p w14:paraId="3820F731">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人员情况：截至202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年底，</w:t>
      </w:r>
      <w:r>
        <w:rPr>
          <w:rFonts w:hint="eastAsia" w:ascii="仿宋" w:hAnsi="仿宋" w:eastAsia="仿宋" w:cs="仿宋"/>
          <w:sz w:val="32"/>
          <w:szCs w:val="32"/>
          <w:lang w:eastAsia="zh-CN"/>
        </w:rPr>
        <w:t>修溪</w:t>
      </w:r>
      <w:r>
        <w:rPr>
          <w:rFonts w:hint="eastAsia" w:ascii="仿宋" w:hAnsi="仿宋" w:eastAsia="仿宋" w:cs="仿宋"/>
          <w:sz w:val="32"/>
          <w:szCs w:val="32"/>
        </w:rPr>
        <w:t>镇人民政府核定人员编制</w:t>
      </w:r>
      <w:r>
        <w:rPr>
          <w:rFonts w:hint="eastAsia" w:ascii="仿宋" w:hAnsi="仿宋" w:eastAsia="仿宋" w:cs="仿宋"/>
          <w:sz w:val="32"/>
          <w:szCs w:val="32"/>
          <w:lang w:val="en-US" w:eastAsia="zh-CN"/>
        </w:rPr>
        <w:t>68</w:t>
      </w:r>
      <w:r>
        <w:rPr>
          <w:rFonts w:hint="eastAsia" w:ascii="仿宋" w:hAnsi="仿宋" w:eastAsia="仿宋" w:cs="仿宋"/>
          <w:sz w:val="32"/>
          <w:szCs w:val="32"/>
        </w:rPr>
        <w:t>人，行政编制</w:t>
      </w:r>
      <w:r>
        <w:rPr>
          <w:rFonts w:hint="eastAsia" w:ascii="仿宋" w:hAnsi="仿宋" w:eastAsia="仿宋" w:cs="仿宋"/>
          <w:sz w:val="32"/>
          <w:szCs w:val="32"/>
          <w:lang w:val="en-US" w:eastAsia="zh-CN"/>
        </w:rPr>
        <w:t>24</w:t>
      </w:r>
      <w:r>
        <w:rPr>
          <w:rFonts w:hint="eastAsia" w:ascii="仿宋" w:hAnsi="仿宋" w:eastAsia="仿宋" w:cs="仿宋"/>
          <w:sz w:val="32"/>
          <w:szCs w:val="32"/>
        </w:rPr>
        <w:t>人，事业编制</w:t>
      </w:r>
      <w:r>
        <w:rPr>
          <w:rFonts w:hint="eastAsia" w:ascii="仿宋" w:hAnsi="仿宋" w:eastAsia="仿宋" w:cs="仿宋"/>
          <w:sz w:val="32"/>
          <w:szCs w:val="32"/>
          <w:lang w:val="en-US" w:eastAsia="zh-CN"/>
        </w:rPr>
        <w:t>44</w:t>
      </w:r>
      <w:r>
        <w:rPr>
          <w:rFonts w:hint="eastAsia" w:ascii="仿宋" w:hAnsi="仿宋" w:eastAsia="仿宋" w:cs="仿宋"/>
          <w:sz w:val="32"/>
          <w:szCs w:val="32"/>
        </w:rPr>
        <w:t>人；实际在编</w:t>
      </w:r>
      <w:r>
        <w:rPr>
          <w:rFonts w:hint="eastAsia" w:ascii="仿宋" w:hAnsi="仿宋" w:eastAsia="仿宋" w:cs="仿宋"/>
          <w:sz w:val="32"/>
          <w:szCs w:val="32"/>
          <w:lang w:val="en-US" w:eastAsia="zh-CN"/>
        </w:rPr>
        <w:t>61</w:t>
      </w:r>
      <w:r>
        <w:rPr>
          <w:rFonts w:hint="eastAsia" w:ascii="仿宋" w:hAnsi="仿宋" w:eastAsia="仿宋" w:cs="仿宋"/>
          <w:sz w:val="32"/>
          <w:szCs w:val="32"/>
        </w:rPr>
        <w:t>人（行政编制</w:t>
      </w:r>
      <w:r>
        <w:rPr>
          <w:rFonts w:hint="eastAsia" w:ascii="仿宋" w:hAnsi="仿宋" w:eastAsia="仿宋" w:cs="仿宋"/>
          <w:sz w:val="32"/>
          <w:szCs w:val="32"/>
          <w:lang w:val="en-US" w:eastAsia="zh-CN"/>
        </w:rPr>
        <w:t>23</w:t>
      </w:r>
      <w:r>
        <w:rPr>
          <w:rFonts w:hint="eastAsia" w:ascii="仿宋" w:hAnsi="仿宋" w:eastAsia="仿宋" w:cs="仿宋"/>
          <w:sz w:val="32"/>
          <w:szCs w:val="32"/>
        </w:rPr>
        <w:t>人，事业编制</w:t>
      </w:r>
      <w:r>
        <w:rPr>
          <w:rFonts w:hint="eastAsia" w:ascii="仿宋" w:hAnsi="仿宋" w:eastAsia="仿宋" w:cs="仿宋"/>
          <w:sz w:val="32"/>
          <w:szCs w:val="32"/>
          <w:lang w:val="en-US" w:eastAsia="zh-CN"/>
        </w:rPr>
        <w:t>38</w:t>
      </w:r>
      <w:r>
        <w:rPr>
          <w:rFonts w:hint="eastAsia" w:ascii="仿宋" w:hAnsi="仿宋" w:eastAsia="仿宋" w:cs="仿宋"/>
          <w:sz w:val="32"/>
          <w:szCs w:val="32"/>
        </w:rPr>
        <w:t>人），财政实际供给</w:t>
      </w:r>
      <w:r>
        <w:rPr>
          <w:rFonts w:hint="eastAsia" w:ascii="仿宋" w:hAnsi="仿宋" w:eastAsia="仿宋" w:cs="仿宋"/>
          <w:sz w:val="32"/>
          <w:szCs w:val="32"/>
          <w:lang w:val="en-US" w:eastAsia="zh-CN"/>
        </w:rPr>
        <w:t>61</w:t>
      </w:r>
      <w:r>
        <w:rPr>
          <w:rFonts w:hint="eastAsia" w:ascii="仿宋" w:hAnsi="仿宋" w:eastAsia="仿宋" w:cs="仿宋"/>
          <w:sz w:val="32"/>
          <w:szCs w:val="32"/>
        </w:rPr>
        <w:t>人。</w:t>
      </w:r>
    </w:p>
    <w:p w14:paraId="76B97BFF">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lang w:eastAsia="zh-CN"/>
        </w:rPr>
        <w:t>（</w:t>
      </w:r>
      <w:r>
        <w:rPr>
          <w:rFonts w:hint="eastAsia" w:ascii="仿宋" w:hAnsi="仿宋" w:eastAsia="仿宋" w:cs="仿宋"/>
          <w:b/>
          <w:bCs/>
          <w:kern w:val="0"/>
          <w:sz w:val="32"/>
          <w:szCs w:val="32"/>
          <w:lang w:val="en-US" w:eastAsia="zh-CN"/>
        </w:rPr>
        <w:t>三</w:t>
      </w:r>
      <w:r>
        <w:rPr>
          <w:rFonts w:hint="eastAsia" w:ascii="仿宋" w:hAnsi="仿宋" w:eastAsia="仿宋" w:cs="仿宋"/>
          <w:b/>
          <w:bCs/>
          <w:kern w:val="0"/>
          <w:sz w:val="32"/>
          <w:szCs w:val="32"/>
          <w:lang w:eastAsia="zh-CN"/>
        </w:rPr>
        <w:t>）</w:t>
      </w:r>
      <w:r>
        <w:rPr>
          <w:rFonts w:hint="eastAsia" w:ascii="仿宋" w:hAnsi="仿宋" w:eastAsia="仿宋" w:cs="仿宋"/>
          <w:b/>
          <w:bCs/>
          <w:kern w:val="0"/>
          <w:sz w:val="32"/>
          <w:szCs w:val="32"/>
        </w:rPr>
        <w:t>部门年度总体工作任务和重点工作任务</w:t>
      </w:r>
    </w:p>
    <w:p w14:paraId="5C65B946">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hAnsi="Times New Roman" w:eastAsia="黑体"/>
          <w:sz w:val="32"/>
          <w:szCs w:val="32"/>
        </w:rPr>
      </w:pPr>
      <w:r>
        <w:rPr>
          <w:rFonts w:hint="eastAsia" w:ascii="仿宋" w:hAnsi="仿宋" w:eastAsia="仿宋" w:cs="仿宋"/>
          <w:kern w:val="0"/>
          <w:sz w:val="32"/>
          <w:szCs w:val="32"/>
        </w:rPr>
        <w:t>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环境卫生整治工作等。</w:t>
      </w:r>
    </w:p>
    <w:p w14:paraId="03E19C89">
      <w:pPr>
        <w:pStyle w:val="7"/>
        <w:widowControl/>
        <w:numPr>
          <w:ilvl w:val="0"/>
          <w:numId w:val="1"/>
        </w:numPr>
        <w:spacing w:line="600" w:lineRule="exact"/>
        <w:ind w:left="640" w:firstLine="0" w:firstLineChars="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一般公共预算支出情况</w:t>
      </w:r>
    </w:p>
    <w:p w14:paraId="15919E5D">
      <w:pPr>
        <w:pStyle w:val="7"/>
        <w:widowControl/>
        <w:numPr>
          <w:ilvl w:val="0"/>
          <w:numId w:val="2"/>
        </w:numPr>
        <w:spacing w:line="600" w:lineRule="exact"/>
        <w:ind w:left="640" w:firstLine="0" w:firstLineChars="0"/>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基本支出情况</w:t>
      </w:r>
    </w:p>
    <w:p w14:paraId="0FA464E1">
      <w:pPr>
        <w:pStyle w:val="7"/>
        <w:widowControl/>
        <w:numPr>
          <w:ilvl w:val="0"/>
          <w:numId w:val="0"/>
        </w:numPr>
        <w:spacing w:line="600" w:lineRule="exact"/>
        <w:ind w:left="640" w:leftChars="0"/>
        <w:rPr>
          <w:rFonts w:hint="default" w:ascii="Times New Roman" w:hAnsi="Times New Roman" w:eastAsia="仿宋"/>
          <w:sz w:val="32"/>
          <w:szCs w:val="32"/>
          <w:lang w:val="en-US" w:eastAsia="zh-CN"/>
        </w:rPr>
      </w:pPr>
      <w:r>
        <w:rPr>
          <w:rFonts w:hint="eastAsia" w:ascii="仿宋" w:hAnsi="仿宋" w:eastAsia="仿宋" w:cs="仿宋"/>
          <w:kern w:val="0"/>
          <w:sz w:val="32"/>
          <w:szCs w:val="32"/>
          <w:lang w:val="en-US" w:eastAsia="zh-CN"/>
        </w:rPr>
        <w:t>2023年一般公共</w:t>
      </w:r>
      <w:r>
        <w:rPr>
          <w:rFonts w:hint="eastAsia" w:ascii="仿宋" w:hAnsi="仿宋" w:eastAsia="仿宋" w:cs="仿宋"/>
          <w:kern w:val="0"/>
          <w:sz w:val="32"/>
          <w:szCs w:val="32"/>
        </w:rPr>
        <w:t>预算支出合计</w:t>
      </w:r>
      <w:r>
        <w:rPr>
          <w:rFonts w:hint="eastAsia" w:ascii="仿宋" w:hAnsi="仿宋" w:eastAsia="仿宋" w:cs="仿宋"/>
          <w:kern w:val="0"/>
          <w:sz w:val="32"/>
          <w:szCs w:val="32"/>
          <w:lang w:val="en-US" w:eastAsia="zh-CN"/>
        </w:rPr>
        <w:t>966.88</w:t>
      </w:r>
      <w:r>
        <w:rPr>
          <w:rFonts w:hint="eastAsia" w:ascii="仿宋" w:hAnsi="仿宋" w:eastAsia="仿宋" w:cs="仿宋"/>
          <w:kern w:val="0"/>
          <w:sz w:val="32"/>
          <w:szCs w:val="32"/>
        </w:rPr>
        <w:t>万元，其中：基本支出</w:t>
      </w:r>
      <w:r>
        <w:rPr>
          <w:rFonts w:hint="eastAsia" w:ascii="仿宋" w:hAnsi="仿宋" w:eastAsia="仿宋" w:cs="仿宋"/>
          <w:kern w:val="0"/>
          <w:sz w:val="32"/>
          <w:szCs w:val="32"/>
          <w:lang w:val="en-US" w:eastAsia="zh-CN"/>
        </w:rPr>
        <w:t>953.52</w:t>
      </w:r>
      <w:r>
        <w:rPr>
          <w:rFonts w:hint="eastAsia" w:ascii="仿宋" w:hAnsi="仿宋" w:eastAsia="仿宋" w:cs="仿宋"/>
          <w:kern w:val="0"/>
          <w:sz w:val="32"/>
          <w:szCs w:val="32"/>
        </w:rPr>
        <w:t>万元，占</w:t>
      </w:r>
      <w:r>
        <w:rPr>
          <w:rFonts w:hint="eastAsia" w:ascii="仿宋" w:hAnsi="仿宋" w:eastAsia="仿宋" w:cs="仿宋"/>
          <w:kern w:val="0"/>
          <w:sz w:val="32"/>
          <w:szCs w:val="32"/>
          <w:lang w:val="en-US" w:eastAsia="zh-CN"/>
        </w:rPr>
        <w:t>98</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基本支出中工资福利支出</w:t>
      </w:r>
      <w:r>
        <w:rPr>
          <w:rFonts w:hint="eastAsia" w:ascii="仿宋" w:hAnsi="仿宋" w:eastAsia="仿宋" w:cs="仿宋"/>
          <w:kern w:val="0"/>
          <w:sz w:val="32"/>
          <w:szCs w:val="32"/>
          <w:lang w:val="en-US" w:eastAsia="zh-CN"/>
        </w:rPr>
        <w:t>882万元，占比92%，商品和服务支出16.54万元，占比1.7%；对个人和家庭的补助1.9万元，占比0.02%。</w:t>
      </w:r>
    </w:p>
    <w:p w14:paraId="33009E47">
      <w:pPr>
        <w:pStyle w:val="7"/>
        <w:widowControl/>
        <w:numPr>
          <w:ilvl w:val="0"/>
          <w:numId w:val="2"/>
        </w:numPr>
        <w:spacing w:line="600" w:lineRule="exact"/>
        <w:ind w:left="640" w:firstLine="0" w:firstLineChars="0"/>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项目支出情况</w:t>
      </w:r>
    </w:p>
    <w:p w14:paraId="6270C7E4">
      <w:pPr>
        <w:pStyle w:val="7"/>
        <w:widowControl/>
        <w:numPr>
          <w:ilvl w:val="0"/>
          <w:numId w:val="0"/>
        </w:numPr>
        <w:spacing w:line="600" w:lineRule="exact"/>
        <w:ind w:left="640" w:leftChars="0"/>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2023年一般公共预算支出合计966.88万元，其中项目支出206.78万元，占比21.39%；其中基础设施建设支出206.78万元，占项目支出100%。</w:t>
      </w:r>
    </w:p>
    <w:p w14:paraId="6A1B4E7A">
      <w:pPr>
        <w:pStyle w:val="7"/>
        <w:widowControl/>
        <w:numPr>
          <w:ilvl w:val="0"/>
          <w:numId w:val="1"/>
        </w:numPr>
        <w:spacing w:line="600" w:lineRule="exact"/>
        <w:ind w:left="640" w:firstLine="0" w:firstLineChars="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政府性基金预算支出情况</w:t>
      </w:r>
    </w:p>
    <w:p w14:paraId="53B86E13">
      <w:pPr>
        <w:pStyle w:val="7"/>
        <w:widowControl/>
        <w:numPr>
          <w:ilvl w:val="0"/>
          <w:numId w:val="0"/>
        </w:numPr>
        <w:spacing w:line="600" w:lineRule="exact"/>
        <w:ind w:left="640" w:leftChars="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无</w:t>
      </w:r>
    </w:p>
    <w:p w14:paraId="600C65E1">
      <w:pPr>
        <w:pStyle w:val="7"/>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国有资本经营预算支出情况</w:t>
      </w:r>
    </w:p>
    <w:p w14:paraId="5CFD121A">
      <w:pPr>
        <w:pStyle w:val="7"/>
        <w:widowControl/>
        <w:numPr>
          <w:ilvl w:val="0"/>
          <w:numId w:val="0"/>
        </w:numPr>
        <w:spacing w:line="600" w:lineRule="exact"/>
        <w:ind w:left="640" w:leftChars="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无</w:t>
      </w:r>
    </w:p>
    <w:p w14:paraId="7F187F02">
      <w:pPr>
        <w:pStyle w:val="7"/>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社会保险基金预算支出情况</w:t>
      </w:r>
    </w:p>
    <w:p w14:paraId="0D9FD5E2">
      <w:pPr>
        <w:pStyle w:val="7"/>
        <w:widowControl/>
        <w:numPr>
          <w:ilvl w:val="0"/>
          <w:numId w:val="0"/>
        </w:numPr>
        <w:spacing w:line="600" w:lineRule="exact"/>
        <w:ind w:left="640" w:leftChars="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无</w:t>
      </w:r>
    </w:p>
    <w:p w14:paraId="321D3EB3">
      <w:pPr>
        <w:widowControl/>
        <w:numPr>
          <w:ilvl w:val="0"/>
          <w:numId w:val="1"/>
        </w:numPr>
        <w:spacing w:line="600" w:lineRule="exact"/>
        <w:ind w:left="640" w:leftChars="0" w:firstLine="0" w:firstLineChars="0"/>
        <w:jc w:val="left"/>
        <w:rPr>
          <w:rFonts w:hint="eastAsia" w:eastAsia="黑体"/>
          <w:sz w:val="32"/>
          <w:szCs w:val="32"/>
        </w:rPr>
      </w:pPr>
      <w:r>
        <w:rPr>
          <w:rFonts w:hint="eastAsia" w:eastAsia="黑体"/>
          <w:sz w:val="32"/>
          <w:szCs w:val="32"/>
        </w:rPr>
        <w:t>部门整体支出绩效情况</w:t>
      </w:r>
    </w:p>
    <w:p w14:paraId="0E74B1CE">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rPr>
        <w:t>（一）投入情况分析</w:t>
      </w:r>
    </w:p>
    <w:p w14:paraId="260220B9">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zh-CN"/>
        </w:rPr>
      </w:pPr>
      <w:r>
        <w:rPr>
          <w:rFonts w:hint="eastAsia" w:ascii="仿宋" w:hAnsi="仿宋" w:eastAsia="仿宋" w:cs="仿宋"/>
          <w:kern w:val="0"/>
          <w:sz w:val="32"/>
          <w:szCs w:val="32"/>
          <w:lang w:val="en-US" w:eastAsia="zh-CN"/>
        </w:rPr>
        <w:t>2023年</w:t>
      </w:r>
      <w:r>
        <w:rPr>
          <w:rFonts w:hint="eastAsia" w:ascii="仿宋" w:hAnsi="仿宋" w:eastAsia="仿宋" w:cs="仿宋"/>
          <w:kern w:val="0"/>
          <w:sz w:val="32"/>
          <w:szCs w:val="32"/>
          <w:lang w:eastAsia="zh-CN"/>
        </w:rPr>
        <w:t>全年</w:t>
      </w:r>
      <w:r>
        <w:rPr>
          <w:rFonts w:hint="eastAsia" w:ascii="仿宋" w:hAnsi="仿宋" w:eastAsia="仿宋" w:cs="仿宋"/>
          <w:kern w:val="0"/>
          <w:sz w:val="32"/>
          <w:szCs w:val="32"/>
        </w:rPr>
        <w:t>预算收入</w:t>
      </w:r>
      <w:r>
        <w:rPr>
          <w:rFonts w:hint="eastAsia" w:ascii="仿宋" w:hAnsi="仿宋" w:eastAsia="仿宋" w:cs="仿宋"/>
          <w:kern w:val="0"/>
          <w:sz w:val="32"/>
          <w:szCs w:val="32"/>
          <w:lang w:val="en-US" w:eastAsia="zh-CN"/>
        </w:rPr>
        <w:t>966.88</w:t>
      </w:r>
      <w:r>
        <w:rPr>
          <w:rFonts w:hint="eastAsia" w:ascii="仿宋" w:hAnsi="仿宋" w:eastAsia="仿宋" w:cs="仿宋"/>
          <w:kern w:val="0"/>
          <w:sz w:val="32"/>
          <w:szCs w:val="32"/>
        </w:rPr>
        <w:t>万元，</w:t>
      </w:r>
      <w:r>
        <w:rPr>
          <w:rFonts w:hint="eastAsia" w:ascii="仿宋" w:hAnsi="仿宋" w:eastAsia="仿宋" w:cs="仿宋"/>
          <w:kern w:val="0"/>
          <w:sz w:val="32"/>
          <w:szCs w:val="32"/>
          <w:lang w:eastAsia="zh-CN"/>
        </w:rPr>
        <w:t>一般公共预算</w:t>
      </w:r>
      <w:r>
        <w:rPr>
          <w:rFonts w:hint="eastAsia" w:ascii="仿宋" w:hAnsi="仿宋" w:eastAsia="仿宋" w:cs="仿宋"/>
          <w:kern w:val="0"/>
          <w:sz w:val="32"/>
          <w:szCs w:val="32"/>
          <w:lang w:val="en-US" w:eastAsia="zh-CN"/>
        </w:rPr>
        <w:t>966.88万元，占比100%；政府性基金拨款0万元；其他收入560.20万元，占比57.94%。全年预算收入</w:t>
      </w:r>
      <w:r>
        <w:rPr>
          <w:rFonts w:hint="eastAsia" w:ascii="仿宋" w:hAnsi="仿宋" w:eastAsia="仿宋" w:cs="仿宋"/>
          <w:kern w:val="0"/>
          <w:sz w:val="32"/>
          <w:szCs w:val="32"/>
        </w:rPr>
        <w:t>较</w:t>
      </w:r>
      <w:r>
        <w:rPr>
          <w:rFonts w:hint="eastAsia" w:ascii="仿宋" w:hAnsi="仿宋" w:eastAsia="仿宋" w:cs="仿宋"/>
          <w:kern w:val="0"/>
          <w:sz w:val="32"/>
          <w:szCs w:val="32"/>
          <w:lang w:eastAsia="zh-CN"/>
        </w:rPr>
        <w:t>上年减少</w:t>
      </w:r>
      <w:r>
        <w:rPr>
          <w:rFonts w:hint="eastAsia" w:ascii="仿宋" w:hAnsi="仿宋" w:eastAsia="仿宋" w:cs="仿宋"/>
          <w:kern w:val="0"/>
          <w:sz w:val="32"/>
          <w:szCs w:val="32"/>
          <w:lang w:val="en-US" w:eastAsia="zh-CN"/>
        </w:rPr>
        <w:t>267.88</w:t>
      </w:r>
      <w:r>
        <w:rPr>
          <w:rFonts w:hint="eastAsia" w:ascii="仿宋" w:hAnsi="仿宋" w:eastAsia="仿宋" w:cs="仿宋"/>
          <w:kern w:val="0"/>
          <w:sz w:val="32"/>
          <w:szCs w:val="32"/>
        </w:rPr>
        <w:t>万元，</w:t>
      </w:r>
      <w:r>
        <w:rPr>
          <w:rFonts w:hint="eastAsia" w:ascii="仿宋" w:hAnsi="仿宋" w:eastAsia="仿宋" w:cs="仿宋"/>
          <w:kern w:val="0"/>
          <w:sz w:val="32"/>
          <w:szCs w:val="32"/>
          <w:lang w:eastAsia="zh-CN"/>
        </w:rPr>
        <w:t>原因在于</w:t>
      </w:r>
      <w:r>
        <w:rPr>
          <w:rFonts w:hint="eastAsia" w:ascii="仿宋" w:hAnsi="仿宋" w:eastAsia="仿宋" w:cs="仿宋"/>
          <w:kern w:val="0"/>
          <w:sz w:val="32"/>
          <w:szCs w:val="32"/>
          <w:lang w:val="en-US" w:eastAsia="zh-CN"/>
        </w:rPr>
        <w:t>项目支出减少。</w:t>
      </w:r>
    </w:p>
    <w:p w14:paraId="41C28C20">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rPr>
        <w:t>（二）执行管理情况分析</w:t>
      </w:r>
    </w:p>
    <w:p w14:paraId="6AD40977">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zh-CN"/>
        </w:rPr>
        <w:t>我镇及时组织财务人员进行预决算的编制，</w:t>
      </w:r>
      <w:r>
        <w:rPr>
          <w:rFonts w:hint="eastAsia" w:ascii="仿宋" w:hAnsi="仿宋" w:eastAsia="仿宋" w:cs="仿宋"/>
          <w:kern w:val="0"/>
          <w:sz w:val="32"/>
          <w:szCs w:val="32"/>
        </w:rPr>
        <w:t>按时完成202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年预算编制及公开，</w:t>
      </w:r>
      <w:r>
        <w:rPr>
          <w:rFonts w:hint="eastAsia" w:ascii="仿宋" w:hAnsi="仿宋" w:eastAsia="仿宋" w:cs="仿宋"/>
          <w:kern w:val="0"/>
          <w:sz w:val="32"/>
          <w:szCs w:val="32"/>
          <w:lang w:val="zh-CN"/>
        </w:rPr>
        <w:t>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14:paraId="71B7B15D">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（三）支出绩效情况分析</w:t>
      </w:r>
    </w:p>
    <w:p w14:paraId="67C42EF3">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年决算支出为</w:t>
      </w:r>
      <w:r>
        <w:rPr>
          <w:rFonts w:hint="eastAsia" w:ascii="仿宋" w:hAnsi="仿宋" w:eastAsia="仿宋" w:cs="仿宋"/>
          <w:kern w:val="0"/>
          <w:sz w:val="32"/>
          <w:szCs w:val="32"/>
          <w:lang w:val="en-US" w:eastAsia="zh-CN"/>
        </w:rPr>
        <w:t>966.88</w:t>
      </w:r>
      <w:r>
        <w:rPr>
          <w:rFonts w:hint="eastAsia" w:ascii="仿宋" w:hAnsi="仿宋" w:eastAsia="仿宋" w:cs="仿宋"/>
          <w:kern w:val="0"/>
          <w:sz w:val="32"/>
          <w:szCs w:val="32"/>
        </w:rPr>
        <w:t>万元，执行率为100%。202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年决算数较202</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年有所</w:t>
      </w:r>
      <w:r>
        <w:rPr>
          <w:rFonts w:hint="eastAsia" w:ascii="仿宋" w:hAnsi="仿宋" w:eastAsia="仿宋" w:cs="仿宋"/>
          <w:kern w:val="0"/>
          <w:sz w:val="32"/>
          <w:szCs w:val="32"/>
          <w:lang w:eastAsia="zh-CN"/>
        </w:rPr>
        <w:t>下降</w:t>
      </w:r>
      <w:r>
        <w:rPr>
          <w:rFonts w:hint="eastAsia" w:ascii="仿宋" w:hAnsi="仿宋" w:eastAsia="仿宋" w:cs="仿宋"/>
          <w:kern w:val="0"/>
          <w:sz w:val="32"/>
          <w:szCs w:val="32"/>
        </w:rPr>
        <w:t>，主要在</w:t>
      </w:r>
      <w:r>
        <w:rPr>
          <w:rFonts w:hint="eastAsia" w:ascii="仿宋" w:hAnsi="仿宋" w:eastAsia="仿宋" w:cs="仿宋"/>
          <w:kern w:val="0"/>
          <w:sz w:val="32"/>
          <w:szCs w:val="32"/>
          <w:lang w:val="en-US" w:eastAsia="zh-CN"/>
        </w:rPr>
        <w:t>公用经费</w:t>
      </w:r>
      <w:r>
        <w:rPr>
          <w:rFonts w:hint="eastAsia" w:ascii="仿宋" w:hAnsi="仿宋" w:eastAsia="仿宋" w:cs="仿宋"/>
          <w:kern w:val="0"/>
          <w:sz w:val="32"/>
          <w:szCs w:val="32"/>
        </w:rPr>
        <w:t>及</w:t>
      </w:r>
      <w:r>
        <w:rPr>
          <w:rFonts w:hint="eastAsia" w:ascii="仿宋" w:hAnsi="仿宋" w:eastAsia="仿宋" w:cs="仿宋"/>
          <w:kern w:val="0"/>
          <w:sz w:val="32"/>
          <w:szCs w:val="32"/>
          <w:lang w:val="en-US" w:eastAsia="zh-CN"/>
        </w:rPr>
        <w:t>项目类支出</w:t>
      </w:r>
      <w:r>
        <w:rPr>
          <w:rFonts w:hint="eastAsia" w:ascii="仿宋" w:hAnsi="仿宋" w:eastAsia="仿宋" w:cs="仿宋"/>
          <w:kern w:val="0"/>
          <w:sz w:val="32"/>
          <w:szCs w:val="32"/>
        </w:rPr>
        <w:t>有所</w:t>
      </w:r>
      <w:r>
        <w:rPr>
          <w:rFonts w:hint="eastAsia" w:ascii="仿宋" w:hAnsi="仿宋" w:eastAsia="仿宋" w:cs="仿宋"/>
          <w:kern w:val="0"/>
          <w:sz w:val="32"/>
          <w:szCs w:val="32"/>
          <w:lang w:eastAsia="zh-CN"/>
        </w:rPr>
        <w:t>减少</w:t>
      </w:r>
      <w:r>
        <w:rPr>
          <w:rFonts w:hint="eastAsia" w:ascii="仿宋" w:hAnsi="仿宋" w:eastAsia="仿宋" w:cs="仿宋"/>
          <w:kern w:val="0"/>
          <w:sz w:val="32"/>
          <w:szCs w:val="32"/>
        </w:rPr>
        <w:t>，人员的变动</w:t>
      </w:r>
      <w:r>
        <w:rPr>
          <w:rFonts w:hint="eastAsia" w:ascii="仿宋" w:hAnsi="仿宋" w:eastAsia="仿宋" w:cs="仿宋"/>
          <w:kern w:val="0"/>
          <w:sz w:val="32"/>
          <w:szCs w:val="32"/>
          <w:lang w:val="en-US" w:eastAsia="zh-CN"/>
        </w:rPr>
        <w:t>调整也</w:t>
      </w:r>
      <w:r>
        <w:rPr>
          <w:rFonts w:hint="eastAsia" w:ascii="仿宋" w:hAnsi="仿宋" w:eastAsia="仿宋" w:cs="仿宋"/>
          <w:kern w:val="0"/>
          <w:sz w:val="32"/>
          <w:szCs w:val="32"/>
        </w:rPr>
        <w:t>导致人员工资类经费有所</w:t>
      </w:r>
      <w:r>
        <w:rPr>
          <w:rFonts w:hint="eastAsia" w:ascii="仿宋" w:hAnsi="仿宋" w:eastAsia="仿宋" w:cs="仿宋"/>
          <w:kern w:val="0"/>
          <w:sz w:val="32"/>
          <w:szCs w:val="32"/>
          <w:lang w:eastAsia="zh-CN"/>
        </w:rPr>
        <w:t>减少</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2023年人居环境、乡村振兴、农村基础设施建设、防火防汛等工作都圆满完成，群众满意度较高。</w:t>
      </w:r>
    </w:p>
    <w:p w14:paraId="6C27B1DA">
      <w:pPr>
        <w:keepNext w:val="0"/>
        <w:keepLines w:val="0"/>
        <w:pageBreakBefore w:val="0"/>
        <w:widowControl w:val="0"/>
        <w:numPr>
          <w:ilvl w:val="0"/>
          <w:numId w:val="2"/>
        </w:numPr>
        <w:kinsoku/>
        <w:wordWrap/>
        <w:overflowPunct/>
        <w:topLinePunct w:val="0"/>
        <w:autoSpaceDE/>
        <w:autoSpaceDN/>
        <w:bidi w:val="0"/>
        <w:adjustRightInd w:val="0"/>
        <w:snapToGrid w:val="0"/>
        <w:spacing w:after="157" w:afterLines="50" w:line="360" w:lineRule="auto"/>
        <w:ind w:left="640" w:leftChars="0" w:firstLine="0"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资产管理情况</w:t>
      </w:r>
    </w:p>
    <w:p w14:paraId="4FDE10D1">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我镇严格按照《资产管理制度》，明确了资产配置、资产采购、资产使用、资产调配、资产报废等各环节的流程及审批权限，并严格按照制度执行，以确保固定资产配置合理、采购合规、使用高效、管理规范。一是指定由专人负责资产管理工作；二是共享共用，盘活存量资产。对打印机、传真机等均做到了共享共用；对于已达报废年限、尚可使用的资产，坚持能用则用的原则，最大程度发挥资产使用效益；三是合理配置、采购有序。我镇严格按照财政资产配置相关标准并结合单位资产使用情况，申报采购。</w:t>
      </w:r>
    </w:p>
    <w:p w14:paraId="506F3F9F">
      <w:pPr>
        <w:pStyle w:val="7"/>
        <w:widowControl/>
        <w:spacing w:line="600" w:lineRule="exact"/>
        <w:jc w:val="left"/>
        <w:rPr>
          <w:rFonts w:ascii="Times New Roman" w:hAnsi="Times New Roman" w:eastAsia="黑体"/>
          <w:sz w:val="32"/>
          <w:szCs w:val="32"/>
        </w:rPr>
      </w:pPr>
      <w:r>
        <w:rPr>
          <w:rFonts w:hint="eastAsia" w:ascii="Times New Roman" w:hAnsi="Times New Roman" w:eastAsia="黑体"/>
          <w:sz w:val="32"/>
          <w:szCs w:val="32"/>
        </w:rPr>
        <w:t>七、存在的问题及原因分析</w:t>
      </w:r>
    </w:p>
    <w:p w14:paraId="561BE309">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1.</w:t>
      </w:r>
      <w:r>
        <w:rPr>
          <w:rFonts w:hint="eastAsia" w:ascii="仿宋" w:hAnsi="仿宋" w:eastAsia="仿宋" w:cs="仿宋"/>
          <w:kern w:val="0"/>
          <w:sz w:val="32"/>
          <w:szCs w:val="32"/>
          <w:lang w:eastAsia="zh-CN"/>
        </w:rPr>
        <w:t>部门绩效目标设置不够完备。</w:t>
      </w:r>
    </w:p>
    <w:p w14:paraId="4DCA8DBB">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2.</w:t>
      </w:r>
      <w:r>
        <w:rPr>
          <w:rFonts w:hint="eastAsia" w:ascii="仿宋" w:hAnsi="仿宋" w:eastAsia="仿宋" w:cs="仿宋"/>
          <w:kern w:val="0"/>
          <w:sz w:val="32"/>
          <w:szCs w:val="32"/>
          <w:lang w:eastAsia="zh-CN"/>
        </w:rPr>
        <w:t>预算编制不够扎实。在预算执行过程中调整变动较大，客观存在实际支出与年初预算发生偏差。</w:t>
      </w:r>
    </w:p>
    <w:p w14:paraId="579DA1C0">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3、部分款项支付不及时。</w:t>
      </w:r>
    </w:p>
    <w:p w14:paraId="59D05468">
      <w:pPr>
        <w:widowControl/>
        <w:spacing w:line="600" w:lineRule="exact"/>
        <w:ind w:firstLine="640" w:firstLineChars="200"/>
        <w:jc w:val="left"/>
        <w:rPr>
          <w:rFonts w:hint="eastAsia" w:eastAsia="黑体"/>
          <w:sz w:val="32"/>
          <w:szCs w:val="32"/>
        </w:rPr>
      </w:pPr>
      <w:r>
        <w:rPr>
          <w:rFonts w:hint="eastAsia" w:eastAsia="黑体"/>
          <w:sz w:val="32"/>
          <w:szCs w:val="32"/>
        </w:rPr>
        <w:t>八、下一步改进措施</w:t>
      </w:r>
    </w:p>
    <w:p w14:paraId="3502CEFE">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1.</w:t>
      </w:r>
      <w:r>
        <w:rPr>
          <w:rFonts w:hint="eastAsia" w:ascii="仿宋" w:hAnsi="仿宋" w:eastAsia="仿宋" w:cs="仿宋"/>
          <w:kern w:val="0"/>
          <w:sz w:val="32"/>
          <w:szCs w:val="32"/>
          <w:lang w:eastAsia="zh-CN"/>
        </w:rPr>
        <w:t>进一步规范绩效目标编制。在编制绩效目标时，要求指向明确，细化量化、合理可行。</w:t>
      </w:r>
      <w:r>
        <w:rPr>
          <w:rFonts w:hint="eastAsia" w:ascii="仿宋" w:hAnsi="仿宋" w:eastAsia="仿宋" w:cs="仿宋"/>
          <w:kern w:val="0"/>
          <w:sz w:val="32"/>
          <w:szCs w:val="32"/>
        </w:rPr>
        <w:t>进一步加强单位内部机构各</w:t>
      </w:r>
      <w:r>
        <w:rPr>
          <w:rFonts w:hint="eastAsia" w:ascii="仿宋" w:hAnsi="仿宋" w:eastAsia="仿宋" w:cs="仿宋"/>
          <w:kern w:val="0"/>
          <w:sz w:val="32"/>
          <w:szCs w:val="32"/>
          <w:lang w:eastAsia="zh-CN"/>
        </w:rPr>
        <w:t>部门</w:t>
      </w:r>
      <w:r>
        <w:rPr>
          <w:rFonts w:hint="eastAsia" w:ascii="仿宋" w:hAnsi="仿宋" w:eastAsia="仿宋" w:cs="仿宋"/>
          <w:kern w:val="0"/>
          <w:sz w:val="32"/>
          <w:szCs w:val="32"/>
        </w:rPr>
        <w:t>的预算管理意识，严格按照预算编制的相关制度和要求进行预算编制</w:t>
      </w:r>
      <w:r>
        <w:rPr>
          <w:rFonts w:hint="eastAsia" w:ascii="仿宋" w:hAnsi="仿宋" w:eastAsia="仿宋" w:cs="仿宋"/>
          <w:kern w:val="0"/>
          <w:sz w:val="32"/>
          <w:szCs w:val="32"/>
          <w:lang w:eastAsia="zh-CN"/>
        </w:rPr>
        <w:t>。</w:t>
      </w:r>
    </w:p>
    <w:p w14:paraId="4FD12079">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2.加快预算执行力度，强化预算约束。增强预算的刚性约束，严格做到“无预算不支出”，强化预算对执行的控制。</w:t>
      </w:r>
    </w:p>
    <w:p w14:paraId="3D57EE84">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eastAsia="黑体"/>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3272CA9D">
      <w:pPr>
        <w:keepNext w:val="0"/>
        <w:keepLines w:val="0"/>
        <w:pageBreakBefore w:val="0"/>
        <w:widowControl/>
        <w:kinsoku/>
        <w:wordWrap/>
        <w:overflowPunct/>
        <w:topLinePunct w:val="0"/>
        <w:autoSpaceDE/>
        <w:autoSpaceDN/>
        <w:bidi w:val="0"/>
        <w:spacing w:line="360" w:lineRule="auto"/>
        <w:ind w:firstLine="645"/>
        <w:jc w:val="left"/>
        <w:textAlignment w:val="auto"/>
        <w:rPr>
          <w:rFonts w:hint="eastAsia" w:eastAsia="黑体"/>
          <w:sz w:val="32"/>
          <w:szCs w:val="32"/>
        </w:rPr>
      </w:pPr>
      <w:r>
        <w:rPr>
          <w:rFonts w:hint="eastAsia" w:eastAsia="黑体"/>
          <w:sz w:val="32"/>
          <w:szCs w:val="32"/>
        </w:rPr>
        <w:t>九、部门整体支出绩效自评结果拟应用和公开情况</w:t>
      </w:r>
    </w:p>
    <w:p w14:paraId="608D6A4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我镇将于公开2023年决算修溪镇人民政府决算报告时同步在修溪镇门户网站上全文公开部门整体支出绩效自评报告，接受社会公众监督。通过开展绩效自评工作，一方面提高我镇工作人员的绩效管理意识，对自评过程中发现的问题及时督促各部门加以整改，巩固绩效成果；另一方面充分发挥绩效评价体系作用，做到绩效有目标，过程有监督，绩效有评价，评价有反馈，反馈有应用。</w:t>
      </w:r>
    </w:p>
    <w:p w14:paraId="3A4E9D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eastAsia="黑体"/>
          <w:sz w:val="32"/>
          <w:szCs w:val="32"/>
        </w:rPr>
      </w:pPr>
      <w:r>
        <w:rPr>
          <w:rFonts w:hint="eastAsia" w:eastAsia="黑体"/>
          <w:sz w:val="32"/>
          <w:szCs w:val="32"/>
        </w:rPr>
        <w:t>十、其他需要说明的情况</w:t>
      </w:r>
    </w:p>
    <w:p w14:paraId="5309CFC6">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textAlignment w:val="auto"/>
        <w:rPr>
          <w:rFonts w:hint="eastAsia"/>
          <w:sz w:val="32"/>
          <w:szCs w:val="32"/>
          <w:lang w:eastAsia="zh-CN"/>
        </w:rPr>
      </w:pPr>
      <w:r>
        <w:rPr>
          <w:rFonts w:hint="eastAsia"/>
          <w:sz w:val="32"/>
          <w:szCs w:val="32"/>
          <w:lang w:eastAsia="zh-CN"/>
        </w:rPr>
        <w:t>无</w:t>
      </w:r>
    </w:p>
    <w:p w14:paraId="1B3A700F">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textAlignment w:val="auto"/>
        <w:rPr>
          <w:rFonts w:hint="eastAsia"/>
          <w:sz w:val="32"/>
          <w:szCs w:val="32"/>
          <w:lang w:eastAsia="zh-CN"/>
        </w:rPr>
      </w:pPr>
    </w:p>
    <w:p w14:paraId="77545024">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jc w:val="right"/>
        <w:textAlignment w:val="auto"/>
        <w:rPr>
          <w:rFonts w:hint="eastAsia"/>
          <w:sz w:val="32"/>
          <w:szCs w:val="32"/>
          <w:lang w:eastAsia="zh-CN"/>
        </w:rPr>
      </w:pPr>
      <w:r>
        <w:rPr>
          <w:rFonts w:hint="eastAsia"/>
          <w:sz w:val="32"/>
          <w:szCs w:val="32"/>
          <w:lang w:eastAsia="zh-CN"/>
        </w:rPr>
        <w:t>辰溪县修溪镇人民政府</w:t>
      </w:r>
    </w:p>
    <w:p w14:paraId="58726A43">
      <w:pPr>
        <w:jc w:val="right"/>
      </w:pPr>
      <w:r>
        <w:rPr>
          <w:rFonts w:hint="eastAsia"/>
          <w:sz w:val="32"/>
          <w:szCs w:val="32"/>
          <w:lang w:val="en-US" w:eastAsia="zh-CN"/>
        </w:rPr>
        <w:t>2024年4月8日</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0DD6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D1B80">
                          <w:pPr>
                            <w:pStyle w:val="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AD1B80">
                    <w:pPr>
                      <w:pStyle w:val="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2E6F71"/>
    <w:multiLevelType w:val="singleLevel"/>
    <w:tmpl w:val="2D2E6F71"/>
    <w:lvl w:ilvl="0" w:tentative="0">
      <w:start w:val="1"/>
      <w:numFmt w:val="chineseCounting"/>
      <w:suff w:val="nothing"/>
      <w:lvlText w:val="（%1）"/>
      <w:lvlJc w:val="left"/>
      <w:rPr>
        <w:rFonts w:hint="eastAsia"/>
      </w:rPr>
    </w:lvl>
  </w:abstractNum>
  <w:abstractNum w:abstractNumId="1">
    <w:nsid w:val="4F4D681B"/>
    <w:multiLevelType w:val="singleLevel"/>
    <w:tmpl w:val="4F4D681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60C3646B"/>
    <w:rsid w:val="42621013"/>
    <w:rsid w:val="43452D76"/>
    <w:rsid w:val="555B292C"/>
    <w:rsid w:val="589C176E"/>
    <w:rsid w:val="5EEEB931"/>
    <w:rsid w:val="60C3646B"/>
    <w:rsid w:val="B7FECFE3"/>
    <w:rsid w:val="BFDB528F"/>
    <w:rsid w:val="DFFE42DF"/>
    <w:rsid w:val="F5B3EFD0"/>
    <w:rsid w:val="FBF49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eastAsia="宋体"/>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qFormat/>
    <w:uiPriority w:val="99"/>
    <w:pPr>
      <w:spacing w:line="365" w:lineRule="atLeast"/>
      <w:ind w:left="1" w:firstLine="420" w:firstLineChars="200"/>
      <w:textAlignment w:val="bottom"/>
    </w:pPr>
    <w:rPr>
      <w:rFonts w:ascii="Calibri" w:hAnsi="Calibri" w:eastAsia="宋体"/>
      <w:kern w:val="0"/>
      <w:sz w:val="20"/>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1251</Words>
  <Characters>1362</Characters>
  <Lines>0</Lines>
  <Paragraphs>0</Paragraphs>
  <TotalTime>6</TotalTime>
  <ScaleCrop>false</ScaleCrop>
  <LinksUpToDate>false</LinksUpToDate>
  <CharactersWithSpaces>1368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2024-04-07T21:12:00Z</dcterms:created>
  <dc:creator>WPS_1702276374</dc:creator>
  <cp:lastModifiedBy>86135</cp:lastModifiedBy>
  <cp:lastPrinted>2024-04-09T15:47:00Z</cp:lastPrinted>
  <dcterms:modified xsi:type="dcterms:W3CDTF">2024-11-05T01:19:40Z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96C0045C6B8F4DD6BC5EAA7F88FD83C6_13</vt:lpwstr>
  </property>
</Properties>
</file>