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1BA35">
      <w:pPr>
        <w:adjustRightInd w:val="0"/>
        <w:snapToGrid w:val="0"/>
        <w:spacing w:line="560" w:lineRule="atLeast"/>
        <w:jc w:val="center"/>
        <w:rPr>
          <w:rFonts w:ascii="宋体" w:hAnsi="宋体" w:eastAsia="宋体" w:cs="宋体"/>
          <w:b/>
          <w:kern w:val="0"/>
          <w:sz w:val="44"/>
          <w:szCs w:val="44"/>
        </w:rPr>
      </w:pPr>
      <w:bookmarkStart w:id="0" w:name="_GoBack"/>
      <w:bookmarkEnd w:id="0"/>
      <w:r>
        <w:rPr>
          <w:rFonts w:hint="eastAsia" w:ascii="宋体" w:hAnsi="宋体" w:eastAsia="宋体" w:cs="宋体"/>
          <w:b/>
          <w:kern w:val="0"/>
          <w:sz w:val="44"/>
          <w:szCs w:val="44"/>
        </w:rPr>
        <w:t>202</w:t>
      </w:r>
      <w:r>
        <w:rPr>
          <w:rFonts w:hint="eastAsia" w:ascii="宋体" w:hAnsi="宋体" w:eastAsia="宋体" w:cs="宋体"/>
          <w:b/>
          <w:kern w:val="0"/>
          <w:sz w:val="44"/>
          <w:szCs w:val="44"/>
          <w:lang w:val="en-US" w:eastAsia="zh-CN"/>
        </w:rPr>
        <w:t>3</w:t>
      </w:r>
      <w:r>
        <w:rPr>
          <w:rFonts w:hint="eastAsia" w:ascii="宋体" w:hAnsi="宋体" w:eastAsia="宋体" w:cs="宋体"/>
          <w:b/>
          <w:kern w:val="0"/>
          <w:sz w:val="44"/>
          <w:szCs w:val="44"/>
        </w:rPr>
        <w:t>年柿溪乡人民政府部门整体支出</w:t>
      </w:r>
    </w:p>
    <w:p w14:paraId="68CDE156">
      <w:pPr>
        <w:adjustRightInd w:val="0"/>
        <w:snapToGrid w:val="0"/>
        <w:spacing w:line="560" w:lineRule="atLeast"/>
        <w:jc w:val="center"/>
        <w:rPr>
          <w:rFonts w:ascii="宋体" w:hAnsi="宋体" w:eastAsia="宋体" w:cs="宋体"/>
          <w:b/>
          <w:kern w:val="0"/>
          <w:sz w:val="44"/>
          <w:szCs w:val="44"/>
        </w:rPr>
      </w:pPr>
      <w:r>
        <w:rPr>
          <w:rFonts w:hint="eastAsia" w:ascii="宋体" w:hAnsi="宋体" w:eastAsia="宋体" w:cs="宋体"/>
          <w:b/>
          <w:kern w:val="0"/>
          <w:sz w:val="44"/>
          <w:szCs w:val="44"/>
        </w:rPr>
        <w:t>绩效评价报告</w:t>
      </w:r>
    </w:p>
    <w:p w14:paraId="20916E18">
      <w:pPr>
        <w:adjustRightInd w:val="0"/>
        <w:snapToGrid w:val="0"/>
        <w:spacing w:line="540" w:lineRule="atLeast"/>
        <w:ind w:firstLine="640" w:firstLineChars="200"/>
        <w:jc w:val="left"/>
        <w:rPr>
          <w:rFonts w:ascii="宋体" w:hAnsi="宋体" w:eastAsia="宋体" w:cs="宋体"/>
          <w:bCs/>
          <w:kern w:val="0"/>
          <w:sz w:val="32"/>
          <w:szCs w:val="32"/>
        </w:rPr>
      </w:pPr>
    </w:p>
    <w:p w14:paraId="00CC1E75">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一、部门基本情况</w:t>
      </w:r>
    </w:p>
    <w:p w14:paraId="7ADA5C5B">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（一）部门职能与机构设置</w:t>
      </w:r>
    </w:p>
    <w:p w14:paraId="6790E841">
      <w:pPr>
        <w:adjustRightInd w:val="0"/>
        <w:snapToGrid w:val="0"/>
        <w:spacing w:line="540" w:lineRule="exact"/>
        <w:ind w:firstLine="640" w:firstLineChars="200"/>
        <w:rPr>
          <w:rFonts w:ascii="仿宋_GB2312" w:hAnsi="仿宋_GB2312" w:eastAsia="仿宋_GB2312" w:cs="仿宋_GB2312"/>
          <w:kern w:val="0"/>
          <w:sz w:val="28"/>
          <w:szCs w:val="28"/>
        </w:rPr>
      </w:pPr>
      <w:r>
        <w:rPr>
          <w:rFonts w:hint="eastAsia" w:ascii="宋体" w:hAnsi="宋体" w:eastAsia="宋体" w:cs="宋体"/>
          <w:bCs/>
          <w:kern w:val="0"/>
          <w:sz w:val="32"/>
          <w:szCs w:val="32"/>
        </w:rPr>
        <w:t xml:space="preserve">  </w:t>
      </w:r>
      <w:r>
        <w:rPr>
          <w:rFonts w:hint="eastAsia" w:ascii="仿宋_GB2312" w:hAnsi="仿宋_GB2312" w:eastAsia="仿宋_GB2312" w:cs="仿宋_GB2312"/>
          <w:kern w:val="0"/>
          <w:sz w:val="28"/>
          <w:szCs w:val="28"/>
        </w:rPr>
        <w:t>辰溪县柿溪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14:paraId="2E62DB03">
      <w:pPr>
        <w:adjustRightInd w:val="0"/>
        <w:snapToGrid w:val="0"/>
        <w:spacing w:line="54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机构设置情况：柿溪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w:t>
      </w:r>
    </w:p>
    <w:p w14:paraId="2076E92F">
      <w:pPr>
        <w:adjustRightInd w:val="0"/>
        <w:snapToGrid w:val="0"/>
        <w:spacing w:line="540" w:lineRule="exact"/>
        <w:ind w:firstLine="560" w:firstLineChars="200"/>
        <w:rPr>
          <w:rFonts w:ascii="仿宋_GB2312" w:hAnsi="仿宋_GB2312" w:eastAsia="仿宋_GB2312" w:cs="仿宋_GB2312"/>
          <w:kern w:val="0"/>
          <w:sz w:val="28"/>
          <w:szCs w:val="28"/>
        </w:rPr>
      </w:pPr>
    </w:p>
    <w:p w14:paraId="17F80DF4">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（二）人员情况</w:t>
      </w:r>
    </w:p>
    <w:p w14:paraId="2C80F084">
      <w:pPr>
        <w:adjustRightInd w:val="0"/>
        <w:snapToGrid w:val="0"/>
        <w:spacing w:line="540" w:lineRule="atLeast"/>
        <w:ind w:firstLine="640" w:firstLineChars="200"/>
        <w:jc w:val="left"/>
        <w:rPr>
          <w:rFonts w:ascii="仿宋_GB2312" w:hAnsi="仿宋_GB2312" w:eastAsia="仿宋_GB2312" w:cs="仿宋_GB2312"/>
          <w:kern w:val="0"/>
          <w:sz w:val="28"/>
          <w:szCs w:val="28"/>
        </w:rPr>
      </w:pPr>
      <w:r>
        <w:rPr>
          <w:rFonts w:hint="eastAsia" w:ascii="宋体" w:hAnsi="宋体" w:eastAsia="宋体" w:cs="宋体"/>
          <w:bCs/>
          <w:kern w:val="0"/>
          <w:sz w:val="32"/>
          <w:szCs w:val="32"/>
        </w:rPr>
        <w:t xml:space="preserve">  </w:t>
      </w:r>
      <w:r>
        <w:rPr>
          <w:rFonts w:hint="eastAsia" w:ascii="仿宋_GB2312" w:hAnsi="仿宋_GB2312" w:eastAsia="仿宋_GB2312" w:cs="仿宋_GB2312"/>
          <w:kern w:val="0"/>
          <w:sz w:val="28"/>
          <w:szCs w:val="28"/>
        </w:rPr>
        <w:t>人员情况：截至202</w:t>
      </w: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年底， 柿溪乡人民政府核定人员编制   人，行政编制2</w:t>
      </w: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人，事业编制 2</w:t>
      </w:r>
      <w:r>
        <w:rPr>
          <w:rFonts w:hint="eastAsia" w:ascii="仿宋_GB2312" w:hAnsi="仿宋_GB2312" w:eastAsia="仿宋_GB2312" w:cs="仿宋_GB2312"/>
          <w:kern w:val="0"/>
          <w:sz w:val="28"/>
          <w:szCs w:val="28"/>
          <w:lang w:val="en-US" w:eastAsia="zh-CN"/>
        </w:rPr>
        <w:t>0</w:t>
      </w:r>
      <w:r>
        <w:rPr>
          <w:rFonts w:hint="eastAsia" w:ascii="仿宋_GB2312" w:hAnsi="仿宋_GB2312" w:eastAsia="仿宋_GB2312" w:cs="仿宋_GB2312"/>
          <w:kern w:val="0"/>
          <w:sz w:val="28"/>
          <w:szCs w:val="28"/>
        </w:rPr>
        <w:t>人（财政补助人员5人)；实际在编  人（行政编制</w:t>
      </w:r>
      <w:r>
        <w:rPr>
          <w:rFonts w:hint="eastAsia" w:ascii="仿宋_GB2312" w:hAnsi="仿宋_GB2312" w:eastAsia="仿宋_GB2312" w:cs="仿宋_GB2312"/>
          <w:kern w:val="0"/>
          <w:sz w:val="28"/>
          <w:szCs w:val="28"/>
          <w:lang w:val="en-US" w:eastAsia="zh-CN"/>
        </w:rPr>
        <w:t>24</w:t>
      </w:r>
      <w:r>
        <w:rPr>
          <w:rFonts w:hint="eastAsia" w:ascii="仿宋_GB2312" w:hAnsi="仿宋_GB2312" w:eastAsia="仿宋_GB2312" w:cs="仿宋_GB2312"/>
          <w:kern w:val="0"/>
          <w:sz w:val="28"/>
          <w:szCs w:val="28"/>
        </w:rPr>
        <w:t>人，事业编制</w:t>
      </w:r>
      <w:r>
        <w:rPr>
          <w:rFonts w:hint="eastAsia" w:ascii="仿宋_GB2312" w:hAnsi="仿宋_GB2312" w:eastAsia="仿宋_GB2312" w:cs="仿宋_GB2312"/>
          <w:kern w:val="0"/>
          <w:sz w:val="28"/>
          <w:szCs w:val="28"/>
          <w:lang w:val="en-US" w:eastAsia="zh-CN"/>
        </w:rPr>
        <w:t>20</w:t>
      </w:r>
      <w:r>
        <w:rPr>
          <w:rFonts w:hint="eastAsia" w:ascii="仿宋_GB2312" w:hAnsi="仿宋_GB2312" w:eastAsia="仿宋_GB2312" w:cs="仿宋_GB2312"/>
          <w:kern w:val="0"/>
          <w:sz w:val="28"/>
          <w:szCs w:val="28"/>
        </w:rPr>
        <w:t>人），财政实际供给4人。</w:t>
      </w:r>
    </w:p>
    <w:p w14:paraId="151CF5BE">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（三）部门年度总体工作任务和重点工作任务</w:t>
      </w:r>
    </w:p>
    <w:p w14:paraId="4EDD7645">
      <w:pPr>
        <w:adjustRightInd w:val="0"/>
        <w:snapToGrid w:val="0"/>
        <w:spacing w:line="540" w:lineRule="atLeast"/>
        <w:ind w:firstLine="640" w:firstLineChars="200"/>
        <w:jc w:val="left"/>
        <w:rPr>
          <w:rFonts w:ascii="仿宋_GB2312" w:hAnsi="仿宋_GB2312" w:eastAsia="仿宋_GB2312" w:cs="仿宋_GB2312"/>
          <w:kern w:val="0"/>
          <w:sz w:val="28"/>
          <w:szCs w:val="28"/>
        </w:rPr>
      </w:pPr>
      <w:r>
        <w:rPr>
          <w:rFonts w:hint="eastAsia" w:ascii="宋体" w:hAnsi="宋体" w:eastAsia="宋体" w:cs="宋体"/>
          <w:bCs/>
          <w:kern w:val="0"/>
          <w:sz w:val="32"/>
          <w:szCs w:val="32"/>
        </w:rPr>
        <w:t xml:space="preserve"> </w:t>
      </w:r>
      <w:r>
        <w:rPr>
          <w:rFonts w:hint="eastAsia" w:ascii="仿宋_GB2312" w:hAnsi="仿宋_GB2312" w:eastAsia="仿宋_GB2312" w:cs="仿宋_GB2312"/>
          <w:kern w:val="0"/>
          <w:sz w:val="28"/>
          <w:szCs w:val="28"/>
        </w:rPr>
        <w:t>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环境卫生整治工作等。</w:t>
      </w:r>
    </w:p>
    <w:p w14:paraId="567AA6C6">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（四）部门年度整体收支情况</w:t>
      </w:r>
    </w:p>
    <w:p w14:paraId="2090D602">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202</w:t>
      </w: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kern w:val="0"/>
          <w:sz w:val="28"/>
          <w:szCs w:val="28"/>
        </w:rPr>
        <w:t>年共取得预算收入</w:t>
      </w:r>
      <w:r>
        <w:rPr>
          <w:rFonts w:hint="eastAsia" w:ascii="仿宋_GB2312" w:hAnsi="仿宋_GB2312" w:eastAsia="仿宋_GB2312" w:cs="仿宋_GB2312"/>
          <w:kern w:val="0"/>
          <w:sz w:val="28"/>
          <w:szCs w:val="28"/>
          <w:lang w:val="en-US" w:eastAsia="zh-CN"/>
        </w:rPr>
        <w:t>1378.55</w:t>
      </w:r>
      <w:r>
        <w:rPr>
          <w:rFonts w:hint="eastAsia" w:ascii="仿宋_GB2312" w:hAnsi="仿宋_GB2312" w:eastAsia="仿宋_GB2312" w:cs="仿宋_GB2312"/>
          <w:kern w:val="0"/>
          <w:sz w:val="28"/>
          <w:szCs w:val="28"/>
        </w:rPr>
        <w:t>万元，其中：财政拨款收入</w:t>
      </w:r>
      <w:r>
        <w:rPr>
          <w:rFonts w:hint="eastAsia" w:ascii="仿宋_GB2312" w:hAnsi="仿宋_GB2312" w:eastAsia="仿宋_GB2312" w:cs="仿宋_GB2312"/>
          <w:kern w:val="0"/>
          <w:sz w:val="28"/>
          <w:szCs w:val="28"/>
          <w:lang w:val="en-US" w:eastAsia="zh-CN"/>
        </w:rPr>
        <w:t>765.81</w:t>
      </w:r>
      <w:r>
        <w:rPr>
          <w:rFonts w:hint="eastAsia" w:ascii="仿宋_GB2312" w:hAnsi="仿宋_GB2312" w:eastAsia="仿宋_GB2312" w:cs="仿宋_GB2312"/>
          <w:kern w:val="0"/>
          <w:sz w:val="28"/>
          <w:szCs w:val="28"/>
        </w:rPr>
        <w:t>万元，占</w:t>
      </w:r>
      <w:r>
        <w:rPr>
          <w:rFonts w:hint="eastAsia" w:ascii="仿宋_GB2312" w:hAnsi="仿宋_GB2312" w:eastAsia="仿宋_GB2312" w:cs="仿宋_GB2312"/>
          <w:kern w:val="0"/>
          <w:sz w:val="28"/>
          <w:szCs w:val="28"/>
          <w:lang w:val="en-US" w:eastAsia="zh-CN"/>
        </w:rPr>
        <w:t>55.6</w:t>
      </w:r>
      <w:r>
        <w:rPr>
          <w:rFonts w:hint="eastAsia" w:ascii="仿宋_GB2312" w:hAnsi="仿宋_GB2312" w:eastAsia="仿宋_GB2312" w:cs="仿宋_GB2312"/>
          <w:kern w:val="0"/>
          <w:sz w:val="28"/>
          <w:szCs w:val="28"/>
        </w:rPr>
        <w:t>%；上级补助收入0万元，占0%；事业收入0万元，占0%；经营收入0万元，占0%；附属单位上缴收入0万元，占0%；其他收入</w:t>
      </w:r>
      <w:r>
        <w:rPr>
          <w:rFonts w:hint="eastAsia" w:ascii="仿宋_GB2312" w:hAnsi="仿宋_GB2312" w:eastAsia="仿宋_GB2312" w:cs="仿宋_GB2312"/>
          <w:kern w:val="0"/>
          <w:sz w:val="28"/>
          <w:szCs w:val="28"/>
          <w:lang w:val="en-US" w:eastAsia="zh-CN"/>
        </w:rPr>
        <w:t>612.75</w:t>
      </w:r>
      <w:r>
        <w:rPr>
          <w:rFonts w:hint="eastAsia" w:ascii="仿宋_GB2312" w:hAnsi="仿宋_GB2312" w:eastAsia="仿宋_GB2312" w:cs="仿宋_GB2312"/>
          <w:kern w:val="0"/>
          <w:sz w:val="28"/>
          <w:szCs w:val="28"/>
        </w:rPr>
        <w:t>万元，占</w:t>
      </w:r>
      <w:r>
        <w:rPr>
          <w:rFonts w:hint="eastAsia" w:ascii="仿宋_GB2312" w:hAnsi="仿宋_GB2312" w:eastAsia="仿宋_GB2312" w:cs="仿宋_GB2312"/>
          <w:kern w:val="0"/>
          <w:sz w:val="28"/>
          <w:szCs w:val="28"/>
          <w:lang w:val="en-US" w:eastAsia="zh-CN"/>
        </w:rPr>
        <w:t>44.4</w:t>
      </w:r>
      <w:r>
        <w:rPr>
          <w:rFonts w:hint="eastAsia" w:ascii="仿宋_GB2312" w:hAnsi="仿宋_GB2312" w:eastAsia="仿宋_GB2312" w:cs="仿宋_GB2312"/>
          <w:kern w:val="0"/>
          <w:sz w:val="28"/>
          <w:szCs w:val="28"/>
        </w:rPr>
        <w:t>%。</w:t>
      </w:r>
    </w:p>
    <w:p w14:paraId="1D986CBE">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预算支出合计</w:t>
      </w:r>
      <w:r>
        <w:rPr>
          <w:rFonts w:hint="eastAsia" w:ascii="仿宋_GB2312" w:hAnsi="仿宋_GB2312" w:eastAsia="仿宋_GB2312" w:cs="仿宋_GB2312"/>
          <w:kern w:val="0"/>
          <w:sz w:val="28"/>
          <w:szCs w:val="28"/>
          <w:lang w:val="en-US" w:eastAsia="zh-CN"/>
        </w:rPr>
        <w:t>1378.55</w:t>
      </w:r>
      <w:r>
        <w:rPr>
          <w:rFonts w:hint="eastAsia" w:ascii="仿宋_GB2312" w:hAnsi="仿宋_GB2312" w:eastAsia="仿宋_GB2312" w:cs="仿宋_GB2312"/>
          <w:kern w:val="0"/>
          <w:sz w:val="28"/>
          <w:szCs w:val="28"/>
        </w:rPr>
        <w:t xml:space="preserve">万元，其中：基本支出 </w:t>
      </w:r>
      <w:r>
        <w:rPr>
          <w:rFonts w:hint="eastAsia" w:ascii="仿宋_GB2312" w:hAnsi="仿宋_GB2312" w:eastAsia="仿宋_GB2312" w:cs="仿宋_GB2312"/>
          <w:kern w:val="0"/>
          <w:sz w:val="28"/>
          <w:szCs w:val="28"/>
          <w:lang w:val="en-US" w:eastAsia="zh-CN"/>
        </w:rPr>
        <w:t>974.55</w:t>
      </w:r>
      <w:r>
        <w:rPr>
          <w:rFonts w:hint="eastAsia" w:ascii="仿宋_GB2312" w:hAnsi="仿宋_GB2312" w:eastAsia="仿宋_GB2312" w:cs="仿宋_GB2312"/>
          <w:kern w:val="0"/>
          <w:sz w:val="28"/>
          <w:szCs w:val="28"/>
        </w:rPr>
        <w:t xml:space="preserve">万元，占 </w:t>
      </w:r>
      <w:r>
        <w:rPr>
          <w:rFonts w:hint="eastAsia" w:ascii="仿宋_GB2312" w:hAnsi="仿宋_GB2312" w:eastAsia="仿宋_GB2312" w:cs="仿宋_GB2312"/>
          <w:kern w:val="0"/>
          <w:sz w:val="28"/>
          <w:szCs w:val="28"/>
          <w:lang w:val="en-US" w:eastAsia="zh-CN"/>
        </w:rPr>
        <w:t>70.7</w:t>
      </w:r>
      <w:r>
        <w:rPr>
          <w:rFonts w:hint="eastAsia" w:ascii="仿宋_GB2312" w:hAnsi="仿宋_GB2312" w:eastAsia="仿宋_GB2312" w:cs="仿宋_GB2312"/>
          <w:kern w:val="0"/>
          <w:sz w:val="28"/>
          <w:szCs w:val="28"/>
        </w:rPr>
        <w:t xml:space="preserve"> %；项目支出</w:t>
      </w:r>
      <w:r>
        <w:rPr>
          <w:rFonts w:hint="eastAsia" w:ascii="仿宋_GB2312" w:hAnsi="仿宋_GB2312" w:eastAsia="仿宋_GB2312" w:cs="仿宋_GB2312"/>
          <w:kern w:val="0"/>
          <w:sz w:val="28"/>
          <w:szCs w:val="28"/>
          <w:lang w:val="en-US" w:eastAsia="zh-CN"/>
        </w:rPr>
        <w:t>404</w:t>
      </w:r>
      <w:r>
        <w:rPr>
          <w:rFonts w:hint="eastAsia" w:ascii="仿宋_GB2312" w:hAnsi="仿宋_GB2312" w:eastAsia="仿宋_GB2312" w:cs="仿宋_GB2312"/>
          <w:kern w:val="0"/>
          <w:sz w:val="28"/>
          <w:szCs w:val="28"/>
        </w:rPr>
        <w:t>万元，占</w:t>
      </w:r>
      <w:r>
        <w:rPr>
          <w:rFonts w:hint="eastAsia" w:ascii="仿宋_GB2312" w:hAnsi="仿宋_GB2312" w:eastAsia="仿宋_GB2312" w:cs="仿宋_GB2312"/>
          <w:kern w:val="0"/>
          <w:sz w:val="28"/>
          <w:szCs w:val="28"/>
          <w:lang w:val="en-US" w:eastAsia="zh-CN"/>
        </w:rPr>
        <w:t>29.3</w:t>
      </w:r>
      <w:r>
        <w:rPr>
          <w:rFonts w:hint="eastAsia" w:ascii="仿宋_GB2312" w:hAnsi="仿宋_GB2312" w:eastAsia="仿宋_GB2312" w:cs="仿宋_GB2312"/>
          <w:kern w:val="0"/>
          <w:sz w:val="28"/>
          <w:szCs w:val="28"/>
        </w:rPr>
        <w:t>%；上缴上级支出0万元，占0 %；经营支出0万元，占0%；对附属单位补助支出0万元，占0%。</w:t>
      </w:r>
    </w:p>
    <w:p w14:paraId="43A378BF">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832平台及电子卖场乡村振兴馆采购预留份额共计5万元。</w:t>
      </w:r>
    </w:p>
    <w:p w14:paraId="59585A6E">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（五）部门年度整体工作目标任务完成情况</w:t>
      </w:r>
    </w:p>
    <w:p w14:paraId="383E65C6">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预算编制合理，充分的预计支出并完整反应，预算执行率达100%，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单位不断改善行政管理、严格经费及资产管理；做好防汛抗旱、防治大气污染工作；督促和指导乡村抓好基础管理工作和安全生产工作；改进文风会风，精简会议，提高了行政效率，各方面工作得到社会大众的肯定和好评，在年度绩效考核中成绩优异。</w:t>
      </w:r>
    </w:p>
    <w:p w14:paraId="1EE3B0AF">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二、部门整体评价工作开展</w:t>
      </w:r>
    </w:p>
    <w:p w14:paraId="2DB3E8A1">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绩效评价实施过程情况</w:t>
      </w:r>
    </w:p>
    <w:p w14:paraId="7A32FB62">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采用“4E”评价法及平衡记分法，从经济性、效率性、效益性、公平性、群众满意度进行政府绩效评价。通过对比年末预决算数据来评估经济性、效益性、公平性，在日常工作中收集群众反馈问题及投诉来评估群众满意度，更加全面、细致的完成部门整体评价。</w:t>
      </w:r>
    </w:p>
    <w:p w14:paraId="3BA6520F">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三、决算支出组织实施情况</w:t>
      </w:r>
    </w:p>
    <w:p w14:paraId="6BAD2761">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资金使用管理情况</w:t>
      </w:r>
    </w:p>
    <w:p w14:paraId="7ACD9C5B">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我乡严格执行各项财务管理制度，强化资金管理和使用。通过加强预算收支管理，梳理内部管理流程，管好用好每笔资金，杜绝违规违法事件的发生。财务活动及时进行会计核算，对项目资金、政府采购进行公开公示，接受审计、财政监督、纪检监察等部门的监督检查。</w:t>
      </w:r>
    </w:p>
    <w:p w14:paraId="02BFCB31">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四、决算支出绩效情况</w:t>
      </w:r>
    </w:p>
    <w:p w14:paraId="36658FEE">
      <w:pPr>
        <w:adjustRightInd w:val="0"/>
        <w:snapToGrid w:val="0"/>
        <w:spacing w:line="540" w:lineRule="atLeas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（一）决算支出决策情况。</w:t>
      </w:r>
    </w:p>
    <w:p w14:paraId="3166C746">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预算与部门中长期规划目标相匹配，立项依据充分，与部门职责匹配，项目立项规范。绩效目标设定与事业发展规划相关，与年度预算相匹配，但绩效目标未细化分解为清晰、可衡量的绩效指标。</w:t>
      </w:r>
    </w:p>
    <w:p w14:paraId="42CA3A59">
      <w:pPr>
        <w:adjustRightInd w:val="0"/>
        <w:snapToGrid w:val="0"/>
        <w:spacing w:line="540" w:lineRule="atLeast"/>
        <w:ind w:firstLine="602" w:firstLineChars="200"/>
        <w:jc w:val="left"/>
        <w:rPr>
          <w:rFonts w:ascii="宋体" w:hAnsi="宋体" w:eastAsia="宋体" w:cs="宋体"/>
          <w:bCs/>
          <w:kern w:val="0"/>
          <w:sz w:val="32"/>
          <w:szCs w:val="32"/>
        </w:rPr>
      </w:pPr>
      <w:r>
        <w:rPr>
          <w:rFonts w:hint="eastAsia" w:ascii="仿宋" w:hAnsi="仿宋" w:eastAsia="仿宋" w:cs="仿宋"/>
          <w:b/>
          <w:bCs/>
          <w:kern w:val="0"/>
          <w:sz w:val="30"/>
          <w:szCs w:val="30"/>
        </w:rPr>
        <w:t>（二）决算支出过程情况。</w:t>
      </w:r>
    </w:p>
    <w:p w14:paraId="745CE02D">
      <w:pPr>
        <w:adjustRightInd w:val="0"/>
        <w:snapToGrid w:val="0"/>
        <w:spacing w:line="540" w:lineRule="atLeas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1、部门支出绩效。</w:t>
      </w:r>
    </w:p>
    <w:p w14:paraId="6432DAFB">
      <w:pPr>
        <w:adjustRightInd w:val="0"/>
        <w:snapToGrid w:val="0"/>
        <w:spacing w:line="540" w:lineRule="atLeast"/>
        <w:ind w:firstLine="562" w:firstLineChars="200"/>
        <w:jc w:val="left"/>
        <w:rPr>
          <w:rFonts w:ascii="宋体" w:hAnsi="宋体" w:eastAsia="宋体" w:cs="宋体"/>
          <w:b/>
          <w:bCs/>
          <w:kern w:val="0"/>
          <w:sz w:val="28"/>
          <w:szCs w:val="28"/>
        </w:rPr>
      </w:pPr>
      <w:r>
        <w:rPr>
          <w:rFonts w:hint="eastAsia" w:ascii="仿宋" w:hAnsi="仿宋" w:eastAsia="仿宋" w:cs="仿宋"/>
          <w:b/>
          <w:bCs/>
          <w:kern w:val="0"/>
          <w:sz w:val="28"/>
          <w:szCs w:val="28"/>
        </w:rPr>
        <w:t>（1）行政运转保障。</w:t>
      </w:r>
    </w:p>
    <w:p w14:paraId="6CCE2BBF">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柿溪人民政府财政拨款支出主要用于保障我乡部门机构正常运转、完成日常工作任务以及承担本乡事业发展相关工作。</w:t>
      </w:r>
    </w:p>
    <w:p w14:paraId="4BAD79C7">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基本支出，是用于保障政府机关、事业单位等机构正常运转的日常支出，包括基本工资、津贴补贴等人员经费以及办公费、印刷费、水电费、办公设备购置等日常公用经费。</w:t>
      </w:r>
    </w:p>
    <w:p w14:paraId="79A6FEC0">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按支出功能分类主要用于以下方面：一般公共服务，社会保障和就业，卫生健康，城乡社区，农林水，住房保障等支出。</w:t>
      </w:r>
    </w:p>
    <w:p w14:paraId="0A33E701">
      <w:pPr>
        <w:adjustRightInd w:val="0"/>
        <w:snapToGrid w:val="0"/>
        <w:spacing w:line="540" w:lineRule="atLeas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（2）机关厉行节约。</w:t>
      </w:r>
    </w:p>
    <w:p w14:paraId="3176C9A3">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我乡认真执行中央“八项”规定，秉承“开源节流，量入为出”的宗旨，严格控制“三公”经费等支出。</w:t>
      </w:r>
    </w:p>
    <w:p w14:paraId="42438662">
      <w:pPr>
        <w:adjustRightInd w:val="0"/>
        <w:snapToGrid w:val="0"/>
        <w:spacing w:line="540" w:lineRule="atLeas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（3）机关节能降耗。</w:t>
      </w:r>
    </w:p>
    <w:p w14:paraId="315C88FC">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下班后自觉关闭各类电器设备电源，做到节约用水，增强勤俭节约意识。规范办公用品采购，加强办公用品的使用管理。</w:t>
      </w:r>
    </w:p>
    <w:p w14:paraId="305C0847">
      <w:pPr>
        <w:adjustRightInd w:val="0"/>
        <w:snapToGrid w:val="0"/>
        <w:spacing w:line="540" w:lineRule="atLeast"/>
        <w:ind w:firstLine="562" w:firstLineChars="200"/>
        <w:jc w:val="left"/>
        <w:rPr>
          <w:rFonts w:ascii="仿宋" w:hAnsi="仿宋" w:eastAsia="仿宋" w:cs="仿宋"/>
          <w:b/>
          <w:bCs/>
          <w:kern w:val="0"/>
          <w:sz w:val="28"/>
          <w:szCs w:val="28"/>
        </w:rPr>
      </w:pPr>
      <w:r>
        <w:rPr>
          <w:rFonts w:hint="eastAsia" w:ascii="仿宋" w:hAnsi="仿宋" w:eastAsia="仿宋" w:cs="仿宋"/>
          <w:b/>
          <w:bCs/>
          <w:kern w:val="0"/>
          <w:sz w:val="28"/>
          <w:szCs w:val="28"/>
        </w:rPr>
        <w:t>（三）决算支出产出情况。</w:t>
      </w:r>
    </w:p>
    <w:p w14:paraId="5A04E4FE">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14:paraId="21AACA44">
      <w:pPr>
        <w:adjustRightInd w:val="0"/>
        <w:snapToGrid w:val="0"/>
        <w:spacing w:line="540" w:lineRule="atLeast"/>
        <w:ind w:firstLine="562" w:firstLineChars="200"/>
        <w:jc w:val="left"/>
        <w:rPr>
          <w:rFonts w:ascii="宋体" w:hAnsi="宋体" w:eastAsia="宋体" w:cs="宋体"/>
          <w:bCs/>
          <w:kern w:val="0"/>
          <w:sz w:val="32"/>
          <w:szCs w:val="32"/>
        </w:rPr>
      </w:pPr>
      <w:r>
        <w:rPr>
          <w:rFonts w:hint="eastAsia" w:ascii="仿宋" w:hAnsi="仿宋" w:eastAsia="仿宋" w:cs="仿宋"/>
          <w:b/>
          <w:bCs/>
          <w:kern w:val="0"/>
          <w:sz w:val="28"/>
          <w:szCs w:val="28"/>
        </w:rPr>
        <w:t>（四）决算支出效益情况。</w:t>
      </w:r>
    </w:p>
    <w:p w14:paraId="39EEAD3E">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14:paraId="72FA92EF">
      <w:pPr>
        <w:adjustRightInd w:val="0"/>
        <w:snapToGrid w:val="0"/>
        <w:spacing w:line="540" w:lineRule="atLeast"/>
        <w:ind w:firstLine="560" w:firstLineChars="200"/>
        <w:jc w:val="left"/>
        <w:rPr>
          <w:rFonts w:ascii="仿宋_GB2312" w:hAnsi="仿宋_GB2312" w:eastAsia="仿宋_GB2312" w:cs="仿宋_GB2312"/>
          <w:kern w:val="0"/>
          <w:sz w:val="28"/>
          <w:szCs w:val="28"/>
        </w:rPr>
      </w:pPr>
    </w:p>
    <w:p w14:paraId="05D62435">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四、存在的问题</w:t>
      </w:r>
    </w:p>
    <w:p w14:paraId="7D98AED0">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存在的问题：1.预算编制工作有待细化。预算编制不够明确和细化，预算编制的合理性需要提高，预算执行力度还要进一步加强；2.公用经费控制有一定难度，基本为刚性支出。</w:t>
      </w:r>
    </w:p>
    <w:p w14:paraId="6559E762">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五、整改措施或建议</w:t>
      </w:r>
    </w:p>
    <w:p w14:paraId="18A3C2A0">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1.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0758993D">
      <w:pPr>
        <w:adjustRightInd w:val="0"/>
        <w:snapToGrid w:val="0"/>
        <w:spacing w:line="540" w:lineRule="atLeast"/>
        <w:ind w:firstLine="560" w:firstLineChars="200"/>
        <w:jc w:val="left"/>
        <w:rPr>
          <w:rFonts w:ascii="宋体" w:hAnsi="宋体" w:eastAsia="宋体" w:cs="宋体"/>
          <w:bCs/>
          <w:kern w:val="0"/>
          <w:sz w:val="32"/>
          <w:szCs w:val="32"/>
        </w:rPr>
      </w:pPr>
      <w:r>
        <w:rPr>
          <w:rFonts w:hint="eastAsia" w:ascii="仿宋_GB2312" w:hAnsi="仿宋_GB2312" w:eastAsia="仿宋_GB2312" w:cs="仿宋_GB2312"/>
          <w:kern w:val="0"/>
          <w:sz w:val="28"/>
          <w:szCs w:val="28"/>
        </w:rPr>
        <w:t>2. 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04CB9199">
      <w:pPr>
        <w:adjustRightInd w:val="0"/>
        <w:snapToGrid w:val="0"/>
        <w:spacing w:line="540" w:lineRule="atLeast"/>
        <w:ind w:firstLine="643" w:firstLineChars="200"/>
        <w:rPr>
          <w:rFonts w:ascii="宋体" w:hAnsi="宋体" w:eastAsia="宋体" w:cs="宋体"/>
          <w:b/>
          <w:sz w:val="32"/>
          <w:szCs w:val="32"/>
        </w:rPr>
      </w:pPr>
      <w:r>
        <w:rPr>
          <w:rFonts w:hint="eastAsia" w:ascii="宋体" w:hAnsi="宋体" w:eastAsia="宋体" w:cs="宋体"/>
          <w:b/>
          <w:sz w:val="32"/>
          <w:szCs w:val="32"/>
        </w:rPr>
        <w:t>六、其他需要说明的问题</w:t>
      </w:r>
    </w:p>
    <w:p w14:paraId="1293D9FD">
      <w:pPr>
        <w:adjustRightInd w:val="0"/>
        <w:snapToGrid w:val="0"/>
        <w:spacing w:line="540" w:lineRule="atLeast"/>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E8082">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EBF84ED">
                          <w:pPr>
                            <w:pStyle w:val="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EBF84ED">
                    <w:pPr>
                      <w:pStyle w:val="2"/>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71A933E6"/>
    <w:rsid w:val="000E636B"/>
    <w:rsid w:val="00380CEB"/>
    <w:rsid w:val="00493E9B"/>
    <w:rsid w:val="005406FF"/>
    <w:rsid w:val="005F0E1A"/>
    <w:rsid w:val="007F1439"/>
    <w:rsid w:val="0091725C"/>
    <w:rsid w:val="009E03D8"/>
    <w:rsid w:val="00BD24D0"/>
    <w:rsid w:val="00BF213D"/>
    <w:rsid w:val="00EC1F80"/>
    <w:rsid w:val="104F5AB9"/>
    <w:rsid w:val="13272725"/>
    <w:rsid w:val="15874EE2"/>
    <w:rsid w:val="229055EC"/>
    <w:rsid w:val="266E798B"/>
    <w:rsid w:val="33A144D4"/>
    <w:rsid w:val="4BC86317"/>
    <w:rsid w:val="4D946E30"/>
    <w:rsid w:val="54D977CC"/>
    <w:rsid w:val="68E557E8"/>
    <w:rsid w:val="71A933E6"/>
    <w:rsid w:val="78043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footnote text"/>
    <w:basedOn w:val="1"/>
    <w:qFormat/>
    <w:uiPriority w:val="0"/>
    <w:pPr>
      <w:snapToGrid w:val="0"/>
      <w:jc w:val="left"/>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2854</Words>
  <Characters>2930</Characters>
  <Lines>23</Lines>
  <Paragraphs>6</Paragraphs>
  <TotalTime>6</TotalTime>
  <ScaleCrop>false</ScaleCrop>
  <LinksUpToDate>false</LinksUpToDate>
  <CharactersWithSpaces>2950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2022-03-31T02:28:00Z</dcterms:created>
  <dc:creator>执子之爪</dc:creator>
  <cp:lastModifiedBy>86135</cp:lastModifiedBy>
  <dcterms:modified xsi:type="dcterms:W3CDTF">2024-11-01T08:31:48Z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8C9ECE7929A743F4A2AC16DBD1956C49_13</vt:lpwstr>
  </property>
</Properties>
</file>