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hint="eastAsia" w:eastAsia="方正小标宋_GBK"/>
          <w:sz w:val="36"/>
          <w:szCs w:val="36"/>
        </w:rPr>
      </w:pPr>
    </w:p>
    <w:p>
      <w:pPr>
        <w:spacing w:line="600" w:lineRule="exact"/>
        <w:jc w:val="center"/>
        <w:rPr>
          <w:rFonts w:hint="eastAsia" w:eastAsia="方正小标宋_GBK"/>
          <w:sz w:val="36"/>
          <w:szCs w:val="36"/>
        </w:rPr>
      </w:pPr>
    </w:p>
    <w:p>
      <w:pPr>
        <w:spacing w:line="600" w:lineRule="exact"/>
        <w:jc w:val="center"/>
        <w:rPr>
          <w:rFonts w:hint="eastAsia" w:eastAsia="方正小标宋_GBK"/>
          <w:sz w:val="36"/>
          <w:szCs w:val="36"/>
        </w:rPr>
      </w:pPr>
    </w:p>
    <w:p>
      <w:pPr>
        <w:spacing w:line="600" w:lineRule="exact"/>
        <w:jc w:val="center"/>
        <w:rPr>
          <w:rFonts w:hint="eastAsia" w:eastAsia="方正小标宋_GBK"/>
          <w:sz w:val="36"/>
          <w:szCs w:val="36"/>
        </w:rPr>
      </w:pPr>
    </w:p>
    <w:p>
      <w:pPr>
        <w:spacing w:line="600" w:lineRule="exact"/>
        <w:jc w:val="center"/>
        <w:rPr>
          <w:rFonts w:hint="eastAsia" w:eastAsia="方正小标宋_GBK"/>
          <w:sz w:val="36"/>
          <w:szCs w:val="36"/>
        </w:rPr>
      </w:pPr>
    </w:p>
    <w:p>
      <w:pPr>
        <w:spacing w:line="600" w:lineRule="exact"/>
        <w:jc w:val="center"/>
        <w:rPr>
          <w:rFonts w:hint="eastAsia" w:eastAsia="方正小标宋_GBK"/>
          <w:sz w:val="36"/>
          <w:szCs w:val="36"/>
        </w:rPr>
      </w:pPr>
    </w:p>
    <w:p>
      <w:pPr>
        <w:spacing w:line="600" w:lineRule="exact"/>
        <w:jc w:val="both"/>
        <w:rPr>
          <w:rFonts w:hint="eastAsia" w:eastAsia="方正小标宋_GBK"/>
          <w:sz w:val="36"/>
          <w:szCs w:val="36"/>
        </w:rPr>
      </w:pPr>
      <w:bookmarkStart w:id="3" w:name="_GoBack"/>
      <w:bookmarkEnd w:id="3"/>
    </w:p>
    <w:p>
      <w:pPr>
        <w:spacing w:line="600" w:lineRule="exact"/>
        <w:jc w:val="center"/>
        <w:rPr>
          <w:rFonts w:eastAsia="方正小标宋_GBK"/>
          <w:sz w:val="36"/>
          <w:szCs w:val="36"/>
        </w:rPr>
      </w:pPr>
      <w:r>
        <w:rPr>
          <w:rFonts w:hint="eastAsia" w:eastAsia="方正小标宋_GBK"/>
          <w:sz w:val="36"/>
          <w:szCs w:val="36"/>
        </w:rPr>
        <w:t>辰溪县</w:t>
      </w:r>
      <w:r>
        <w:rPr>
          <w:rFonts w:hint="eastAsia" w:eastAsia="方正小标宋_GBK"/>
          <w:sz w:val="36"/>
          <w:szCs w:val="36"/>
          <w:lang w:val="en-US" w:eastAsia="zh-CN"/>
        </w:rPr>
        <w:t>谭家场</w:t>
      </w:r>
      <w:r>
        <w:rPr>
          <w:rFonts w:hint="eastAsia" w:eastAsia="方正小标宋_GBK"/>
          <w:sz w:val="36"/>
          <w:szCs w:val="36"/>
        </w:rPr>
        <w:t>乡人民政府2020年度部门整体支出绩效评价报告</w:t>
      </w:r>
    </w:p>
    <w:p>
      <w:pPr>
        <w:spacing w:line="600" w:lineRule="exact"/>
        <w:jc w:val="center"/>
        <w:rPr>
          <w:rFonts w:eastAsia="黑体"/>
          <w:kern w:val="0"/>
          <w:sz w:val="32"/>
          <w:szCs w:val="32"/>
        </w:rPr>
      </w:pPr>
    </w:p>
    <w:p>
      <w:pPr>
        <w:spacing w:line="600" w:lineRule="exact"/>
        <w:ind w:firstLine="643" w:firstLineChars="200"/>
        <w:rPr>
          <w:rFonts w:eastAsia="黑体"/>
          <w:b/>
          <w:bCs/>
          <w:sz w:val="32"/>
          <w:szCs w:val="32"/>
        </w:rPr>
      </w:pPr>
      <w:r>
        <w:rPr>
          <w:rFonts w:hint="eastAsia" w:eastAsia="黑体"/>
          <w:b/>
          <w:bCs/>
          <w:sz w:val="32"/>
          <w:szCs w:val="32"/>
        </w:rPr>
        <w:t>一、决算支出基本情况</w:t>
      </w:r>
    </w:p>
    <w:p>
      <w:pPr>
        <w:adjustRightInd w:val="0"/>
        <w:snapToGrid w:val="0"/>
        <w:spacing w:line="600" w:lineRule="exact"/>
        <w:ind w:firstLine="643" w:firstLineChars="200"/>
        <w:rPr>
          <w:rFonts w:eastAsia="楷体_GB2312"/>
          <w:b/>
          <w:sz w:val="32"/>
          <w:szCs w:val="32"/>
        </w:rPr>
      </w:pPr>
      <w:r>
        <w:rPr>
          <w:rFonts w:hint="eastAsia" w:eastAsia="楷体_GB2312"/>
          <w:b/>
          <w:sz w:val="32"/>
          <w:szCs w:val="32"/>
        </w:rPr>
        <w:t>（一）单位基本情况</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40" w:lineRule="atLeast"/>
        <w:ind w:left="0" w:right="0" w:firstLine="420"/>
        <w:jc w:val="both"/>
        <w:rPr>
          <w:rFonts w:ascii="Helvetica" w:hAnsi="Helvetica" w:eastAsia="Helvetica" w:cs="Helvetica"/>
          <w:i w:val="0"/>
          <w:iCs w:val="0"/>
          <w:caps w:val="0"/>
          <w:color w:val="3D3D3D"/>
          <w:spacing w:val="0"/>
          <w:sz w:val="27"/>
          <w:szCs w:val="27"/>
        </w:rPr>
      </w:pPr>
      <w:r>
        <w:rPr>
          <w:rFonts w:hint="default" w:ascii="Helvetica" w:hAnsi="Helvetica" w:eastAsia="Helvetica" w:cs="Helvetica"/>
          <w:i w:val="0"/>
          <w:iCs w:val="0"/>
          <w:caps w:val="0"/>
          <w:color w:val="3D3D3D"/>
          <w:spacing w:val="0"/>
          <w:sz w:val="27"/>
          <w:szCs w:val="27"/>
          <w:shd w:val="clear" w:fill="FFFFFF"/>
        </w:rPr>
        <w:t>辰溪县谭家场乡人民政府基本职能：承担促进经济发展、搞好公共服务、加强社会管理、维护社会稳定等综合职能。具体职能如下：1、认真贯彻国家的方针政策、法律、法规，严格遵循财经纪律和各项规章制度。2、执行本级人民代表大会的决议和上级国家行政机关的决定和命令。3、执行本行政区域内的经济和社会发展计划、预算，管理本行政区域内的经济、教育、科学、文化、卫健、体育事业和财政、民政、司法行政等行政工作。4、保护社会主义的全民所有的财产和劳动群众集体所有的财产，保护公民私人所有的合法财产，维护社会秩序，保障公民的人身权利、民主权利和其他权利。5、保护各种经济组织的合法权益。6、办理上级人民政府交办的其他事项。</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40" w:lineRule="atLeast"/>
        <w:ind w:left="0" w:right="0" w:firstLine="420"/>
        <w:jc w:val="both"/>
        <w:rPr>
          <w:rFonts w:hint="default" w:ascii="Helvetica" w:hAnsi="Helvetica" w:eastAsia="Helvetica" w:cs="Helvetica"/>
          <w:i w:val="0"/>
          <w:iCs w:val="0"/>
          <w:caps w:val="0"/>
          <w:color w:val="3D3D3D"/>
          <w:spacing w:val="0"/>
          <w:sz w:val="27"/>
          <w:szCs w:val="27"/>
        </w:rPr>
      </w:pPr>
      <w:r>
        <w:rPr>
          <w:rFonts w:hint="default" w:ascii="Helvetica" w:hAnsi="Helvetica" w:eastAsia="Helvetica" w:cs="Helvetica"/>
          <w:i w:val="0"/>
          <w:iCs w:val="0"/>
          <w:caps w:val="0"/>
          <w:color w:val="3D3D3D"/>
          <w:spacing w:val="0"/>
          <w:sz w:val="27"/>
          <w:szCs w:val="27"/>
          <w:shd w:val="clear" w:fill="FFFFFF"/>
        </w:rPr>
        <w:t>人员情况：截至20</w:t>
      </w:r>
      <w:r>
        <w:rPr>
          <w:rFonts w:hint="eastAsia" w:ascii="Helvetica" w:hAnsi="Helvetica" w:cs="Helvetica"/>
          <w:i w:val="0"/>
          <w:iCs w:val="0"/>
          <w:caps w:val="0"/>
          <w:color w:val="3D3D3D"/>
          <w:spacing w:val="0"/>
          <w:sz w:val="27"/>
          <w:szCs w:val="27"/>
          <w:shd w:val="clear" w:fill="FFFFFF"/>
          <w:lang w:val="en-US" w:eastAsia="zh-CN"/>
        </w:rPr>
        <w:t>20</w:t>
      </w:r>
      <w:r>
        <w:rPr>
          <w:rFonts w:hint="default" w:ascii="Helvetica" w:hAnsi="Helvetica" w:eastAsia="Helvetica" w:cs="Helvetica"/>
          <w:i w:val="0"/>
          <w:iCs w:val="0"/>
          <w:caps w:val="0"/>
          <w:color w:val="3D3D3D"/>
          <w:spacing w:val="0"/>
          <w:sz w:val="27"/>
          <w:szCs w:val="27"/>
          <w:shd w:val="clear" w:fill="FFFFFF"/>
        </w:rPr>
        <w:t>年底，谭家场乡人民政府核定人员编制48人，行政编制22人，事业编制26人（财政补助人员26人)；实际在编47人（行政编制21人，事业编制26人），财政实际供给47人。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40" w:lineRule="atLeast"/>
        <w:ind w:left="0" w:right="0" w:firstLine="420"/>
        <w:jc w:val="both"/>
        <w:rPr>
          <w:rFonts w:hint="default" w:ascii="Helvetica" w:hAnsi="Helvetica" w:eastAsia="Helvetica" w:cs="Helvetica"/>
          <w:i w:val="0"/>
          <w:iCs w:val="0"/>
          <w:caps w:val="0"/>
          <w:color w:val="3D3D3D"/>
          <w:spacing w:val="0"/>
          <w:sz w:val="27"/>
          <w:szCs w:val="27"/>
        </w:rPr>
      </w:pPr>
      <w:r>
        <w:rPr>
          <w:rFonts w:hint="default" w:ascii="Helvetica" w:hAnsi="Helvetica" w:eastAsia="Helvetica" w:cs="Helvetica"/>
          <w:i w:val="0"/>
          <w:iCs w:val="0"/>
          <w:caps w:val="0"/>
          <w:color w:val="3D3D3D"/>
          <w:spacing w:val="0"/>
          <w:sz w:val="27"/>
          <w:szCs w:val="27"/>
          <w:shd w:val="clear" w:fill="FFFFFF"/>
        </w:rPr>
        <w:t>机构设置情况：谭家场乡人民政府属全额行政机关，是一级部门预算单位，根据编制部门机构改革批复方案，内设党政办公室、党建办公室、经济发展办公室、社会事务办公室、社会治安和应急管理办公室、自然资源和生态环境办公室、社会事务综合服务中心、农业综合服务中心、便民服务中心、综合行政执法大队、财政所。</w:t>
      </w:r>
    </w:p>
    <w:p>
      <w:pPr>
        <w:adjustRightInd w:val="0"/>
        <w:snapToGrid w:val="0"/>
        <w:spacing w:line="600" w:lineRule="exact"/>
        <w:ind w:firstLine="643" w:firstLineChars="200"/>
        <w:rPr>
          <w:rFonts w:eastAsia="楷体_GB2312"/>
          <w:b/>
          <w:sz w:val="32"/>
          <w:szCs w:val="32"/>
        </w:rPr>
      </w:pPr>
      <w:r>
        <w:rPr>
          <w:rFonts w:hint="eastAsia" w:eastAsia="楷体_GB2312"/>
          <w:b/>
          <w:sz w:val="32"/>
          <w:szCs w:val="32"/>
        </w:rPr>
        <w:t>（二）决算资金基本情况</w:t>
      </w:r>
    </w:p>
    <w:p>
      <w:pPr>
        <w:adjustRightInd w:val="0"/>
        <w:snapToGrid w:val="0"/>
        <w:spacing w:line="600" w:lineRule="exact"/>
        <w:ind w:firstLine="640" w:firstLineChars="200"/>
        <w:rPr>
          <w:rFonts w:eastAsia="仿宋_GB2312"/>
          <w:sz w:val="32"/>
          <w:szCs w:val="32"/>
        </w:rPr>
      </w:pPr>
      <w:r>
        <w:rPr>
          <w:rFonts w:hint="eastAsia" w:eastAsia="仿宋_GB2312"/>
          <w:sz w:val="32"/>
          <w:szCs w:val="32"/>
        </w:rPr>
        <w:t>2020年度共取得部门决算收入</w:t>
      </w:r>
      <w:r>
        <w:rPr>
          <w:rFonts w:hint="eastAsia" w:eastAsia="仿宋_GB2312"/>
          <w:sz w:val="32"/>
          <w:szCs w:val="32"/>
          <w:lang w:val="en-US" w:eastAsia="zh-CN"/>
        </w:rPr>
        <w:t>886.9</w:t>
      </w:r>
      <w:r>
        <w:rPr>
          <w:rFonts w:hint="eastAsia" w:eastAsia="仿宋_GB2312"/>
          <w:sz w:val="32"/>
          <w:szCs w:val="32"/>
        </w:rPr>
        <w:t>万元，其中：一般公共预算拨款收入</w:t>
      </w:r>
      <w:r>
        <w:rPr>
          <w:rFonts w:hint="eastAsia" w:eastAsia="仿宋_GB2312"/>
          <w:sz w:val="32"/>
          <w:szCs w:val="32"/>
          <w:lang w:val="en-US" w:eastAsia="zh-CN"/>
        </w:rPr>
        <w:t>886.9</w:t>
      </w:r>
      <w:r>
        <w:rPr>
          <w:rFonts w:hint="eastAsia" w:eastAsia="仿宋_GB2312"/>
          <w:sz w:val="32"/>
          <w:szCs w:val="32"/>
        </w:rPr>
        <w:t>万元，占</w:t>
      </w:r>
      <w:r>
        <w:rPr>
          <w:rFonts w:hint="eastAsia" w:eastAsia="仿宋_GB2312"/>
          <w:sz w:val="32"/>
          <w:szCs w:val="32"/>
          <w:lang w:val="en-US" w:eastAsia="zh-CN"/>
        </w:rPr>
        <w:t>100</w:t>
      </w:r>
      <w:r>
        <w:rPr>
          <w:rFonts w:hint="eastAsia" w:eastAsia="仿宋_GB2312"/>
          <w:sz w:val="32"/>
          <w:szCs w:val="32"/>
        </w:rPr>
        <w:t>%。包含：一般公共服务收入</w:t>
      </w:r>
      <w:r>
        <w:rPr>
          <w:rFonts w:hint="eastAsia" w:eastAsia="仿宋_GB2312"/>
          <w:sz w:val="32"/>
          <w:szCs w:val="32"/>
          <w:lang w:val="en-US" w:eastAsia="zh-CN"/>
        </w:rPr>
        <w:t>617.2</w:t>
      </w:r>
      <w:r>
        <w:rPr>
          <w:rFonts w:hint="eastAsia" w:eastAsia="仿宋_GB2312"/>
          <w:sz w:val="32"/>
          <w:szCs w:val="32"/>
        </w:rPr>
        <w:t>万元，社会保障和就业支出</w:t>
      </w:r>
      <w:r>
        <w:rPr>
          <w:rFonts w:hint="eastAsia" w:eastAsia="仿宋_GB2312"/>
          <w:sz w:val="32"/>
          <w:szCs w:val="32"/>
          <w:lang w:val="en-US" w:eastAsia="zh-CN"/>
        </w:rPr>
        <w:t>113.7</w:t>
      </w:r>
      <w:r>
        <w:rPr>
          <w:rFonts w:hint="eastAsia" w:eastAsia="仿宋_GB2312"/>
          <w:sz w:val="32"/>
          <w:szCs w:val="32"/>
        </w:rPr>
        <w:t>万元，农林水支出</w:t>
      </w:r>
      <w:r>
        <w:rPr>
          <w:rFonts w:hint="eastAsia" w:eastAsia="仿宋_GB2312"/>
          <w:sz w:val="32"/>
          <w:szCs w:val="32"/>
          <w:lang w:val="en-US" w:eastAsia="zh-CN"/>
        </w:rPr>
        <w:t>61</w:t>
      </w:r>
      <w:r>
        <w:rPr>
          <w:rFonts w:hint="eastAsia" w:eastAsia="仿宋_GB2312"/>
          <w:sz w:val="32"/>
          <w:szCs w:val="32"/>
        </w:rPr>
        <w:t>万元，住房保障支出</w:t>
      </w:r>
      <w:r>
        <w:rPr>
          <w:rFonts w:hint="eastAsia" w:eastAsia="仿宋_GB2312"/>
          <w:sz w:val="32"/>
          <w:szCs w:val="32"/>
          <w:lang w:val="en-US" w:eastAsia="zh-CN"/>
        </w:rPr>
        <w:t>26</w:t>
      </w:r>
      <w:r>
        <w:rPr>
          <w:rFonts w:hint="eastAsia" w:eastAsia="仿宋_GB2312"/>
          <w:sz w:val="32"/>
          <w:szCs w:val="32"/>
        </w:rPr>
        <w:t>万元</w:t>
      </w:r>
      <w:r>
        <w:rPr>
          <w:rFonts w:hint="eastAsia" w:eastAsia="仿宋_GB2312"/>
          <w:sz w:val="32"/>
          <w:szCs w:val="32"/>
          <w:lang w:eastAsia="zh-CN"/>
        </w:rPr>
        <w:t>、</w:t>
      </w:r>
      <w:r>
        <w:rPr>
          <w:rFonts w:hint="eastAsia" w:eastAsia="仿宋_GB2312"/>
          <w:sz w:val="32"/>
          <w:szCs w:val="32"/>
          <w:lang w:val="en-US" w:eastAsia="zh-CN"/>
        </w:rPr>
        <w:t>城乡社区支出22万元、卫生健康支出47万元</w:t>
      </w:r>
      <w:r>
        <w:rPr>
          <w:rFonts w:hint="eastAsia" w:eastAsia="仿宋_GB2312"/>
          <w:sz w:val="32"/>
          <w:szCs w:val="32"/>
        </w:rPr>
        <w:t>。</w:t>
      </w:r>
    </w:p>
    <w:p>
      <w:pPr>
        <w:adjustRightInd w:val="0"/>
        <w:snapToGrid w:val="0"/>
        <w:spacing w:line="600" w:lineRule="exact"/>
        <w:ind w:firstLine="640" w:firstLineChars="200"/>
        <w:rPr>
          <w:rFonts w:eastAsia="仿宋_GB2312"/>
          <w:sz w:val="32"/>
          <w:szCs w:val="32"/>
        </w:rPr>
      </w:pPr>
      <w:r>
        <w:rPr>
          <w:rFonts w:hint="eastAsia" w:eastAsia="仿宋_GB2312"/>
          <w:sz w:val="32"/>
          <w:szCs w:val="32"/>
        </w:rPr>
        <w:t>2020年度财政拨款支出</w:t>
      </w:r>
      <w:r>
        <w:rPr>
          <w:rFonts w:hint="eastAsia" w:eastAsia="仿宋_GB2312"/>
          <w:sz w:val="32"/>
          <w:szCs w:val="32"/>
          <w:lang w:val="en-US" w:eastAsia="zh-CN"/>
        </w:rPr>
        <w:t>860</w:t>
      </w:r>
      <w:r>
        <w:rPr>
          <w:rFonts w:hint="eastAsia" w:eastAsia="仿宋_GB2312"/>
          <w:sz w:val="32"/>
          <w:szCs w:val="32"/>
        </w:rPr>
        <w:t>万元，主要用于以下方面：一般公共服务（类）支出</w:t>
      </w:r>
      <w:r>
        <w:rPr>
          <w:rFonts w:hint="eastAsia" w:eastAsia="仿宋_GB2312"/>
          <w:sz w:val="32"/>
          <w:szCs w:val="32"/>
          <w:lang w:val="en-US" w:eastAsia="zh-CN"/>
        </w:rPr>
        <w:t>590.4</w:t>
      </w:r>
      <w:r>
        <w:rPr>
          <w:rFonts w:hint="eastAsia" w:eastAsia="仿宋_GB2312"/>
          <w:sz w:val="32"/>
          <w:szCs w:val="32"/>
        </w:rPr>
        <w:t>万元，占</w:t>
      </w:r>
      <w:r>
        <w:rPr>
          <w:rFonts w:hint="eastAsia" w:eastAsia="仿宋_GB2312"/>
          <w:sz w:val="32"/>
          <w:szCs w:val="32"/>
          <w:lang w:val="en-US" w:eastAsia="zh-CN"/>
        </w:rPr>
        <w:t>68.7</w:t>
      </w:r>
      <w:r>
        <w:rPr>
          <w:rFonts w:hint="eastAsia" w:eastAsia="仿宋_GB2312"/>
          <w:sz w:val="32"/>
          <w:szCs w:val="32"/>
        </w:rPr>
        <w:t xml:space="preserve"> %；社会保障和就业支出</w:t>
      </w:r>
      <w:r>
        <w:rPr>
          <w:rFonts w:hint="eastAsia" w:eastAsia="仿宋_GB2312"/>
          <w:sz w:val="32"/>
          <w:szCs w:val="32"/>
          <w:lang w:val="en-US" w:eastAsia="zh-CN"/>
        </w:rPr>
        <w:t>112.6</w:t>
      </w:r>
      <w:r>
        <w:rPr>
          <w:rFonts w:hint="eastAsia" w:eastAsia="仿宋_GB2312"/>
          <w:sz w:val="32"/>
          <w:szCs w:val="32"/>
        </w:rPr>
        <w:t>万元，占</w:t>
      </w:r>
      <w:r>
        <w:rPr>
          <w:rFonts w:hint="eastAsia" w:eastAsia="仿宋_GB2312"/>
          <w:sz w:val="32"/>
          <w:szCs w:val="32"/>
          <w:lang w:val="en-US" w:eastAsia="zh-CN"/>
        </w:rPr>
        <w:t>13.1</w:t>
      </w:r>
      <w:r>
        <w:rPr>
          <w:rFonts w:hint="eastAsia" w:eastAsia="仿宋_GB2312"/>
          <w:sz w:val="32"/>
          <w:szCs w:val="32"/>
        </w:rPr>
        <w:t>%；农林水支出</w:t>
      </w:r>
      <w:r>
        <w:rPr>
          <w:rFonts w:hint="eastAsia" w:eastAsia="仿宋_GB2312"/>
          <w:sz w:val="32"/>
          <w:szCs w:val="32"/>
          <w:lang w:val="en-US" w:eastAsia="zh-CN"/>
        </w:rPr>
        <w:t>60.7</w:t>
      </w:r>
      <w:r>
        <w:rPr>
          <w:rFonts w:hint="eastAsia" w:eastAsia="仿宋_GB2312"/>
          <w:sz w:val="32"/>
          <w:szCs w:val="32"/>
        </w:rPr>
        <w:t>万元,占</w:t>
      </w:r>
      <w:r>
        <w:rPr>
          <w:rFonts w:hint="eastAsia" w:eastAsia="仿宋_GB2312"/>
          <w:sz w:val="32"/>
          <w:szCs w:val="32"/>
          <w:lang w:val="en-US" w:eastAsia="zh-CN"/>
        </w:rPr>
        <w:t>7.1</w:t>
      </w:r>
      <w:r>
        <w:rPr>
          <w:rFonts w:hint="eastAsia" w:eastAsia="仿宋_GB2312"/>
          <w:sz w:val="32"/>
          <w:szCs w:val="32"/>
        </w:rPr>
        <w:t xml:space="preserve"> %；住房保障支出</w:t>
      </w:r>
      <w:r>
        <w:rPr>
          <w:rFonts w:hint="eastAsia" w:eastAsia="仿宋_GB2312"/>
          <w:sz w:val="32"/>
          <w:szCs w:val="32"/>
          <w:lang w:val="en-US" w:eastAsia="zh-CN"/>
        </w:rPr>
        <w:t>25.9</w:t>
      </w:r>
      <w:r>
        <w:rPr>
          <w:rFonts w:hint="eastAsia" w:eastAsia="仿宋_GB2312"/>
          <w:sz w:val="32"/>
          <w:szCs w:val="32"/>
        </w:rPr>
        <w:t>万元，占</w:t>
      </w:r>
      <w:r>
        <w:rPr>
          <w:rFonts w:hint="eastAsia" w:eastAsia="仿宋_GB2312"/>
          <w:sz w:val="32"/>
          <w:szCs w:val="32"/>
          <w:lang w:val="en-US" w:eastAsia="zh-CN"/>
        </w:rPr>
        <w:t>3</w:t>
      </w:r>
      <w:r>
        <w:rPr>
          <w:rFonts w:hint="eastAsia" w:eastAsia="仿宋_GB2312"/>
          <w:sz w:val="32"/>
          <w:szCs w:val="32"/>
        </w:rPr>
        <w:t>%，卫生健康支出</w:t>
      </w:r>
      <w:r>
        <w:rPr>
          <w:rFonts w:hint="eastAsia" w:eastAsia="仿宋_GB2312"/>
          <w:sz w:val="32"/>
          <w:szCs w:val="32"/>
          <w:lang w:val="en-US" w:eastAsia="zh-CN"/>
        </w:rPr>
        <w:t>46.5</w:t>
      </w:r>
      <w:r>
        <w:rPr>
          <w:rFonts w:hint="eastAsia" w:eastAsia="仿宋_GB2312"/>
          <w:sz w:val="32"/>
          <w:szCs w:val="32"/>
        </w:rPr>
        <w:t>万元，占</w:t>
      </w:r>
      <w:r>
        <w:rPr>
          <w:rFonts w:hint="eastAsia" w:eastAsia="仿宋_GB2312"/>
          <w:sz w:val="32"/>
          <w:szCs w:val="32"/>
          <w:lang w:val="en-US" w:eastAsia="zh-CN"/>
        </w:rPr>
        <w:t>5.4</w:t>
      </w:r>
      <w:r>
        <w:rPr>
          <w:rFonts w:hint="eastAsia" w:eastAsia="仿宋_GB2312"/>
          <w:sz w:val="32"/>
          <w:szCs w:val="32"/>
        </w:rPr>
        <w:t>%。用于保障职工基本工资、津贴补贴、奖金、乡镇工作补贴、社会保障缴费、其他工资福利支出等工资福利支出、办公费、三公经费等商品和服务支出、遗属人员生活补助、独生子女奖励金等对个人和家庭的补助等。</w:t>
      </w:r>
    </w:p>
    <w:p>
      <w:pPr>
        <w:adjustRightInd w:val="0"/>
        <w:snapToGrid w:val="0"/>
        <w:spacing w:line="600" w:lineRule="exact"/>
        <w:ind w:firstLine="643" w:firstLineChars="200"/>
        <w:rPr>
          <w:rFonts w:eastAsia="楷体_GB2312"/>
          <w:b/>
          <w:sz w:val="32"/>
          <w:szCs w:val="32"/>
        </w:rPr>
      </w:pPr>
      <w:r>
        <w:rPr>
          <w:rFonts w:hint="eastAsia" w:eastAsia="楷体_GB2312"/>
          <w:b/>
          <w:sz w:val="32"/>
          <w:szCs w:val="32"/>
        </w:rPr>
        <w:t>（三）决算资金绩效目标</w:t>
      </w:r>
    </w:p>
    <w:p>
      <w:pPr>
        <w:adjustRightInd w:val="0"/>
        <w:snapToGrid w:val="0"/>
        <w:spacing w:line="600" w:lineRule="exact"/>
        <w:ind w:firstLine="640" w:firstLineChars="200"/>
        <w:rPr>
          <w:rFonts w:eastAsia="楷体_GB2312"/>
          <w:b/>
          <w:sz w:val="32"/>
          <w:szCs w:val="32"/>
        </w:rPr>
      </w:pPr>
      <w:r>
        <w:rPr>
          <w:rFonts w:hint="eastAsia" w:eastAsia="仿宋_GB2312"/>
          <w:sz w:val="32"/>
          <w:szCs w:val="32"/>
        </w:rPr>
        <w:t>绩效总目标:</w:t>
      </w:r>
      <w:r>
        <w:rPr>
          <w:rFonts w:hint="eastAsia"/>
        </w:rPr>
        <w:t xml:space="preserve"> </w:t>
      </w:r>
      <w:r>
        <w:rPr>
          <w:rFonts w:hint="eastAsia" w:eastAsia="仿宋_GB2312"/>
          <w:sz w:val="32"/>
          <w:szCs w:val="32"/>
        </w:rPr>
        <w:t>执行乡人民代表大会的决议和上级国家行政机关的决定和命令；发展和管理本辖区的经济、教育、科学、文化、卫生、体育事业和财政、民政、公安、司法行政、计划生育等行政工作；维护社会秩序，确保社会稳定，保障公民的人身权利、民主权利和其他权利；</w:t>
      </w:r>
    </w:p>
    <w:p>
      <w:pPr>
        <w:adjustRightInd w:val="0"/>
        <w:snapToGrid w:val="0"/>
        <w:spacing w:line="600" w:lineRule="exact"/>
        <w:ind w:firstLine="640" w:firstLineChars="200"/>
        <w:rPr>
          <w:rFonts w:eastAsia="仿宋_GB2312"/>
          <w:sz w:val="32"/>
          <w:szCs w:val="32"/>
        </w:rPr>
      </w:pPr>
      <w:r>
        <w:rPr>
          <w:rFonts w:hint="eastAsia" w:eastAsia="仿宋_GB2312"/>
          <w:sz w:val="32"/>
          <w:szCs w:val="32"/>
        </w:rPr>
        <w:t>年度绩效目标：完成2</w:t>
      </w:r>
      <w:r>
        <w:rPr>
          <w:rFonts w:eastAsia="仿宋_GB2312"/>
          <w:sz w:val="32"/>
          <w:szCs w:val="32"/>
        </w:rPr>
        <w:t>020</w:t>
      </w:r>
      <w:r>
        <w:rPr>
          <w:rFonts w:hint="eastAsia" w:eastAsia="仿宋_GB2312"/>
          <w:sz w:val="32"/>
          <w:szCs w:val="32"/>
        </w:rPr>
        <w:t>年年初制定的各项事务，制定并部署重点工程建设、基础设施建设等；办理上级县委、县政府政府交办的其他事项；做好防灾减灾、优抚安置、低保、扶贫救济等社会救助工作，加强农村残疾预防和残疾人康复工作；加强社会治安综合治理，维护社会安全秩序。</w:t>
      </w:r>
    </w:p>
    <w:p>
      <w:pPr>
        <w:adjustRightInd w:val="0"/>
        <w:snapToGrid w:val="0"/>
        <w:spacing w:line="600" w:lineRule="exact"/>
        <w:ind w:firstLine="640" w:firstLineChars="200"/>
        <w:rPr>
          <w:rFonts w:eastAsia="仿宋_GB2312"/>
          <w:sz w:val="32"/>
          <w:szCs w:val="32"/>
        </w:rPr>
      </w:pPr>
    </w:p>
    <w:p>
      <w:pPr>
        <w:adjustRightInd w:val="0"/>
        <w:snapToGrid w:val="0"/>
        <w:spacing w:line="600" w:lineRule="exact"/>
        <w:ind w:firstLine="643" w:firstLineChars="200"/>
        <w:rPr>
          <w:rFonts w:eastAsia="黑体"/>
          <w:b/>
          <w:bCs/>
          <w:sz w:val="32"/>
          <w:szCs w:val="32"/>
        </w:rPr>
      </w:pPr>
      <w:r>
        <w:rPr>
          <w:rFonts w:hint="eastAsia" w:eastAsia="黑体"/>
          <w:b/>
          <w:bCs/>
          <w:sz w:val="32"/>
          <w:szCs w:val="32"/>
        </w:rPr>
        <w:t>二、决算资金使用及管理情况</w:t>
      </w:r>
    </w:p>
    <w:p>
      <w:pPr>
        <w:adjustRightInd w:val="0"/>
        <w:snapToGrid w:val="0"/>
        <w:spacing w:line="600" w:lineRule="exact"/>
        <w:ind w:firstLine="643" w:firstLineChars="200"/>
        <w:rPr>
          <w:rFonts w:eastAsia="楷体_GB2312"/>
          <w:b/>
          <w:sz w:val="32"/>
          <w:szCs w:val="32"/>
        </w:rPr>
      </w:pPr>
      <w:r>
        <w:rPr>
          <w:rFonts w:hint="eastAsia" w:eastAsia="楷体_GB2312"/>
          <w:b/>
          <w:sz w:val="32"/>
          <w:szCs w:val="32"/>
        </w:rPr>
        <w:t>（一）决算资金的安排落实、总投入等情况。</w:t>
      </w:r>
    </w:p>
    <w:p>
      <w:pPr>
        <w:adjustRightInd w:val="0"/>
        <w:snapToGrid w:val="0"/>
        <w:spacing w:line="600" w:lineRule="exact"/>
        <w:ind w:firstLine="640" w:firstLineChars="200"/>
        <w:rPr>
          <w:rFonts w:eastAsia="仿宋_GB2312"/>
          <w:sz w:val="32"/>
          <w:szCs w:val="32"/>
        </w:rPr>
      </w:pPr>
      <w:r>
        <w:rPr>
          <w:rFonts w:hint="eastAsia" w:eastAsia="仿宋_GB2312"/>
          <w:sz w:val="32"/>
          <w:szCs w:val="32"/>
        </w:rPr>
        <w:t>2</w:t>
      </w:r>
      <w:r>
        <w:rPr>
          <w:rFonts w:eastAsia="仿宋_GB2312"/>
          <w:sz w:val="32"/>
          <w:szCs w:val="32"/>
        </w:rPr>
        <w:t>020</w:t>
      </w:r>
      <w:r>
        <w:rPr>
          <w:rFonts w:hint="eastAsia" w:eastAsia="仿宋_GB2312"/>
          <w:sz w:val="32"/>
          <w:szCs w:val="32"/>
        </w:rPr>
        <w:t>年共取得收入</w:t>
      </w:r>
      <w:r>
        <w:rPr>
          <w:rFonts w:hint="eastAsia" w:eastAsia="仿宋_GB2312"/>
          <w:sz w:val="32"/>
          <w:szCs w:val="32"/>
          <w:lang w:val="en-US" w:eastAsia="zh-CN"/>
        </w:rPr>
        <w:t>886.9</w:t>
      </w:r>
      <w:r>
        <w:rPr>
          <w:rFonts w:hint="eastAsia" w:eastAsia="仿宋_GB2312"/>
          <w:sz w:val="32"/>
          <w:szCs w:val="32"/>
        </w:rPr>
        <w:t>万元，其中：财政拨款收入</w:t>
      </w:r>
      <w:r>
        <w:rPr>
          <w:rFonts w:hint="eastAsia" w:eastAsia="仿宋_GB2312"/>
          <w:sz w:val="32"/>
          <w:szCs w:val="32"/>
          <w:lang w:val="en-US" w:eastAsia="zh-CN"/>
        </w:rPr>
        <w:t>886.9</w:t>
      </w:r>
      <w:r>
        <w:rPr>
          <w:rFonts w:hint="eastAsia" w:eastAsia="仿宋_GB2312"/>
          <w:sz w:val="32"/>
          <w:szCs w:val="32"/>
        </w:rPr>
        <w:t>万元，占100%；上级补助收入0万元，占0%；事业收入0万元，占0%；经营收入0万元，占0%；附属单位上缴收入0万元，占0%；其他收入0万元，占0%。</w:t>
      </w:r>
    </w:p>
    <w:p>
      <w:pPr>
        <w:adjustRightInd w:val="0"/>
        <w:snapToGrid w:val="0"/>
        <w:spacing w:line="600" w:lineRule="exact"/>
        <w:ind w:firstLine="640" w:firstLineChars="200"/>
        <w:rPr>
          <w:rFonts w:eastAsia="仿宋_GB2312"/>
          <w:sz w:val="32"/>
          <w:szCs w:val="32"/>
        </w:rPr>
      </w:pPr>
      <w:r>
        <w:rPr>
          <w:rFonts w:hint="eastAsia" w:eastAsia="仿宋_GB2312"/>
          <w:sz w:val="32"/>
          <w:szCs w:val="32"/>
        </w:rPr>
        <w:t>本年支出合计</w:t>
      </w:r>
      <w:r>
        <w:rPr>
          <w:rFonts w:hint="eastAsia" w:eastAsia="仿宋_GB2312"/>
          <w:sz w:val="32"/>
          <w:szCs w:val="32"/>
          <w:lang w:val="en-US" w:eastAsia="zh-CN"/>
        </w:rPr>
        <w:t>860</w:t>
      </w:r>
      <w:r>
        <w:rPr>
          <w:rFonts w:hint="eastAsia" w:eastAsia="仿宋_GB2312"/>
          <w:sz w:val="32"/>
          <w:szCs w:val="32"/>
        </w:rPr>
        <w:t>万元，其中：基本支出</w:t>
      </w:r>
      <w:r>
        <w:rPr>
          <w:rFonts w:hint="eastAsia" w:eastAsia="仿宋_GB2312"/>
          <w:sz w:val="32"/>
          <w:szCs w:val="32"/>
          <w:lang w:val="en-US" w:eastAsia="zh-CN"/>
        </w:rPr>
        <w:t>787.8</w:t>
      </w:r>
      <w:r>
        <w:rPr>
          <w:rFonts w:hint="eastAsia" w:eastAsia="仿宋_GB2312"/>
          <w:sz w:val="32"/>
          <w:szCs w:val="32"/>
        </w:rPr>
        <w:t>万元，占</w:t>
      </w:r>
      <w:r>
        <w:rPr>
          <w:rFonts w:hint="eastAsia" w:eastAsia="仿宋_GB2312"/>
          <w:sz w:val="32"/>
          <w:szCs w:val="32"/>
          <w:lang w:val="en-US" w:eastAsia="zh-CN"/>
        </w:rPr>
        <w:t>91.6</w:t>
      </w:r>
      <w:r>
        <w:rPr>
          <w:rFonts w:hint="eastAsia" w:eastAsia="仿宋_GB2312"/>
          <w:sz w:val="32"/>
          <w:szCs w:val="32"/>
        </w:rPr>
        <w:t>%；项目支出</w:t>
      </w:r>
      <w:r>
        <w:rPr>
          <w:rFonts w:hint="eastAsia" w:eastAsia="仿宋_GB2312"/>
          <w:sz w:val="32"/>
          <w:szCs w:val="32"/>
          <w:lang w:val="en-US" w:eastAsia="zh-CN"/>
        </w:rPr>
        <w:t>72.2</w:t>
      </w:r>
      <w:r>
        <w:rPr>
          <w:rFonts w:hint="eastAsia" w:eastAsia="仿宋_GB2312"/>
          <w:sz w:val="32"/>
          <w:szCs w:val="32"/>
        </w:rPr>
        <w:t>万元，占</w:t>
      </w:r>
      <w:r>
        <w:rPr>
          <w:rFonts w:hint="eastAsia" w:eastAsia="仿宋_GB2312"/>
          <w:sz w:val="32"/>
          <w:szCs w:val="32"/>
          <w:lang w:val="en-US" w:eastAsia="zh-CN"/>
        </w:rPr>
        <w:t>8.4</w:t>
      </w:r>
      <w:r>
        <w:rPr>
          <w:rFonts w:hint="eastAsia" w:eastAsia="仿宋_GB2312"/>
          <w:sz w:val="32"/>
          <w:szCs w:val="32"/>
        </w:rPr>
        <w:t>%；上缴上级支出0万元，占0 %；经营支出0万元，占0%；对附属单位补助支出0万元，占0%。</w:t>
      </w:r>
    </w:p>
    <w:p>
      <w:pPr>
        <w:adjustRightInd w:val="0"/>
        <w:snapToGrid w:val="0"/>
        <w:spacing w:line="600" w:lineRule="exact"/>
        <w:ind w:firstLine="643" w:firstLineChars="200"/>
        <w:rPr>
          <w:rFonts w:eastAsia="楷体_GB2312"/>
          <w:b/>
          <w:sz w:val="32"/>
          <w:szCs w:val="32"/>
        </w:rPr>
      </w:pPr>
      <w:r>
        <w:rPr>
          <w:rFonts w:hint="eastAsia" w:eastAsia="楷体_GB2312"/>
          <w:b/>
          <w:sz w:val="32"/>
          <w:szCs w:val="32"/>
        </w:rPr>
        <w:t>（二）决算资金实际使用情况。</w:t>
      </w:r>
    </w:p>
    <w:p>
      <w:pPr>
        <w:adjustRightInd w:val="0"/>
        <w:snapToGrid w:val="0"/>
        <w:spacing w:line="600" w:lineRule="exact"/>
        <w:ind w:firstLine="640" w:firstLineChars="200"/>
        <w:rPr>
          <w:rFonts w:eastAsia="仿宋_GB2312"/>
          <w:sz w:val="32"/>
          <w:szCs w:val="32"/>
        </w:rPr>
      </w:pPr>
      <w:r>
        <w:rPr>
          <w:rFonts w:hint="eastAsia" w:eastAsia="仿宋_GB2312"/>
          <w:sz w:val="32"/>
          <w:szCs w:val="32"/>
        </w:rPr>
        <w:t>2020年度共发生财政拨款支出</w:t>
      </w:r>
      <w:r>
        <w:rPr>
          <w:rFonts w:hint="eastAsia" w:eastAsia="仿宋_GB2312"/>
          <w:sz w:val="32"/>
          <w:szCs w:val="32"/>
          <w:lang w:val="en-US" w:eastAsia="zh-CN"/>
        </w:rPr>
        <w:t>860</w:t>
      </w:r>
      <w:r>
        <w:rPr>
          <w:rFonts w:hint="eastAsia" w:eastAsia="仿宋_GB2312"/>
          <w:sz w:val="32"/>
          <w:szCs w:val="32"/>
        </w:rPr>
        <w:t>万元，其中基本支出</w:t>
      </w:r>
      <w:r>
        <w:rPr>
          <w:rFonts w:hint="eastAsia" w:eastAsia="仿宋_GB2312"/>
          <w:sz w:val="32"/>
          <w:szCs w:val="32"/>
          <w:lang w:val="en-US" w:eastAsia="zh-CN"/>
        </w:rPr>
        <w:t>787.8</w:t>
      </w:r>
      <w:r>
        <w:rPr>
          <w:rFonts w:hint="eastAsia" w:eastAsia="仿宋_GB2312"/>
          <w:sz w:val="32"/>
          <w:szCs w:val="32"/>
        </w:rPr>
        <w:t xml:space="preserve">万元，占支出的 </w:t>
      </w:r>
      <w:r>
        <w:rPr>
          <w:rFonts w:hint="eastAsia" w:eastAsia="仿宋_GB2312"/>
          <w:sz w:val="32"/>
          <w:szCs w:val="32"/>
          <w:lang w:val="en-US" w:eastAsia="zh-CN"/>
        </w:rPr>
        <w:t>91.6</w:t>
      </w:r>
      <w:r>
        <w:rPr>
          <w:rFonts w:hint="eastAsia" w:eastAsia="仿宋_GB2312"/>
          <w:sz w:val="32"/>
          <w:szCs w:val="32"/>
        </w:rPr>
        <w:t>%；项目支出</w:t>
      </w:r>
      <w:r>
        <w:rPr>
          <w:rFonts w:hint="eastAsia" w:eastAsia="仿宋_GB2312"/>
          <w:sz w:val="32"/>
          <w:szCs w:val="32"/>
          <w:lang w:val="en-US" w:eastAsia="zh-CN"/>
        </w:rPr>
        <w:t>72.2</w:t>
      </w:r>
      <w:r>
        <w:rPr>
          <w:rFonts w:hint="eastAsia" w:eastAsia="仿宋_GB2312"/>
          <w:sz w:val="32"/>
          <w:szCs w:val="32"/>
        </w:rPr>
        <w:t>万元，占支出的</w:t>
      </w:r>
      <w:r>
        <w:rPr>
          <w:rFonts w:hint="eastAsia" w:eastAsia="仿宋_GB2312"/>
          <w:sz w:val="32"/>
          <w:szCs w:val="32"/>
          <w:lang w:val="en-US" w:eastAsia="zh-CN"/>
        </w:rPr>
        <w:t>8,。4</w:t>
      </w:r>
      <w:r>
        <w:rPr>
          <w:rFonts w:hint="eastAsia" w:eastAsia="仿宋_GB2312"/>
          <w:sz w:val="32"/>
          <w:szCs w:val="32"/>
        </w:rPr>
        <w:t>%。 主要用于以下方面：一般公共服务（类）支出</w:t>
      </w:r>
      <w:r>
        <w:rPr>
          <w:rFonts w:hint="eastAsia" w:eastAsia="仿宋_GB2312"/>
          <w:sz w:val="32"/>
          <w:szCs w:val="32"/>
          <w:lang w:val="en-US" w:eastAsia="zh-CN"/>
        </w:rPr>
        <w:t>590.4</w:t>
      </w:r>
      <w:r>
        <w:rPr>
          <w:rFonts w:hint="eastAsia" w:eastAsia="仿宋_GB2312"/>
          <w:sz w:val="32"/>
          <w:szCs w:val="32"/>
        </w:rPr>
        <w:t>万元，占</w:t>
      </w:r>
      <w:r>
        <w:rPr>
          <w:rFonts w:hint="eastAsia" w:eastAsia="仿宋_GB2312"/>
          <w:sz w:val="32"/>
          <w:szCs w:val="32"/>
          <w:lang w:val="en-US" w:eastAsia="zh-CN"/>
        </w:rPr>
        <w:t>68.7</w:t>
      </w:r>
      <w:r>
        <w:rPr>
          <w:rFonts w:hint="eastAsia" w:eastAsia="仿宋_GB2312"/>
          <w:sz w:val="32"/>
          <w:szCs w:val="32"/>
        </w:rPr>
        <w:t xml:space="preserve"> %；社会保障和就业支出</w:t>
      </w:r>
      <w:r>
        <w:rPr>
          <w:rFonts w:hint="eastAsia" w:eastAsia="仿宋_GB2312"/>
          <w:sz w:val="32"/>
          <w:szCs w:val="32"/>
          <w:lang w:val="en-US" w:eastAsia="zh-CN"/>
        </w:rPr>
        <w:t>112.6</w:t>
      </w:r>
      <w:r>
        <w:rPr>
          <w:rFonts w:hint="eastAsia" w:eastAsia="仿宋_GB2312"/>
          <w:sz w:val="32"/>
          <w:szCs w:val="32"/>
        </w:rPr>
        <w:t>万元，占</w:t>
      </w:r>
      <w:r>
        <w:rPr>
          <w:rFonts w:hint="eastAsia" w:eastAsia="仿宋_GB2312"/>
          <w:sz w:val="32"/>
          <w:szCs w:val="32"/>
          <w:lang w:val="en-US" w:eastAsia="zh-CN"/>
        </w:rPr>
        <w:t>13.1</w:t>
      </w:r>
      <w:r>
        <w:rPr>
          <w:rFonts w:hint="eastAsia" w:eastAsia="仿宋_GB2312"/>
          <w:sz w:val="32"/>
          <w:szCs w:val="32"/>
        </w:rPr>
        <w:t>%；农林水支出</w:t>
      </w:r>
      <w:r>
        <w:rPr>
          <w:rFonts w:hint="eastAsia" w:eastAsia="仿宋_GB2312"/>
          <w:sz w:val="32"/>
          <w:szCs w:val="32"/>
          <w:lang w:val="en-US" w:eastAsia="zh-CN"/>
        </w:rPr>
        <w:t>60.7</w:t>
      </w:r>
      <w:r>
        <w:rPr>
          <w:rFonts w:hint="eastAsia" w:eastAsia="仿宋_GB2312"/>
          <w:sz w:val="32"/>
          <w:szCs w:val="32"/>
        </w:rPr>
        <w:t>万元,占</w:t>
      </w:r>
      <w:r>
        <w:rPr>
          <w:rFonts w:hint="eastAsia" w:eastAsia="仿宋_GB2312"/>
          <w:sz w:val="32"/>
          <w:szCs w:val="32"/>
          <w:lang w:val="en-US" w:eastAsia="zh-CN"/>
        </w:rPr>
        <w:t>7.1</w:t>
      </w:r>
      <w:r>
        <w:rPr>
          <w:rFonts w:hint="eastAsia" w:eastAsia="仿宋_GB2312"/>
          <w:sz w:val="32"/>
          <w:szCs w:val="32"/>
        </w:rPr>
        <w:t xml:space="preserve"> %；住房保障支出</w:t>
      </w:r>
      <w:r>
        <w:rPr>
          <w:rFonts w:hint="eastAsia" w:eastAsia="仿宋_GB2312"/>
          <w:sz w:val="32"/>
          <w:szCs w:val="32"/>
          <w:lang w:val="en-US" w:eastAsia="zh-CN"/>
        </w:rPr>
        <w:t>25.9</w:t>
      </w:r>
      <w:r>
        <w:rPr>
          <w:rFonts w:hint="eastAsia" w:eastAsia="仿宋_GB2312"/>
          <w:sz w:val="32"/>
          <w:szCs w:val="32"/>
        </w:rPr>
        <w:t>万元，占</w:t>
      </w:r>
      <w:r>
        <w:rPr>
          <w:rFonts w:hint="eastAsia" w:eastAsia="仿宋_GB2312"/>
          <w:sz w:val="32"/>
          <w:szCs w:val="32"/>
          <w:lang w:val="en-US" w:eastAsia="zh-CN"/>
        </w:rPr>
        <w:t>3</w:t>
      </w:r>
      <w:r>
        <w:rPr>
          <w:rFonts w:hint="eastAsia" w:eastAsia="仿宋_GB2312"/>
          <w:sz w:val="32"/>
          <w:szCs w:val="32"/>
        </w:rPr>
        <w:t>%，卫生健康支出</w:t>
      </w:r>
      <w:r>
        <w:rPr>
          <w:rFonts w:hint="eastAsia" w:eastAsia="仿宋_GB2312"/>
          <w:sz w:val="32"/>
          <w:szCs w:val="32"/>
          <w:lang w:val="en-US" w:eastAsia="zh-CN"/>
        </w:rPr>
        <w:t>46.5</w:t>
      </w:r>
      <w:r>
        <w:rPr>
          <w:rFonts w:hint="eastAsia" w:eastAsia="仿宋_GB2312"/>
          <w:sz w:val="32"/>
          <w:szCs w:val="32"/>
        </w:rPr>
        <w:t>万元，占</w:t>
      </w:r>
      <w:r>
        <w:rPr>
          <w:rFonts w:hint="eastAsia" w:eastAsia="仿宋_GB2312"/>
          <w:sz w:val="32"/>
          <w:szCs w:val="32"/>
          <w:lang w:val="en-US" w:eastAsia="zh-CN"/>
        </w:rPr>
        <w:t>5.4</w:t>
      </w:r>
      <w:r>
        <w:rPr>
          <w:rFonts w:hint="eastAsia" w:eastAsia="仿宋_GB2312"/>
          <w:sz w:val="32"/>
          <w:szCs w:val="32"/>
        </w:rPr>
        <w:t>%。</w:t>
      </w:r>
    </w:p>
    <w:p>
      <w:pPr>
        <w:adjustRightInd w:val="0"/>
        <w:snapToGrid w:val="0"/>
        <w:spacing w:line="600" w:lineRule="exact"/>
        <w:ind w:firstLine="643" w:firstLineChars="200"/>
        <w:rPr>
          <w:rFonts w:eastAsia="楷体_GB2312"/>
          <w:b/>
          <w:sz w:val="32"/>
          <w:szCs w:val="32"/>
        </w:rPr>
      </w:pPr>
      <w:r>
        <w:rPr>
          <w:rFonts w:hint="eastAsia" w:eastAsia="楷体_GB2312"/>
          <w:b/>
          <w:sz w:val="32"/>
          <w:szCs w:val="32"/>
        </w:rPr>
        <w:t>（三）决算资金管理情况分析</w:t>
      </w:r>
    </w:p>
    <w:p>
      <w:pPr>
        <w:adjustRightInd w:val="0"/>
        <w:snapToGrid w:val="0"/>
        <w:spacing w:line="600" w:lineRule="exact"/>
        <w:ind w:firstLine="640" w:firstLineChars="200"/>
        <w:rPr>
          <w:rFonts w:eastAsia="仿宋_GB2312"/>
          <w:sz w:val="32"/>
          <w:szCs w:val="32"/>
        </w:rPr>
      </w:pPr>
      <w:r>
        <w:rPr>
          <w:rFonts w:hint="eastAsia" w:eastAsia="仿宋_GB2312"/>
          <w:sz w:val="32"/>
          <w:szCs w:val="32"/>
        </w:rPr>
        <w:t>1、预决算编制情况。预决算编制从本乡镇实际情况出发，以上级文件为依据，科学合理编制经费预算，及时编制、送审，遵循“两上两下”原则，及时上报相关报表；对本年度的开支及时做账，避免出现决算账实不符情况；为提高预算编制的合理性，细分各科目上报。</w:t>
      </w:r>
    </w:p>
    <w:p>
      <w:pPr>
        <w:adjustRightInd w:val="0"/>
        <w:snapToGrid w:val="0"/>
        <w:spacing w:line="600" w:lineRule="exact"/>
        <w:ind w:firstLine="640" w:firstLineChars="200"/>
        <w:rPr>
          <w:rFonts w:eastAsia="仿宋_GB2312"/>
          <w:sz w:val="32"/>
          <w:szCs w:val="32"/>
        </w:rPr>
      </w:pPr>
      <w:r>
        <w:rPr>
          <w:rFonts w:hint="eastAsia" w:eastAsia="仿宋_GB2312"/>
          <w:sz w:val="32"/>
          <w:szCs w:val="32"/>
        </w:rPr>
        <w:t>2、执行管理情况。全年预算执行按月上报计划，制度执行总体较为有效，编制内在职人员控制率小于100%，本年度支出的所有资金均由县财政局国库支付，支出符合国家财经法规和财务管理制度规定以及有关专项资金管理办法的规定；资金拨付有完整的审批程序和手续；项目支出按规定经过评估论证；未出现截留、挤占、挪用、虚列支出等情况。</w:t>
      </w:r>
    </w:p>
    <w:p>
      <w:pPr>
        <w:adjustRightInd w:val="0"/>
        <w:snapToGrid w:val="0"/>
        <w:spacing w:line="600" w:lineRule="exact"/>
        <w:ind w:firstLine="640" w:firstLineChars="200"/>
        <w:rPr>
          <w:rFonts w:eastAsia="仿宋_GB2312"/>
          <w:sz w:val="32"/>
          <w:szCs w:val="32"/>
        </w:rPr>
      </w:pPr>
      <w:r>
        <w:rPr>
          <w:rFonts w:hint="eastAsia" w:eastAsia="仿宋_GB2312"/>
          <w:sz w:val="32"/>
          <w:szCs w:val="32"/>
        </w:rPr>
        <w:t>2020年人员经费</w:t>
      </w:r>
      <w:r>
        <w:rPr>
          <w:rFonts w:hint="eastAsia" w:eastAsia="仿宋_GB2312"/>
          <w:sz w:val="32"/>
          <w:szCs w:val="32"/>
          <w:lang w:val="en-US" w:eastAsia="zh-CN"/>
        </w:rPr>
        <w:t>580.8</w:t>
      </w:r>
      <w:r>
        <w:rPr>
          <w:rFonts w:hint="eastAsia" w:eastAsia="仿宋_GB2312"/>
          <w:sz w:val="32"/>
          <w:szCs w:val="32"/>
        </w:rPr>
        <w:t>万元，占基本支出的</w:t>
      </w:r>
      <w:r>
        <w:rPr>
          <w:rFonts w:hint="eastAsia" w:eastAsia="仿宋_GB2312"/>
          <w:sz w:val="32"/>
          <w:szCs w:val="32"/>
          <w:lang w:val="en-US" w:eastAsia="zh-CN"/>
        </w:rPr>
        <w:t>73.7</w:t>
      </w:r>
      <w:r>
        <w:rPr>
          <w:rFonts w:hint="eastAsia" w:eastAsia="仿宋_GB2312"/>
          <w:sz w:val="32"/>
          <w:szCs w:val="32"/>
        </w:rPr>
        <w:t>%,主要包括基本工资、津贴补贴、奖金、伙食补助费、绩效工资、机关事业单位养老保险缴费、职业年金缴费、职工基本医疗保险缴费、其他社会保障缴费、住房公积金、其他工资福利支出、抚恤金、生活补助、医疗费补助，助学金，奖励金、个人农业生产补贴、其他对个人和家庭的补助；公用经费</w:t>
      </w:r>
      <w:r>
        <w:rPr>
          <w:rFonts w:hint="eastAsia" w:eastAsia="仿宋_GB2312"/>
          <w:sz w:val="32"/>
          <w:szCs w:val="32"/>
          <w:lang w:val="en-US" w:eastAsia="zh-CN"/>
        </w:rPr>
        <w:t>207</w:t>
      </w:r>
      <w:r>
        <w:rPr>
          <w:rFonts w:hint="eastAsia" w:eastAsia="仿宋_GB2312"/>
          <w:sz w:val="32"/>
          <w:szCs w:val="32"/>
        </w:rPr>
        <w:t>万元，占基本支出的</w:t>
      </w:r>
      <w:r>
        <w:rPr>
          <w:rFonts w:hint="eastAsia" w:eastAsia="仿宋_GB2312"/>
          <w:sz w:val="32"/>
          <w:szCs w:val="32"/>
          <w:lang w:val="en-US" w:eastAsia="zh-CN"/>
        </w:rPr>
        <w:t>26.3</w:t>
      </w:r>
      <w:r>
        <w:rPr>
          <w:rFonts w:hint="eastAsia" w:eastAsia="仿宋_GB2312"/>
          <w:sz w:val="32"/>
          <w:szCs w:val="32"/>
        </w:rPr>
        <w:t>%，主要包括办公费、印刷费、手续费、电费、邮电费、取暖费、差旅费、维修费、会议费、公务接待费、专用材料费、工会经费、公务用车运行维护费、其他交通费、税金及附加费用，其他商品和服务支出。</w:t>
      </w:r>
    </w:p>
    <w:p>
      <w:pPr>
        <w:adjustRightInd w:val="0"/>
        <w:snapToGrid w:val="0"/>
        <w:spacing w:line="600" w:lineRule="exact"/>
        <w:ind w:firstLine="640" w:firstLineChars="200"/>
        <w:rPr>
          <w:rFonts w:eastAsia="仿宋_GB2312"/>
          <w:sz w:val="32"/>
          <w:szCs w:val="32"/>
        </w:rPr>
      </w:pPr>
    </w:p>
    <w:p>
      <w:pPr>
        <w:adjustRightInd w:val="0"/>
        <w:snapToGrid w:val="0"/>
        <w:spacing w:line="600" w:lineRule="exact"/>
        <w:ind w:firstLine="643" w:firstLineChars="200"/>
        <w:rPr>
          <w:rFonts w:eastAsia="黑体"/>
          <w:b/>
          <w:bCs/>
          <w:sz w:val="32"/>
          <w:szCs w:val="32"/>
        </w:rPr>
      </w:pPr>
      <w:r>
        <w:rPr>
          <w:rFonts w:hint="eastAsia" w:eastAsia="黑体"/>
          <w:b/>
          <w:bCs/>
          <w:sz w:val="32"/>
          <w:szCs w:val="32"/>
        </w:rPr>
        <w:t>三、决算支出组织实施情况</w:t>
      </w:r>
    </w:p>
    <w:p>
      <w:pPr>
        <w:adjustRightInd w:val="0"/>
        <w:snapToGrid w:val="0"/>
        <w:spacing w:line="600" w:lineRule="exact"/>
        <w:ind w:firstLine="643" w:firstLineChars="200"/>
        <w:rPr>
          <w:rFonts w:eastAsia="楷体_GB2312"/>
          <w:b/>
          <w:sz w:val="32"/>
          <w:szCs w:val="32"/>
        </w:rPr>
      </w:pPr>
      <w:r>
        <w:rPr>
          <w:rFonts w:hint="eastAsia" w:eastAsia="楷体_GB2312"/>
          <w:b/>
          <w:sz w:val="32"/>
          <w:szCs w:val="32"/>
        </w:rPr>
        <w:t>（一）资金使用管理情况</w:t>
      </w:r>
    </w:p>
    <w:p>
      <w:pPr>
        <w:adjustRightInd w:val="0"/>
        <w:snapToGrid w:val="0"/>
        <w:spacing w:line="600" w:lineRule="exact"/>
        <w:ind w:firstLine="640" w:firstLineChars="200"/>
        <w:rPr>
          <w:rFonts w:eastAsia="仿宋_GB2312"/>
          <w:sz w:val="32"/>
          <w:szCs w:val="32"/>
        </w:rPr>
      </w:pPr>
      <w:r>
        <w:rPr>
          <w:rFonts w:hint="eastAsia" w:eastAsia="仿宋_GB2312"/>
          <w:sz w:val="32"/>
          <w:szCs w:val="32"/>
        </w:rPr>
        <w:t>我乡为规范资金使用情况，加强财务管理，提高资金使用率，制定相关财务管理、资产管理等制度，各项资金使用符合财务管理规定，资金使用合规，拨付程序完整，原始凭证和记账凭证完整，无截留、挪用等现象。</w:t>
      </w:r>
    </w:p>
    <w:p>
      <w:pPr>
        <w:adjustRightInd w:val="0"/>
        <w:snapToGrid w:val="0"/>
        <w:spacing w:line="600" w:lineRule="exact"/>
        <w:ind w:firstLine="643" w:firstLineChars="200"/>
        <w:rPr>
          <w:rFonts w:eastAsia="楷体_GB2312"/>
          <w:b/>
          <w:sz w:val="32"/>
          <w:szCs w:val="32"/>
        </w:rPr>
      </w:pPr>
      <w:r>
        <w:rPr>
          <w:rFonts w:hint="eastAsia" w:eastAsia="楷体_GB2312"/>
          <w:b/>
          <w:sz w:val="32"/>
          <w:szCs w:val="32"/>
        </w:rPr>
        <w:t>（二）项目组织实施情况</w:t>
      </w:r>
    </w:p>
    <w:p>
      <w:pPr>
        <w:adjustRightInd w:val="0"/>
        <w:snapToGrid w:val="0"/>
        <w:spacing w:line="600" w:lineRule="exact"/>
        <w:ind w:firstLine="640" w:firstLineChars="200"/>
        <w:rPr>
          <w:rFonts w:eastAsia="仿宋_GB2312"/>
          <w:sz w:val="32"/>
          <w:szCs w:val="32"/>
        </w:rPr>
      </w:pPr>
      <w:r>
        <w:rPr>
          <w:rFonts w:hint="eastAsia" w:eastAsia="仿宋_GB2312"/>
          <w:sz w:val="32"/>
          <w:szCs w:val="32"/>
        </w:rPr>
        <w:t>重大事项或者项目的重大调整经过了集体研究，并经常开展财务检查和工作督查落实。由乡政府牵头把关，经村支两委研究，按照“四议两公开”的程序，联系有资质的工程队伍，及时公开项目情况，做到公正、公开、透明，接受群众和各部门监督检查。</w:t>
      </w:r>
    </w:p>
    <w:p>
      <w:pPr>
        <w:adjustRightInd w:val="0"/>
        <w:snapToGrid w:val="0"/>
        <w:spacing w:line="600" w:lineRule="exact"/>
        <w:ind w:firstLine="640" w:firstLineChars="200"/>
        <w:rPr>
          <w:rFonts w:eastAsia="仿宋_GB2312"/>
          <w:sz w:val="32"/>
          <w:szCs w:val="32"/>
        </w:rPr>
      </w:pPr>
    </w:p>
    <w:p>
      <w:pPr>
        <w:adjustRightInd w:val="0"/>
        <w:snapToGrid w:val="0"/>
        <w:spacing w:line="600" w:lineRule="exact"/>
        <w:ind w:firstLine="643" w:firstLineChars="200"/>
        <w:rPr>
          <w:rFonts w:eastAsia="黑体"/>
          <w:b/>
          <w:bCs/>
          <w:sz w:val="32"/>
          <w:szCs w:val="32"/>
        </w:rPr>
      </w:pPr>
      <w:r>
        <w:rPr>
          <w:rFonts w:hint="eastAsia" w:eastAsia="黑体"/>
          <w:b/>
          <w:bCs/>
          <w:sz w:val="32"/>
          <w:szCs w:val="32"/>
        </w:rPr>
        <w:t>四、决算支出绩效情况</w:t>
      </w:r>
    </w:p>
    <w:p>
      <w:pPr>
        <w:adjustRightInd w:val="0"/>
        <w:snapToGrid w:val="0"/>
        <w:spacing w:line="600" w:lineRule="exact"/>
        <w:ind w:firstLine="643" w:firstLineChars="200"/>
        <w:rPr>
          <w:rFonts w:eastAsia="楷体_GB2312"/>
          <w:b/>
          <w:sz w:val="32"/>
          <w:szCs w:val="32"/>
        </w:rPr>
      </w:pPr>
      <w:r>
        <w:rPr>
          <w:rFonts w:hint="eastAsia" w:eastAsia="楷体_GB2312"/>
          <w:b/>
          <w:sz w:val="32"/>
          <w:szCs w:val="32"/>
        </w:rPr>
        <w:t>（一）决算支出决策情况。</w:t>
      </w:r>
    </w:p>
    <w:p>
      <w:pPr>
        <w:adjustRightInd w:val="0"/>
        <w:snapToGrid w:val="0"/>
        <w:spacing w:line="600" w:lineRule="exact"/>
        <w:ind w:firstLine="640" w:firstLineChars="200"/>
        <w:rPr>
          <w:rFonts w:eastAsia="仿宋_GB2312"/>
          <w:sz w:val="32"/>
          <w:szCs w:val="32"/>
        </w:rPr>
      </w:pPr>
      <w:r>
        <w:rPr>
          <w:rFonts w:hint="eastAsia" w:eastAsia="仿宋_GB2312"/>
          <w:sz w:val="32"/>
          <w:szCs w:val="32"/>
        </w:rPr>
        <w:t>预算支出决策情况较好。各项决策均符合相关法律法规，立项依据充分，与部门职责相符，资金由财政拨款，没有与相关部门同类预算支出或部门内部相关预算支出重复。预算支出按照规定的程序申请设立，各项材料基本符合要求；预算支出绩效目标细化、分解为具体的绩效指标上稍有欠缺；</w:t>
      </w:r>
    </w:p>
    <w:p>
      <w:pPr>
        <w:spacing w:line="600" w:lineRule="exact"/>
        <w:ind w:firstLine="643" w:firstLineChars="200"/>
        <w:rPr>
          <w:rFonts w:eastAsia="楷体_GB2312"/>
          <w:b/>
          <w:sz w:val="32"/>
          <w:szCs w:val="32"/>
        </w:rPr>
      </w:pPr>
      <w:bookmarkStart w:id="0" w:name="_Hlk81645048"/>
      <w:r>
        <w:rPr>
          <w:rFonts w:hint="eastAsia" w:eastAsia="楷体_GB2312"/>
          <w:b/>
          <w:sz w:val="32"/>
          <w:szCs w:val="32"/>
        </w:rPr>
        <w:t>（二）决算支出过程情况。</w:t>
      </w:r>
    </w:p>
    <w:p>
      <w:pPr>
        <w:spacing w:line="600" w:lineRule="exact"/>
        <w:ind w:firstLine="640" w:firstLineChars="200"/>
        <w:rPr>
          <w:rFonts w:eastAsia="仿宋_GB2312"/>
          <w:sz w:val="32"/>
          <w:szCs w:val="32"/>
        </w:rPr>
      </w:pPr>
      <w:r>
        <w:rPr>
          <w:rFonts w:hint="eastAsia" w:eastAsia="仿宋_GB2312"/>
          <w:sz w:val="32"/>
          <w:szCs w:val="32"/>
        </w:rPr>
        <w:t>基本支出，用于保障政府机关、事业单位等机构正常运转的日常支出，包括基本工资、津贴补贴等人员经费以及办公费、印刷费、水电费、办公设备购置等日常公用经费，基本支出的资金，进行了分年度归集和核算，数据核算准确，经济事项清楚详细、反映真实。</w:t>
      </w:r>
    </w:p>
    <w:p>
      <w:pPr>
        <w:spacing w:line="600" w:lineRule="exact"/>
        <w:ind w:firstLine="640" w:firstLineChars="200"/>
        <w:rPr>
          <w:rFonts w:eastAsia="仿宋_GB2312"/>
          <w:sz w:val="32"/>
          <w:szCs w:val="32"/>
        </w:rPr>
      </w:pPr>
      <w:r>
        <w:rPr>
          <w:rFonts w:hint="eastAsia" w:eastAsia="仿宋_GB2312"/>
          <w:sz w:val="32"/>
          <w:szCs w:val="32"/>
        </w:rPr>
        <w:t>项目支出，用于保障政府机关、事业单位等机构为完成特定的行政工作任务或事业发展目标，用于专项业务等基础设施建设与维护等工作经费支出，各项目资金管理较好的执行财务管理制度，做到了财务处理及时，会计核算规范。各项目资金严格实行专款专用。通过查阅资料、核对会计账簿、现场调查等多种方式，没有出现项目资金被挤占、挪用的情况，保证了项目的顺利实施。。</w:t>
      </w:r>
    </w:p>
    <w:p>
      <w:pPr>
        <w:spacing w:line="600" w:lineRule="exact"/>
        <w:ind w:firstLine="640" w:firstLineChars="200"/>
        <w:rPr>
          <w:rFonts w:eastAsia="仿宋_GB2312"/>
          <w:sz w:val="32"/>
          <w:szCs w:val="32"/>
        </w:rPr>
      </w:pPr>
      <w:r>
        <w:rPr>
          <w:rFonts w:hint="eastAsia" w:eastAsia="仿宋_GB2312"/>
          <w:sz w:val="32"/>
          <w:szCs w:val="32"/>
        </w:rPr>
        <w:t>进一步规范财政资金管理，强化财政支出绩效理念，切实提高财政资金使用效益，预算执行过程情况比较到位。资金到位率大于1</w:t>
      </w:r>
      <w:r>
        <w:rPr>
          <w:rFonts w:eastAsia="仿宋_GB2312"/>
          <w:sz w:val="32"/>
          <w:szCs w:val="32"/>
        </w:rPr>
        <w:t>00%</w:t>
      </w:r>
      <w:r>
        <w:rPr>
          <w:rFonts w:hint="eastAsia" w:eastAsia="仿宋_GB2312"/>
          <w:sz w:val="32"/>
          <w:szCs w:val="32"/>
        </w:rPr>
        <w:t>，决算支出完成率为</w:t>
      </w:r>
      <w:r>
        <w:rPr>
          <w:rFonts w:hint="eastAsia" w:eastAsia="仿宋_GB2312"/>
          <w:sz w:val="32"/>
          <w:szCs w:val="32"/>
          <w:lang w:val="en-US" w:eastAsia="zh-CN"/>
        </w:rPr>
        <w:t>96.97</w:t>
      </w:r>
      <w:r>
        <w:rPr>
          <w:rFonts w:eastAsia="仿宋_GB2312"/>
          <w:sz w:val="32"/>
          <w:szCs w:val="32"/>
        </w:rPr>
        <w:t>%</w:t>
      </w:r>
      <w:r>
        <w:rPr>
          <w:rFonts w:hint="eastAsia" w:eastAsia="仿宋_GB2312"/>
          <w:sz w:val="32"/>
          <w:szCs w:val="32"/>
        </w:rPr>
        <w:t>，资金使用合规，已制定相应合法、合规、完整的业务管理制度。</w:t>
      </w:r>
    </w:p>
    <w:bookmarkEnd w:id="0"/>
    <w:p>
      <w:pPr>
        <w:spacing w:line="600" w:lineRule="exact"/>
        <w:ind w:firstLine="643" w:firstLineChars="200"/>
        <w:rPr>
          <w:rFonts w:eastAsia="楷体_GB2312"/>
          <w:b/>
          <w:sz w:val="32"/>
          <w:szCs w:val="32"/>
        </w:rPr>
      </w:pPr>
      <w:r>
        <w:rPr>
          <w:rFonts w:hint="eastAsia" w:eastAsia="楷体_GB2312"/>
          <w:b/>
          <w:sz w:val="32"/>
          <w:szCs w:val="32"/>
        </w:rPr>
        <w:t>（三）决算支出产出情况</w:t>
      </w:r>
    </w:p>
    <w:p>
      <w:pPr>
        <w:adjustRightInd w:val="0"/>
        <w:snapToGrid w:val="0"/>
        <w:spacing w:line="600" w:lineRule="exact"/>
        <w:ind w:firstLine="640" w:firstLineChars="200"/>
        <w:rPr>
          <w:rFonts w:eastAsia="仿宋_GB2312"/>
          <w:sz w:val="32"/>
          <w:szCs w:val="32"/>
        </w:rPr>
      </w:pPr>
      <w:r>
        <w:rPr>
          <w:rFonts w:hint="eastAsia" w:eastAsia="仿宋_GB2312"/>
          <w:sz w:val="32"/>
          <w:szCs w:val="32"/>
        </w:rPr>
        <w:t>项目预算编制合理，充分的预计项目支出并完整反应，预算执行率达100%，未出现截留、挤占、挪用、虚列支出等情况。项目采购方式合规、采购流程规范，本年度支出的所有资金均由县财政局国库支付，支出符合国家财经法规和财务管理制度规定以及有关专项资金管理办法的规定；资金拨付有完整的审批程序和手续；项目支出按规定经过评估论证；但项目资金监管存在不到位现象，项目资金无具体使用明细，存在需要完善的风险控制环节。</w:t>
      </w:r>
    </w:p>
    <w:p>
      <w:pPr>
        <w:spacing w:line="600" w:lineRule="exact"/>
        <w:ind w:firstLine="643" w:firstLineChars="200"/>
        <w:rPr>
          <w:rFonts w:eastAsia="楷体_GB2312"/>
          <w:b/>
          <w:sz w:val="32"/>
          <w:szCs w:val="32"/>
        </w:rPr>
      </w:pPr>
      <w:bookmarkStart w:id="1" w:name="_Hlk81646273"/>
      <w:r>
        <w:rPr>
          <w:rFonts w:hint="eastAsia" w:eastAsia="楷体_GB2312"/>
          <w:b/>
          <w:sz w:val="32"/>
          <w:szCs w:val="32"/>
        </w:rPr>
        <w:t>（四）决算支出效益情况</w:t>
      </w:r>
    </w:p>
    <w:bookmarkEnd w:id="1"/>
    <w:p>
      <w:pPr>
        <w:spacing w:line="600" w:lineRule="exact"/>
        <w:ind w:firstLine="640" w:firstLineChars="200"/>
        <w:rPr>
          <w:rFonts w:eastAsia="仿宋_GB2312"/>
          <w:sz w:val="32"/>
          <w:szCs w:val="32"/>
        </w:rPr>
      </w:pPr>
      <w:r>
        <w:rPr>
          <w:rFonts w:hint="eastAsia" w:eastAsia="仿宋_GB2312"/>
          <w:sz w:val="32"/>
          <w:szCs w:val="32"/>
        </w:rPr>
        <w:t>我单位不断改善行政管理、严格经费及资产管理；做好防汛抗旱、防治大气污染工作；督促和指导乡村抓好基础管理工作和安全生产工作；改进文风会风，精简会议，提高了行政效率，各方面工作得到社会大众的肯定和好评，在年度绩效考核中成绩优异。</w:t>
      </w:r>
    </w:p>
    <w:p>
      <w:pPr>
        <w:adjustRightInd w:val="0"/>
        <w:snapToGrid w:val="0"/>
        <w:spacing w:line="600" w:lineRule="exact"/>
        <w:ind w:firstLine="643" w:firstLineChars="200"/>
        <w:rPr>
          <w:rFonts w:eastAsia="楷体_GB2312"/>
          <w:b/>
          <w:sz w:val="32"/>
          <w:szCs w:val="32"/>
        </w:rPr>
      </w:pPr>
    </w:p>
    <w:p>
      <w:pPr>
        <w:spacing w:line="600" w:lineRule="exact"/>
        <w:ind w:firstLine="640" w:firstLineChars="200"/>
        <w:rPr>
          <w:rFonts w:eastAsia="黑体"/>
          <w:sz w:val="32"/>
          <w:szCs w:val="32"/>
        </w:rPr>
      </w:pPr>
      <w:bookmarkStart w:id="2" w:name="_Hlk81646523"/>
      <w:r>
        <w:rPr>
          <w:rFonts w:hint="eastAsia" w:eastAsia="黑体"/>
          <w:sz w:val="32"/>
          <w:szCs w:val="32"/>
        </w:rPr>
        <w:t>五、主要经验及做法、存在的问题及原因分析</w:t>
      </w:r>
    </w:p>
    <w:p>
      <w:pPr>
        <w:spacing w:line="600" w:lineRule="exact"/>
        <w:ind w:firstLine="640" w:firstLineChars="200"/>
        <w:rPr>
          <w:rFonts w:eastAsia="仿宋_GB2312"/>
          <w:sz w:val="32"/>
          <w:szCs w:val="32"/>
        </w:rPr>
      </w:pPr>
      <w:r>
        <w:rPr>
          <w:rFonts w:hint="eastAsia" w:eastAsia="仿宋_GB2312"/>
          <w:sz w:val="32"/>
          <w:szCs w:val="32"/>
        </w:rPr>
        <w:t>主要经验及做法：</w:t>
      </w:r>
      <w:bookmarkEnd w:id="2"/>
      <w:r>
        <w:rPr>
          <w:rFonts w:hint="eastAsia" w:eastAsia="仿宋_GB2312"/>
          <w:sz w:val="32"/>
          <w:szCs w:val="32"/>
        </w:rPr>
        <w:t>各项工作需严格按照文件要求执行，不得擅自更改文件精神，不能截留、挤占、挪用、虚列支出；各项支出需要相关文件支撑；按时完成上级交代的各项任务；工程项目要及时公示，接受群众和各部门的监督等。</w:t>
      </w:r>
    </w:p>
    <w:p>
      <w:pPr>
        <w:spacing w:line="600" w:lineRule="exact"/>
        <w:ind w:firstLine="640" w:firstLineChars="200"/>
        <w:rPr>
          <w:rFonts w:eastAsia="楷体_GB2312"/>
          <w:b/>
          <w:sz w:val="32"/>
          <w:szCs w:val="32"/>
        </w:rPr>
      </w:pPr>
      <w:r>
        <w:rPr>
          <w:rFonts w:hint="eastAsia" w:eastAsia="仿宋_GB2312"/>
          <w:sz w:val="32"/>
          <w:szCs w:val="32"/>
        </w:rPr>
        <w:t>存在的问题：1.预算编制工作有待细化。预算编制不够明确和细化，预算编制的合理性需要提高，预算执行力度还要进一步加强；2.公用经费控制有一定难度，基本为刚性支出。</w:t>
      </w:r>
    </w:p>
    <w:p>
      <w:pPr>
        <w:adjustRightInd w:val="0"/>
        <w:snapToGrid w:val="0"/>
        <w:spacing w:line="600" w:lineRule="exact"/>
        <w:ind w:firstLine="643" w:firstLineChars="200"/>
        <w:rPr>
          <w:rFonts w:eastAsia="楷体_GB2312"/>
          <w:b/>
          <w:sz w:val="32"/>
          <w:szCs w:val="32"/>
        </w:rPr>
      </w:pPr>
    </w:p>
    <w:p>
      <w:pPr>
        <w:spacing w:line="600" w:lineRule="exact"/>
        <w:ind w:firstLine="640" w:firstLineChars="200"/>
        <w:rPr>
          <w:rFonts w:eastAsia="黑体"/>
          <w:sz w:val="32"/>
          <w:szCs w:val="32"/>
        </w:rPr>
      </w:pPr>
      <w:r>
        <w:rPr>
          <w:rFonts w:hint="eastAsia" w:eastAsia="黑体"/>
          <w:sz w:val="32"/>
          <w:szCs w:val="32"/>
        </w:rPr>
        <w:t>六、有关建议</w:t>
      </w:r>
    </w:p>
    <w:p>
      <w:pPr>
        <w:adjustRightInd w:val="0"/>
        <w:snapToGrid w:val="0"/>
        <w:spacing w:line="600" w:lineRule="exact"/>
        <w:ind w:firstLine="640" w:firstLineChars="200"/>
        <w:rPr>
          <w:rFonts w:eastAsia="仿宋_GB2312"/>
          <w:sz w:val="32"/>
          <w:szCs w:val="32"/>
        </w:rPr>
      </w:pPr>
      <w:r>
        <w:rPr>
          <w:rFonts w:hint="eastAsia" w:eastAsia="仿宋_GB2312"/>
          <w:sz w:val="32"/>
          <w:szCs w:val="32"/>
        </w:rPr>
        <w:t>1</w:t>
      </w:r>
      <w:r>
        <w:rPr>
          <w:rFonts w:eastAsia="仿宋_GB2312"/>
          <w:sz w:val="32"/>
          <w:szCs w:val="32"/>
        </w:rPr>
        <w:t>.</w:t>
      </w:r>
      <w:r>
        <w:rPr>
          <w:rFonts w:hint="eastAsia" w:eastAsia="仿宋_GB2312"/>
          <w:sz w:val="32"/>
          <w:szCs w:val="32"/>
        </w:rPr>
        <w:t>细化预算编制工作，认真做好预算的编制。进一步加强单位内部机构各股室的预算管理意识，严格按照预算编制的相关制度和要求进行预算编制；全面编制预算项目，优先保障固定性的、相对刚性的费用支出项目，尽量压缩变动性的、有控制空间的费用项目，进一步提高预算编制的科学性、严谨性和可控性。加强内部预算编制的审核和预算控制指标的下达。</w:t>
      </w:r>
    </w:p>
    <w:p>
      <w:pPr>
        <w:adjustRightInd w:val="0"/>
        <w:snapToGrid w:val="0"/>
        <w:spacing w:line="600" w:lineRule="exact"/>
        <w:ind w:firstLine="640" w:firstLineChars="200"/>
        <w:rPr>
          <w:rFonts w:eastAsia="仿宋_GB2312"/>
          <w:sz w:val="32"/>
          <w:szCs w:val="32"/>
        </w:rPr>
      </w:pPr>
      <w:r>
        <w:rPr>
          <w:rFonts w:hint="eastAsia" w:eastAsia="仿宋_GB2312"/>
          <w:sz w:val="32"/>
          <w:szCs w:val="32"/>
        </w:rPr>
        <w:t>2</w:t>
      </w:r>
      <w:r>
        <w:rPr>
          <w:rFonts w:eastAsia="仿宋_GB2312"/>
          <w:sz w:val="32"/>
          <w:szCs w:val="32"/>
        </w:rPr>
        <w:t>.</w:t>
      </w:r>
      <w:r>
        <w:rPr>
          <w:rFonts w:hint="eastAsia"/>
        </w:rPr>
        <w:t xml:space="preserve"> </w:t>
      </w:r>
      <w:r>
        <w:rPr>
          <w:rFonts w:hint="eastAsia" w:eastAsia="仿宋_GB2312"/>
          <w:sz w:val="32"/>
          <w:szCs w:val="32"/>
        </w:rPr>
        <w:t>加强财务管理，严格财务审核。加强单位财务管理，健全单位财务管理制度体系，规范单位财务行为。在费用报账支付时，按照预算规定的费用项目和用途进行资金使用审核、列报支付、财务核算，杜绝超支现象的发生。</w:t>
      </w:r>
    </w:p>
    <w:p>
      <w:pPr>
        <w:adjustRightInd w:val="0"/>
        <w:snapToGrid w:val="0"/>
        <w:spacing w:line="600" w:lineRule="exact"/>
        <w:ind w:firstLine="640" w:firstLineChars="200"/>
        <w:rPr>
          <w:rFonts w:eastAsia="仿宋_GB2312"/>
          <w:sz w:val="32"/>
          <w:szCs w:val="32"/>
        </w:rPr>
      </w:pPr>
    </w:p>
    <w:p>
      <w:pPr>
        <w:widowControl/>
        <w:spacing w:line="600" w:lineRule="exact"/>
        <w:ind w:firstLine="640"/>
        <w:jc w:val="left"/>
        <w:rPr>
          <w:rFonts w:eastAsia="仿宋_GB2312"/>
          <w:sz w:val="32"/>
          <w:szCs w:val="32"/>
        </w:rPr>
      </w:pPr>
    </w:p>
    <w:p>
      <w:pPr>
        <w:widowControl/>
        <w:spacing w:line="600" w:lineRule="exact"/>
        <w:ind w:firstLine="640"/>
        <w:jc w:val="left"/>
        <w:rPr>
          <w:rFonts w:eastAsia="仿宋_GB2312"/>
          <w:sz w:val="32"/>
          <w:szCs w:val="32"/>
        </w:rPr>
      </w:pPr>
    </w:p>
    <w:p>
      <w:pPr>
        <w:widowControl/>
        <w:spacing w:line="600" w:lineRule="exact"/>
        <w:ind w:firstLine="640"/>
        <w:jc w:val="left"/>
        <w:rPr>
          <w:rFonts w:eastAsia="仿宋_GB2312"/>
          <w:sz w:val="32"/>
          <w:szCs w:val="32"/>
        </w:rPr>
      </w:pPr>
    </w:p>
    <w:p>
      <w:pPr>
        <w:widowControl/>
        <w:spacing w:line="600" w:lineRule="exact"/>
        <w:ind w:firstLine="640"/>
        <w:jc w:val="right"/>
        <w:rPr>
          <w:rFonts w:eastAsia="仿宋_GB2312"/>
          <w:sz w:val="32"/>
          <w:szCs w:val="32"/>
        </w:rPr>
      </w:pPr>
      <w:r>
        <w:rPr>
          <w:rFonts w:hint="eastAsia" w:eastAsia="仿宋_GB2312"/>
          <w:sz w:val="32"/>
          <w:szCs w:val="32"/>
        </w:rPr>
        <w:t>辰溪县</w:t>
      </w:r>
      <w:r>
        <w:rPr>
          <w:rFonts w:hint="eastAsia" w:eastAsia="仿宋_GB2312"/>
          <w:sz w:val="32"/>
          <w:szCs w:val="32"/>
          <w:lang w:val="en-US" w:eastAsia="zh-CN"/>
        </w:rPr>
        <w:t>谭家场</w:t>
      </w:r>
      <w:r>
        <w:rPr>
          <w:rFonts w:hint="eastAsia" w:eastAsia="仿宋_GB2312"/>
          <w:sz w:val="32"/>
          <w:szCs w:val="32"/>
        </w:rPr>
        <w:t>乡人民政府</w:t>
      </w:r>
    </w:p>
    <w:p>
      <w:pPr>
        <w:jc w:val="right"/>
      </w:pPr>
      <w:r>
        <w:rPr>
          <w:rFonts w:hint="eastAsia" w:eastAsia="仿宋_GB2312"/>
          <w:sz w:val="32"/>
          <w:szCs w:val="32"/>
        </w:rPr>
        <w:t>2021年9月</w:t>
      </w:r>
      <w:r>
        <w:rPr>
          <w:rFonts w:hint="eastAsia" w:eastAsia="仿宋_GB2312"/>
          <w:sz w:val="32"/>
          <w:szCs w:val="32"/>
          <w:lang w:val="en-US" w:eastAsia="zh-CN"/>
        </w:rPr>
        <w:t>7</w:t>
      </w:r>
      <w:r>
        <w:rPr>
          <w:rFonts w:hint="eastAsia" w:eastAsia="仿宋_GB2312"/>
          <w:sz w:val="32"/>
          <w:szCs w:val="32"/>
        </w:rPr>
        <w:t>日</w:t>
      </w:r>
    </w:p>
    <w:sectPr>
      <w:headerReference r:id="rId3" w:type="default"/>
      <w:footerReference r:id="rId4"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altName w:val="SimSun-ExtB"/>
    <w:panose1 w:val="00000000000000000000"/>
    <w:charset w:val="86"/>
    <w:family w:val="script"/>
    <w:pitch w:val="default"/>
    <w:sig w:usb0="00000000" w:usb1="00000000" w:usb2="00000010" w:usb3="00000000" w:csb0="00040000" w:csb1="00000000"/>
  </w:font>
  <w:font w:name="SimSun-ExtB">
    <w:panose1 w:val="02010609060101010101"/>
    <w:charset w:val="86"/>
    <w:family w:val="auto"/>
    <w:pitch w:val="default"/>
    <w:sig w:usb0="00000001" w:usb1="02000000" w:usb2="00000000" w:usb3="00000000" w:csb0="00040001" w:csb1="00000000"/>
  </w:font>
  <w:font w:name="楷体_GB2312">
    <w:altName w:val="楷体"/>
    <w:panose1 w:val="00000000000000000000"/>
    <w:charset w:val="86"/>
    <w:family w:val="auto"/>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Helvetica">
    <w:altName w:val="Arial"/>
    <w:panose1 w:val="00000000000000000000"/>
    <w:charset w:val="00"/>
    <w:family w:val="auto"/>
    <w:pitch w:val="default"/>
    <w:sig w:usb0="00000000" w:usb1="00000000" w:usb2="00000000" w:usb3="00000000" w:csb0="00000000"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83C14EB"/>
    <w:rsid w:val="183C14EB"/>
    <w:rsid w:val="52F329CE"/>
    <w:rsid w:val="5B3B6BD0"/>
    <w:rsid w:val="633273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17</TotalTime>
  <ScaleCrop>false</ScaleCrop>
  <LinksUpToDate>false</LinksUpToDate>
  <CharactersWithSpaces>0</CharactersWithSpaces>
  <Application>WPS Office_11.1.0.10503_F1E327BC-269C-435d-A152-05C5408002CA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2021-09-07T01:23:00Z</dcterms:created>
  <dc:creator>执子之爪</dc:creator>
  <cp:lastModifiedBy>执子之爪</cp:lastModifiedBy>
  <cp:lastPrinted>2021-09-07T02:49:39Z</cp:lastPrinted>
  <dcterms:modified xsi:type="dcterms:W3CDTF">2021-09-07T03:00:07Z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2052-11.1.0.10503</vt:lpwstr>
  </property>
  <property fmtid="{D5CDD505-2E9C-101B-9397-08002B2CF9AE}" pid="3" name="ICV">
    <vt:lpwstr>3E7E920DE17444BEA77D14AC4E8FCC54</vt:lpwstr>
  </property>
</Properties>
</file>