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部门整体支出绩效评价基础数据表</w:t>
      </w: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填报单位：</w:t>
      </w:r>
    </w:p>
    <w:tbl>
      <w:tblPr>
        <w:tblStyle w:val="2"/>
        <w:tblW w:w="1031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7"/>
        <w:gridCol w:w="2181"/>
        <w:gridCol w:w="2292"/>
        <w:gridCol w:w="22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3597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财政供养人员情况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编制数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2020</w:t>
            </w:r>
            <w:r>
              <w:rPr>
                <w:rFonts w:hint="eastAsia" w:ascii="仿宋" w:hAnsi="仿宋" w:eastAsia="仿宋"/>
              </w:rPr>
              <w:t>年实际在职人数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控制率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3597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/>
              </w:rPr>
            </w:pP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48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47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98%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经费控制情况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2019</w:t>
            </w:r>
            <w:r>
              <w:rPr>
                <w:rFonts w:hint="eastAsia" w:ascii="仿宋" w:hAnsi="仿宋" w:eastAsia="仿宋"/>
              </w:rPr>
              <w:t>年决算数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2020</w:t>
            </w:r>
            <w:r>
              <w:rPr>
                <w:rFonts w:hint="eastAsia" w:ascii="仿宋" w:hAnsi="仿宋" w:eastAsia="仿宋"/>
              </w:rPr>
              <w:t>年预算数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2020</w:t>
            </w:r>
            <w:r>
              <w:rPr>
                <w:rFonts w:hint="eastAsia" w:ascii="仿宋" w:hAnsi="仿宋" w:eastAsia="仿宋"/>
              </w:rPr>
              <w:t>年决算数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三公经费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32.2万元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29.5万元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28.9万元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  <w:r>
              <w:rPr>
                <w:rFonts w:hint="eastAsia" w:ascii="仿宋" w:hAnsi="仿宋" w:eastAsia="仿宋"/>
              </w:rPr>
              <w:t>、公务用车购置和维护经费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其中：公车购置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公车运行维护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17.4万元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13.5万元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13.5万元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</w:t>
            </w:r>
            <w:r>
              <w:rPr>
                <w:rFonts w:hint="eastAsia" w:ascii="仿宋" w:hAnsi="仿宋" w:eastAsia="仿宋"/>
              </w:rPr>
              <w:t>、出国经费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3</w:t>
            </w:r>
            <w:r>
              <w:rPr>
                <w:rFonts w:hint="eastAsia" w:ascii="仿宋" w:hAnsi="仿宋" w:eastAsia="仿宋"/>
              </w:rPr>
              <w:t>、公务接待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14.8万元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16万元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14.7万元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项目支出：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  <w:r>
              <w:rPr>
                <w:rFonts w:hint="eastAsia" w:ascii="仿宋" w:hAnsi="仿宋" w:eastAsia="仿宋"/>
              </w:rPr>
              <w:t>、业务工作专项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</w:t>
            </w:r>
            <w:r>
              <w:rPr>
                <w:rFonts w:hint="eastAsia" w:ascii="仿宋" w:hAnsi="仿宋" w:eastAsia="仿宋"/>
              </w:rPr>
              <w:t>、运行维护专项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…</w:t>
            </w:r>
            <w:r>
              <w:rPr>
                <w:rFonts w:ascii="宋体" w:cs="宋体"/>
              </w:rPr>
              <w:t> </w:t>
            </w:r>
            <w:r>
              <w:rPr>
                <w:rFonts w:hint="eastAsia" w:ascii="仿宋" w:hAnsi="仿宋" w:eastAsia="仿宋"/>
              </w:rPr>
              <w:t>…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公用经费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202.5万元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216.8万元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207万元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其中：办公经费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68.7万元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63.3万元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45.1万元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水费、电费、差旅费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10.2万元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11.7万元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14.5万元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会议费、培训费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3.7万元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3.8万元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政府采购金额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— —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部门整体支出预算调整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— —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</w:tbl>
    <w:p>
      <w:pPr>
        <w:spacing w:line="40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说明：“项目支出”需要填报除专项资金和基本支出以外的所有项目情况，包括业务工作项目、运行维护项目等；“公用经费”填报基本支出中的一般商品和服务支出。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8717C"/>
    <w:rsid w:val="13AE23A8"/>
    <w:rsid w:val="4778717C"/>
    <w:rsid w:val="5517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2021-09-06T08:09:00Z</dcterms:created>
  <dc:creator>执子之爪</dc:creator>
  <cp:lastModifiedBy>执子之爪</cp:lastModifiedBy>
  <dcterms:modified xsi:type="dcterms:W3CDTF">2021-09-06T09:03:52Z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D36C93D03B094C69B4543DC33DDE6DC2</vt:lpwstr>
  </property>
</Properties>
</file>