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rPr>
          <w:rFonts w:hint="eastAsia" w:eastAsia="仿宋_GB2312"/>
          <w:spacing w:val="-2"/>
          <w:sz w:val="28"/>
          <w:szCs w:val="28"/>
          <w:lang w:val="en-US" w:eastAsia="zh-CN"/>
        </w:rPr>
      </w:pPr>
    </w:p>
    <w:p>
      <w:pPr>
        <w:rPr>
          <w:rFonts w:hint="eastAsia" w:ascii="Times New Roman" w:hAnsi="Times New Roman" w:eastAsia="黑体" w:cs="Times New Roman"/>
          <w:sz w:val="32"/>
          <w:szCs w:val="32"/>
          <w:lang w:eastAsia="zh-CN"/>
        </w:rPr>
      </w:pPr>
      <w:r>
        <w:rPr>
          <w:rFonts w:hint="eastAsia" w:eastAsia="仿宋_GB2312"/>
          <w:b/>
          <w:spacing w:val="-2"/>
          <w:sz w:val="32"/>
          <w:szCs w:val="44"/>
        </w:rPr>
        <w:t xml:space="preserve"> </w:t>
      </w: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spacing w:line="600" w:lineRule="exact"/>
        <w:rPr>
          <w:rFonts w:ascii="Times New Roman" w:hAnsi="Times New Roman" w:eastAsia="黑体" w:cs="Times New Roman"/>
          <w:sz w:val="32"/>
          <w:szCs w:val="32"/>
        </w:rPr>
      </w:pPr>
    </w:p>
    <w:p>
      <w:pPr>
        <w:jc w:val="center"/>
        <w:rPr>
          <w:rFonts w:ascii="Times New Roman" w:hAnsi="Times New Roman" w:eastAsia="方正小标宋_GBK" w:cs="Times New Roman"/>
          <w:b/>
          <w:bCs/>
          <w:sz w:val="52"/>
          <w:szCs w:val="52"/>
        </w:rPr>
      </w:pPr>
      <w:r>
        <w:rPr>
          <w:rFonts w:ascii="Times New Roman" w:hAnsi="Times New Roman" w:eastAsia="方正小标宋_GBK" w:cs="Times New Roman"/>
          <w:b/>
          <w:bCs/>
          <w:sz w:val="52"/>
          <w:szCs w:val="52"/>
        </w:rPr>
        <w:t>20</w:t>
      </w:r>
      <w:r>
        <w:rPr>
          <w:rFonts w:hint="eastAsia" w:ascii="Times New Roman" w:hAnsi="Times New Roman" w:eastAsia="方正小标宋_GBK" w:cs="Times New Roman"/>
          <w:b/>
          <w:bCs/>
          <w:sz w:val="52"/>
          <w:szCs w:val="52"/>
          <w:lang w:val="en-US" w:eastAsia="zh-CN"/>
        </w:rPr>
        <w:t>22</w:t>
      </w:r>
      <w:r>
        <w:rPr>
          <w:rFonts w:ascii="Times New Roman" w:hAnsi="Times New Roman" w:eastAsia="方正小标宋_GBK" w:cs="Times New Roman"/>
          <w:b/>
          <w:bCs/>
          <w:sz w:val="52"/>
          <w:szCs w:val="52"/>
        </w:rPr>
        <w:t>年度</w:t>
      </w:r>
      <w:r>
        <w:rPr>
          <w:rFonts w:hint="eastAsia" w:ascii="Times New Roman" w:hAnsi="Times New Roman" w:eastAsia="方正小标宋_GBK" w:cs="Times New Roman"/>
          <w:b/>
          <w:bCs/>
          <w:sz w:val="52"/>
          <w:szCs w:val="52"/>
          <w:lang w:val="en-US" w:eastAsia="zh-CN"/>
        </w:rPr>
        <w:t>辰溪县交通建设质量安全监督站</w:t>
      </w:r>
      <w:r>
        <w:rPr>
          <w:rFonts w:ascii="Times New Roman" w:hAnsi="Times New Roman" w:eastAsia="方正小标宋_GBK" w:cs="Times New Roman"/>
          <w:b/>
          <w:bCs/>
          <w:sz w:val="52"/>
          <w:szCs w:val="52"/>
        </w:rPr>
        <w:t>整体支出绩效自评报告</w:t>
      </w:r>
    </w:p>
    <w:p>
      <w:pPr>
        <w:jc w:val="both"/>
        <w:rPr>
          <w:rFonts w:ascii="Times New Roman" w:hAnsi="Times New Roman" w:eastAsia="楷体_GB2312" w:cs="Times New Roman"/>
          <w:b/>
          <w:sz w:val="32"/>
          <w:szCs w:val="32"/>
        </w:rPr>
      </w:pPr>
    </w:p>
    <w:p>
      <w:pPr>
        <w:jc w:val="center"/>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jc w:val="both"/>
        <w:rPr>
          <w:rFonts w:ascii="Times New Roman" w:hAnsi="Times New Roman" w:eastAsia="黑体" w:cs="Times New Roman"/>
          <w:sz w:val="32"/>
          <w:szCs w:val="32"/>
        </w:rPr>
      </w:pPr>
    </w:p>
    <w:p>
      <w:pPr>
        <w:jc w:val="center"/>
        <w:rPr>
          <w:rFonts w:ascii="Times New Roman" w:hAnsi="Times New Roman" w:eastAsia="黑体" w:cs="Times New Roman"/>
          <w:sz w:val="32"/>
          <w:szCs w:val="32"/>
        </w:rPr>
      </w:pPr>
    </w:p>
    <w:p>
      <w:pPr>
        <w:spacing w:line="600" w:lineRule="exact"/>
        <w:ind w:firstLine="1920" w:firstLineChars="6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单位名称：</w:t>
      </w:r>
      <w:r>
        <w:rPr>
          <w:rFonts w:hint="eastAsia" w:ascii="Times New Roman" w:hAnsi="Times New Roman" w:eastAsia="仿宋_GB2312" w:cs="Times New Roman"/>
          <w:sz w:val="32"/>
          <w:szCs w:val="32"/>
          <w:u w:val="single"/>
          <w:lang w:val="en-US" w:eastAsia="zh-CN"/>
        </w:rPr>
        <w:t>辰溪县交通建设质量安全监督站</w:t>
      </w:r>
    </w:p>
    <w:p>
      <w:pPr>
        <w:spacing w:line="600" w:lineRule="exact"/>
        <w:ind w:firstLine="4160" w:firstLineChars="1300"/>
        <w:rPr>
          <w:rFonts w:ascii="Times New Roman" w:hAnsi="Times New Roman" w:eastAsia="楷体_GB2312" w:cs="Times New Roman"/>
          <w:sz w:val="32"/>
          <w:szCs w:val="32"/>
        </w:rPr>
      </w:pPr>
      <w:r>
        <w:rPr>
          <w:rFonts w:hint="eastAsia" w:ascii="Times New Roman" w:hAnsi="Times New Roman" w:eastAsia="楷体_GB2312" w:cs="Times New Roman"/>
          <w:sz w:val="32"/>
          <w:szCs w:val="32"/>
          <w:lang w:val="en-US" w:eastAsia="zh-CN"/>
        </w:rPr>
        <w:t>2023</w:t>
      </w:r>
      <w:r>
        <w:rPr>
          <w:rFonts w:ascii="Times New Roman" w:hAnsi="Times New Roman" w:eastAsia="楷体_GB2312" w:cs="Times New Roman"/>
          <w:sz w:val="32"/>
          <w:szCs w:val="32"/>
        </w:rPr>
        <w:t xml:space="preserve">年 </w:t>
      </w:r>
      <w:r>
        <w:rPr>
          <w:rFonts w:hint="eastAsia" w:ascii="Times New Roman" w:hAnsi="Times New Roman" w:eastAsia="楷体_GB2312" w:cs="Times New Roman"/>
          <w:sz w:val="32"/>
          <w:szCs w:val="32"/>
          <w:lang w:val="en-US" w:eastAsia="zh-CN"/>
        </w:rPr>
        <w:t>3</w:t>
      </w:r>
      <w:r>
        <w:rPr>
          <w:rFonts w:ascii="Times New Roman" w:hAnsi="Times New Roman" w:eastAsia="楷体_GB2312" w:cs="Times New Roman"/>
          <w:sz w:val="32"/>
          <w:szCs w:val="32"/>
        </w:rPr>
        <w:t>月</w:t>
      </w:r>
      <w:r>
        <w:rPr>
          <w:rFonts w:hint="eastAsia" w:ascii="Times New Roman" w:hAnsi="Times New Roman" w:eastAsia="楷体_GB2312" w:cs="Times New Roman"/>
          <w:sz w:val="32"/>
          <w:szCs w:val="32"/>
          <w:lang w:val="en-US" w:eastAsia="zh-CN"/>
        </w:rPr>
        <w:t>17</w:t>
      </w:r>
      <w:r>
        <w:rPr>
          <w:rFonts w:ascii="Times New Roman" w:hAnsi="Times New Roman" w:eastAsia="楷体_GB2312" w:cs="Times New Roman"/>
          <w:sz w:val="32"/>
          <w:szCs w:val="32"/>
        </w:rPr>
        <w:t>日</w:t>
      </w:r>
    </w:p>
    <w:p>
      <w:pPr>
        <w:jc w:val="center"/>
        <w:rPr>
          <w:rFonts w:ascii="Times New Roman" w:hAnsi="Times New Roman" w:eastAsia="黑体" w:cs="Times New Roman"/>
          <w:sz w:val="32"/>
          <w:szCs w:val="32"/>
        </w:rPr>
      </w:pPr>
    </w:p>
    <w:p>
      <w:pPr>
        <w:jc w:val="center"/>
        <w:rPr>
          <w:rFonts w:hint="eastAsia" w:ascii="宋体" w:hAnsi="宋体"/>
          <w:b/>
          <w:bCs/>
          <w:sz w:val="44"/>
          <w:szCs w:val="44"/>
        </w:rPr>
      </w:pPr>
    </w:p>
    <w:p>
      <w:pPr>
        <w:spacing w:line="600" w:lineRule="exact"/>
        <w:jc w:val="center"/>
        <w:rPr>
          <w:rFonts w:hint="eastAsia" w:ascii="黑体" w:hAnsi="黑体" w:eastAsia="黑体" w:cs="黑体"/>
          <w:b/>
          <w:bCs/>
          <w:sz w:val="44"/>
          <w:szCs w:val="44"/>
        </w:rPr>
      </w:pPr>
      <w:r>
        <w:rPr>
          <w:rFonts w:hint="eastAsia" w:ascii="黑体" w:hAnsi="黑体" w:eastAsia="黑体" w:cs="黑体"/>
          <w:b/>
          <w:bCs/>
          <w:sz w:val="44"/>
          <w:szCs w:val="44"/>
        </w:rPr>
        <w:t>辰溪县</w:t>
      </w:r>
      <w:r>
        <w:rPr>
          <w:rFonts w:hint="eastAsia" w:ascii="黑体" w:hAnsi="黑体" w:eastAsia="黑体" w:cs="黑体"/>
          <w:b/>
          <w:bCs/>
          <w:sz w:val="44"/>
          <w:szCs w:val="44"/>
          <w:lang w:eastAsia="zh-CN"/>
        </w:rPr>
        <w:t>交通建设质量安全监督站</w:t>
      </w:r>
      <w:r>
        <w:rPr>
          <w:rFonts w:hint="eastAsia" w:ascii="黑体" w:hAnsi="黑体" w:eastAsia="黑体" w:cs="黑体"/>
          <w:b/>
          <w:bCs/>
          <w:sz w:val="44"/>
          <w:szCs w:val="44"/>
          <w:lang w:val="en-US" w:eastAsia="zh-CN"/>
        </w:rPr>
        <w:t>2022</w:t>
      </w:r>
      <w:r>
        <w:rPr>
          <w:rFonts w:hint="eastAsia" w:ascii="黑体" w:hAnsi="黑体" w:eastAsia="黑体" w:cs="黑体"/>
          <w:b/>
          <w:bCs/>
          <w:sz w:val="44"/>
          <w:szCs w:val="44"/>
        </w:rPr>
        <w:t>年度</w:t>
      </w:r>
    </w:p>
    <w:p>
      <w:pPr>
        <w:spacing w:line="600" w:lineRule="exact"/>
        <w:jc w:val="center"/>
        <w:rPr>
          <w:rFonts w:hint="eastAsia" w:ascii="黑体" w:hAnsi="黑体" w:eastAsia="黑体" w:cs="黑体"/>
          <w:b/>
          <w:bCs/>
          <w:sz w:val="44"/>
          <w:szCs w:val="44"/>
        </w:rPr>
      </w:pPr>
      <w:r>
        <w:rPr>
          <w:rFonts w:hint="eastAsia" w:ascii="黑体" w:hAnsi="黑体" w:eastAsia="黑体" w:cs="黑体"/>
          <w:b/>
          <w:bCs/>
          <w:sz w:val="44"/>
          <w:szCs w:val="44"/>
        </w:rPr>
        <w:t>部门整体支出绩效评价报告</w:t>
      </w:r>
    </w:p>
    <w:p>
      <w:pPr>
        <w:spacing w:line="600" w:lineRule="exact"/>
        <w:jc w:val="center"/>
        <w:rPr>
          <w:rFonts w:ascii="新宋体" w:hAnsi="新宋体" w:eastAsia="新宋体"/>
          <w:sz w:val="32"/>
          <w:szCs w:val="32"/>
        </w:rPr>
      </w:pPr>
    </w:p>
    <w:p>
      <w:pPr>
        <w:spacing w:line="600" w:lineRule="exact"/>
        <w:jc w:val="center"/>
        <w:rPr>
          <w:rFonts w:ascii="新宋体" w:hAnsi="新宋体" w:eastAsia="新宋体"/>
          <w:sz w:val="32"/>
          <w:szCs w:val="32"/>
        </w:rPr>
      </w:pPr>
    </w:p>
    <w:p>
      <w:pPr>
        <w:widowControl/>
        <w:numPr>
          <w:ilvl w:val="0"/>
          <w:numId w:val="0"/>
        </w:numPr>
        <w:tabs>
          <w:tab w:val="left" w:pos="564"/>
        </w:tabs>
        <w:spacing w:line="560" w:lineRule="exact"/>
        <w:ind w:firstLine="643" w:firstLineChars="200"/>
        <w:jc w:val="left"/>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一、</w:t>
      </w:r>
      <w:r>
        <w:rPr>
          <w:rFonts w:hint="eastAsia" w:ascii="宋体" w:hAnsi="宋体" w:eastAsia="宋体" w:cs="宋体"/>
          <w:b/>
          <w:bCs/>
          <w:sz w:val="32"/>
          <w:szCs w:val="32"/>
          <w:highlight w:val="none"/>
        </w:rPr>
        <w:t>部门</w:t>
      </w:r>
      <w:r>
        <w:rPr>
          <w:rFonts w:hint="eastAsia" w:ascii="宋体" w:hAnsi="宋体" w:cs="宋体"/>
          <w:b/>
          <w:bCs/>
          <w:sz w:val="32"/>
          <w:szCs w:val="32"/>
          <w:highlight w:val="none"/>
          <w:lang w:val="en-US" w:eastAsia="zh-CN"/>
        </w:rPr>
        <w:t>概况</w:t>
      </w:r>
    </w:p>
    <w:p>
      <w:pPr>
        <w:pStyle w:val="12"/>
        <w:numPr>
          <w:ilvl w:val="0"/>
          <w:numId w:val="0"/>
        </w:numPr>
        <w:ind w:leftChars="0" w:firstLine="643" w:firstLineChars="200"/>
        <w:jc w:val="left"/>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eastAsia="zh-CN"/>
        </w:rPr>
        <w:t>（</w:t>
      </w:r>
      <w:r>
        <w:rPr>
          <w:rFonts w:hint="eastAsia" w:ascii="宋体" w:hAnsi="宋体" w:eastAsia="宋体" w:cs="宋体"/>
          <w:b/>
          <w:bCs/>
          <w:sz w:val="32"/>
          <w:szCs w:val="32"/>
          <w:highlight w:val="none"/>
          <w:lang w:val="en-US" w:eastAsia="zh-CN"/>
        </w:rPr>
        <w:t>一）、</w:t>
      </w:r>
      <w:r>
        <w:rPr>
          <w:rFonts w:hint="eastAsia" w:ascii="宋体" w:hAnsi="宋体" w:eastAsia="宋体" w:cs="宋体"/>
          <w:b/>
          <w:bCs/>
          <w:sz w:val="32"/>
          <w:szCs w:val="32"/>
          <w:highlight w:val="none"/>
        </w:rPr>
        <w:t>部门职</w:t>
      </w:r>
      <w:r>
        <w:rPr>
          <w:rFonts w:hint="eastAsia" w:ascii="宋体" w:hAnsi="宋体" w:eastAsia="宋体" w:cs="宋体"/>
          <w:b/>
          <w:bCs/>
          <w:sz w:val="32"/>
          <w:szCs w:val="32"/>
          <w:highlight w:val="none"/>
          <w:lang w:val="en-US" w:eastAsia="zh-CN"/>
        </w:rPr>
        <w:t>能与机构设置</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1、</w:t>
      </w:r>
      <w:r>
        <w:rPr>
          <w:rFonts w:hint="eastAsia" w:ascii="宋体" w:hAnsi="宋体" w:eastAsia="宋体" w:cs="宋体"/>
          <w:sz w:val="30"/>
          <w:szCs w:val="30"/>
        </w:rPr>
        <w:t>贯彻执行国家、省和市交通建设工程质量、施工安全生产、工程造价的法律、法规和标准，参与拟订全县交通建设工程质量、安全、造价监督的规定、办法和实施细则相关事务性工作，并组织实施。</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w:t>
      </w:r>
      <w:r>
        <w:rPr>
          <w:rFonts w:hint="eastAsia" w:ascii="宋体" w:hAnsi="宋体" w:eastAsia="宋体" w:cs="宋体"/>
          <w:sz w:val="30"/>
          <w:szCs w:val="30"/>
        </w:rPr>
        <w:t>负责全县县乡通畅、通组公路、水运工程建设的质量安全与造价监督等事务性工作。</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3、</w:t>
      </w:r>
      <w:r>
        <w:rPr>
          <w:rFonts w:hint="eastAsia" w:ascii="宋体" w:hAnsi="宋体" w:eastAsia="宋体" w:cs="宋体"/>
          <w:sz w:val="30"/>
          <w:szCs w:val="30"/>
        </w:rPr>
        <w:t>参与全县交通建设市场的监督。</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4、</w:t>
      </w:r>
      <w:r>
        <w:rPr>
          <w:rFonts w:hint="eastAsia" w:ascii="宋体" w:hAnsi="宋体" w:eastAsia="宋体" w:cs="宋体"/>
          <w:sz w:val="30"/>
          <w:szCs w:val="30"/>
        </w:rPr>
        <w:t>参与全县县乡通畅通组公路、水运工程建设项目交（竣）工验收等事务性工作。负责受监交通建设工程的交竣工质量验证检测、竣工质量鉴定，对主要工程材料、构配件、工程实体进行中间质量检查等事务性工作。</w:t>
      </w:r>
    </w:p>
    <w:p>
      <w:pPr>
        <w:ind w:firstLine="450" w:firstLineChars="150"/>
        <w:rPr>
          <w:rFonts w:hint="eastAsia" w:ascii="宋体" w:hAnsi="宋体" w:eastAsia="宋体" w:cs="宋体"/>
          <w:sz w:val="30"/>
          <w:szCs w:val="30"/>
        </w:rPr>
      </w:pPr>
      <w:r>
        <w:rPr>
          <w:rFonts w:hint="eastAsia" w:ascii="宋体" w:hAnsi="宋体" w:eastAsia="宋体" w:cs="宋体"/>
          <w:sz w:val="30"/>
          <w:szCs w:val="30"/>
          <w:lang w:val="en-US" w:eastAsia="zh-CN"/>
        </w:rPr>
        <w:t>5、</w:t>
      </w:r>
      <w:r>
        <w:rPr>
          <w:rFonts w:hint="eastAsia" w:ascii="宋体" w:hAnsi="宋体" w:eastAsia="宋体" w:cs="宋体"/>
          <w:sz w:val="30"/>
          <w:szCs w:val="30"/>
        </w:rPr>
        <w:t>承担县交通运输局审批的公路、水运等交通建设工程造价审查等事务性工作。</w:t>
      </w:r>
    </w:p>
    <w:p>
      <w:pPr>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6、</w:t>
      </w:r>
      <w:r>
        <w:rPr>
          <w:rFonts w:hint="eastAsia" w:ascii="宋体" w:hAnsi="宋体" w:eastAsia="宋体" w:cs="宋体"/>
          <w:sz w:val="30"/>
          <w:szCs w:val="30"/>
        </w:rPr>
        <w:t>负责全县交通建设项目的定额测定、交通建设材料价格信息的调查发布、公路水运工程造价数据库的建立和管理，协助主管部门开展造价相关事务性工作。</w:t>
      </w:r>
    </w:p>
    <w:p>
      <w:pPr>
        <w:tabs>
          <w:tab w:val="left" w:pos="672"/>
        </w:tabs>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7、</w:t>
      </w:r>
      <w:r>
        <w:rPr>
          <w:rFonts w:hint="eastAsia" w:ascii="宋体" w:hAnsi="宋体" w:eastAsia="宋体" w:cs="宋体"/>
          <w:sz w:val="30"/>
          <w:szCs w:val="30"/>
        </w:rPr>
        <w:t>负责受监交通建设工程监理、试验检测机构、造价咨询机构及人员的信用评价初审工作，协助主管部门进行执业培训等相关事务性工作。</w:t>
      </w:r>
    </w:p>
    <w:p>
      <w:pPr>
        <w:tabs>
          <w:tab w:val="left" w:pos="672"/>
        </w:tabs>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8、</w:t>
      </w:r>
      <w:r>
        <w:rPr>
          <w:rFonts w:hint="eastAsia" w:ascii="宋体" w:hAnsi="宋体" w:eastAsia="宋体" w:cs="宋体"/>
          <w:sz w:val="30"/>
          <w:szCs w:val="30"/>
        </w:rPr>
        <w:t>配合相关部门查处交通建设工程质量安全违法行为。</w:t>
      </w:r>
    </w:p>
    <w:p>
      <w:pPr>
        <w:tabs>
          <w:tab w:val="left" w:pos="672"/>
        </w:tabs>
        <w:ind w:firstLine="600" w:firstLineChars="200"/>
        <w:rPr>
          <w:rFonts w:hint="eastAsia" w:ascii="宋体" w:hAnsi="宋体" w:eastAsia="宋体" w:cs="宋体"/>
          <w:sz w:val="30"/>
          <w:szCs w:val="30"/>
        </w:rPr>
      </w:pPr>
      <w:r>
        <w:rPr>
          <w:rFonts w:hint="eastAsia" w:ascii="宋体" w:hAnsi="宋体" w:cs="宋体"/>
          <w:sz w:val="30"/>
          <w:szCs w:val="30"/>
          <w:lang w:val="en-US" w:eastAsia="zh-CN"/>
        </w:rPr>
        <w:t>9、</w:t>
      </w:r>
      <w:r>
        <w:rPr>
          <w:rFonts w:hint="eastAsia" w:ascii="宋体" w:hAnsi="宋体" w:eastAsia="宋体" w:cs="宋体"/>
          <w:sz w:val="30"/>
          <w:szCs w:val="30"/>
        </w:rPr>
        <w:t>受理对交通建设质量缺陷、安全生产隐患和造价相关问题的检举和投诉；调解交通建设工程造价争议；参与交通建设工程质量与生产安全事故调查处理工作。</w:t>
      </w:r>
    </w:p>
    <w:p>
      <w:pPr>
        <w:tabs>
          <w:tab w:val="left" w:pos="900"/>
        </w:tabs>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10、</w:t>
      </w:r>
      <w:r>
        <w:rPr>
          <w:rFonts w:hint="eastAsia" w:ascii="宋体" w:hAnsi="宋体" w:eastAsia="宋体" w:cs="宋体"/>
          <w:sz w:val="30"/>
          <w:szCs w:val="30"/>
        </w:rPr>
        <w:t>承办县交通运输局交办的其他工作。</w:t>
      </w:r>
    </w:p>
    <w:p>
      <w:pPr>
        <w:ind w:firstLine="643" w:firstLineChars="200"/>
        <w:jc w:val="both"/>
        <w:rPr>
          <w:rFonts w:hint="eastAsia" w:ascii="宋体" w:hAnsi="宋体" w:eastAsia="宋体" w:cs="宋体"/>
          <w:b/>
          <w:bCs/>
          <w:sz w:val="32"/>
          <w:szCs w:val="32"/>
          <w:highlight w:val="none"/>
        </w:rPr>
      </w:pPr>
      <w:r>
        <w:rPr>
          <w:rFonts w:hint="eastAsia" w:ascii="宋体" w:hAnsi="宋体" w:cs="宋体"/>
          <w:b/>
          <w:bCs/>
          <w:sz w:val="32"/>
          <w:szCs w:val="32"/>
          <w:highlight w:val="none"/>
          <w:lang w:eastAsia="zh-CN"/>
        </w:rPr>
        <w:t>县交通建设质量安全监督站</w:t>
      </w:r>
      <w:r>
        <w:rPr>
          <w:rFonts w:hint="eastAsia" w:ascii="宋体" w:hAnsi="宋体" w:eastAsia="宋体" w:cs="宋体"/>
          <w:b/>
          <w:bCs/>
          <w:sz w:val="32"/>
          <w:szCs w:val="32"/>
          <w:highlight w:val="none"/>
        </w:rPr>
        <w:t>设下列内设机构:</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highlight w:val="none"/>
          <w:lang w:val="en-US" w:eastAsia="zh-CN"/>
        </w:rPr>
        <w:t>1、</w:t>
      </w:r>
      <w:r>
        <w:rPr>
          <w:rFonts w:hint="eastAsia" w:ascii="宋体" w:hAnsi="宋体" w:eastAsia="宋体" w:cs="宋体"/>
          <w:b/>
          <w:bCs/>
          <w:sz w:val="30"/>
          <w:szCs w:val="30"/>
        </w:rPr>
        <w:t>综合部</w:t>
      </w:r>
      <w:r>
        <w:rPr>
          <w:rFonts w:hint="eastAsia" w:ascii="宋体" w:hAnsi="宋体" w:eastAsia="宋体" w:cs="宋体"/>
          <w:sz w:val="30"/>
          <w:szCs w:val="30"/>
        </w:rPr>
        <w:t>。主要负责机关的日常运转等工作。负责机关干部人事、财务等工作；负责离退休人员管理工作；协助主管部门开展行业培训工作。</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lang w:val="en-US" w:eastAsia="zh-CN"/>
        </w:rPr>
        <w:t>2、</w:t>
      </w:r>
      <w:r>
        <w:rPr>
          <w:rFonts w:hint="eastAsia" w:ascii="宋体" w:hAnsi="宋体" w:eastAsia="宋体" w:cs="宋体"/>
          <w:b/>
          <w:bCs/>
          <w:sz w:val="30"/>
          <w:szCs w:val="30"/>
        </w:rPr>
        <w:t>安全应急部。</w:t>
      </w:r>
      <w:r>
        <w:rPr>
          <w:rFonts w:hint="eastAsia" w:ascii="宋体" w:hAnsi="宋体" w:eastAsia="宋体" w:cs="宋体"/>
          <w:sz w:val="30"/>
          <w:szCs w:val="30"/>
        </w:rPr>
        <w:t>负责监督检查从业单位安全生产管理人员资质相关事务性工作；开展公路、水运工程项目现场安全生产巡查和督查，监督检查参建单位在工程实施各阶段履行安全生产职贵的情况，督促开展安全风险评估；督促从业单位消除安全生产隐患，发布工程安全生产动态信息；参与交通建设工程监督申请的审查；参与交(竣)工工程的安全性评审，对施工企业安全生产进行绩效登记；统计报告行业或地区安全生产事故，参与工程安全生产事故调查；开展行业或地区工程安全生产方面的经验交流，普及有关安全生产知识，组织、督促有关人员参加相关安全生产培训。</w:t>
      </w:r>
    </w:p>
    <w:p>
      <w:pPr>
        <w:ind w:firstLine="602" w:firstLineChars="200"/>
        <w:rPr>
          <w:rFonts w:hint="eastAsia" w:ascii="宋体" w:hAnsi="宋体" w:eastAsia="宋体" w:cs="宋体"/>
          <w:sz w:val="30"/>
          <w:szCs w:val="30"/>
        </w:rPr>
      </w:pPr>
      <w:r>
        <w:rPr>
          <w:rFonts w:hint="eastAsia" w:ascii="宋体" w:hAnsi="宋体" w:eastAsia="宋体" w:cs="宋体"/>
          <w:b/>
          <w:bCs/>
          <w:sz w:val="30"/>
          <w:szCs w:val="30"/>
          <w:lang w:val="en-US" w:eastAsia="zh-CN"/>
        </w:rPr>
        <w:t>3、</w:t>
      </w:r>
      <w:r>
        <w:rPr>
          <w:rFonts w:hint="eastAsia" w:ascii="宋体" w:hAnsi="宋体" w:eastAsia="宋体" w:cs="宋体"/>
          <w:b/>
          <w:bCs/>
          <w:sz w:val="30"/>
          <w:szCs w:val="30"/>
        </w:rPr>
        <w:t>质量监理监督检测部。</w:t>
      </w:r>
      <w:r>
        <w:rPr>
          <w:rFonts w:hint="eastAsia" w:ascii="宋体" w:hAnsi="宋体" w:eastAsia="宋体" w:cs="宋体"/>
          <w:sz w:val="30"/>
          <w:szCs w:val="30"/>
        </w:rPr>
        <w:t>负责拟订年度质量监督检查工作计划并组织实施；受理交通建设工程监督申请，并组织审查；组织监督交底；监督从业单位责任落实，并指导其质量保证体系运行；监督指导从业单位的质量管理和现场质量控制，以及监理单位对工程关键部位和隐蔽工程进行旁站情况；对主要工程材料、构配件、工程实体进行质量抽检，分析、评估总体质量状况和存在的主要问题，提出加强质量管理的措施，定期发布质量动态信息；组织竣工复检，对项目进行质量鉴定，出具竣工质量鉴定报告；配合相关部门对交通建设工程质量违法行为的调查取证；受理对工程质量缺陷的检举和投诉，参与工程质量事故调查；负责对公路、水运工程的监理机构及其从业人员的执业行为和监理活动进行监督；承担对公路水运工程的监理机构及其从业人员资质和业绩进行登记、审查、备案和信用评价初评等事务性工作；对公路、水运工程的监理机构及其从业人员的违规失信行为进行检查、纠正，并提出处理意见。承担公路、水运工程的检测机构及其从业人员的资质审查、备案等事务性工作；对其执业行为和检测活动进行监督；对违规失信行为进行检查、纠正，并提出处理意见；对公路、水运工程的试验检测</w:t>
      </w:r>
    </w:p>
    <w:p>
      <w:pPr>
        <w:rPr>
          <w:rFonts w:hint="eastAsia" w:ascii="宋体" w:hAnsi="宋体" w:eastAsia="宋体" w:cs="宋体"/>
          <w:sz w:val="30"/>
          <w:szCs w:val="30"/>
        </w:rPr>
      </w:pPr>
      <w:r>
        <w:rPr>
          <w:rFonts w:hint="eastAsia" w:ascii="宋体" w:hAnsi="宋体" w:eastAsia="宋体" w:cs="宋体"/>
          <w:sz w:val="30"/>
          <w:szCs w:val="30"/>
        </w:rPr>
        <w:t>项目进行委托、对工地临时试验室进行备案；负责组织对完工项目进行交工质量验证检测等服务，并出具工程交工质量核验意见；负责公路、水运工程的检测机构及其从业人员的信用评价初评等服务工作，对辖区内检测机构信用评价现场核查。</w:t>
      </w:r>
    </w:p>
    <w:p>
      <w:pPr>
        <w:ind w:firstLine="602" w:firstLineChars="200"/>
        <w:jc w:val="both"/>
        <w:rPr>
          <w:rFonts w:hint="eastAsia" w:ascii="宋体" w:hAnsi="宋体" w:eastAsia="宋体" w:cs="宋体"/>
          <w:kern w:val="0"/>
          <w:sz w:val="30"/>
          <w:szCs w:val="30"/>
          <w:highlight w:val="none"/>
          <w:lang w:eastAsia="zh-CN"/>
        </w:rPr>
      </w:pPr>
      <w:r>
        <w:rPr>
          <w:rFonts w:hint="eastAsia" w:ascii="宋体" w:hAnsi="宋体" w:eastAsia="宋体" w:cs="宋体"/>
          <w:b/>
          <w:bCs/>
          <w:sz w:val="30"/>
          <w:szCs w:val="30"/>
          <w:lang w:val="en-US" w:eastAsia="zh-CN"/>
        </w:rPr>
        <w:t>4、</w:t>
      </w:r>
      <w:r>
        <w:rPr>
          <w:rFonts w:hint="eastAsia" w:ascii="宋体" w:hAnsi="宋体" w:eastAsia="宋体" w:cs="宋体"/>
          <w:b/>
          <w:bCs/>
          <w:sz w:val="30"/>
          <w:szCs w:val="30"/>
        </w:rPr>
        <w:t>造价监督部。</w:t>
      </w:r>
      <w:r>
        <w:rPr>
          <w:rFonts w:hint="eastAsia" w:ascii="宋体" w:hAnsi="宋体" w:eastAsia="宋体" w:cs="宋体"/>
          <w:sz w:val="30"/>
          <w:szCs w:val="30"/>
        </w:rPr>
        <w:t>负责公路水运工程造价监督管理的技术性、事务性工作；制定公路水运工程造价监督计划，开展检查、考核和评价等相关服务工作；受理交通建设工程造价相关问题的检举和投诉，调解交通建设工程造价争议；协助做好审批或上报的交通建设项目的投资估算、初步设计概算、修正概算、施工图预算、清单预算(标底或最高投标限‘价)、设计变更预算、调整概算、工程决算等文件的审查服务工作，并</w:t>
      </w:r>
      <w:bookmarkStart w:id="0" w:name="_GoBack"/>
      <w:bookmarkEnd w:id="0"/>
      <w:r>
        <w:rPr>
          <w:rFonts w:hint="eastAsia" w:ascii="宋体" w:hAnsi="宋体" w:eastAsia="宋体" w:cs="宋体"/>
          <w:sz w:val="30"/>
          <w:szCs w:val="30"/>
        </w:rPr>
        <w:t>提出审查意见；负责全县交通建设项目的定额测定、交通建设材料价格信息的调查发布、公路水运工程造价数据库的建立和管理；将从事公路水运工程造价活动的设计、咨询单位和从业人员的信用情况纳入公路水运建设市场监管体系；对本县造价从业人员的职业资格进行管理，负责全县交通建设造价从业人员的执业培训、考核和资格审查等事务性工作；协助主管部门开展造价相关事务性工作。</w:t>
      </w:r>
    </w:p>
    <w:p>
      <w:pPr>
        <w:widowControl/>
        <w:ind w:firstLine="643" w:firstLineChars="200"/>
        <w:rPr>
          <w:rFonts w:hint="eastAsia" w:ascii="宋体" w:hAnsi="宋体" w:eastAsia="宋体" w:cs="宋体"/>
          <w:b/>
          <w:bCs w:val="0"/>
          <w:kern w:val="0"/>
          <w:sz w:val="32"/>
          <w:szCs w:val="32"/>
          <w:highlight w:val="none"/>
        </w:rPr>
      </w:pPr>
      <w:r>
        <w:rPr>
          <w:rFonts w:hint="eastAsia" w:ascii="宋体" w:hAnsi="宋体" w:eastAsia="宋体" w:cs="宋体"/>
          <w:b/>
          <w:bCs w:val="0"/>
          <w:kern w:val="0"/>
          <w:sz w:val="32"/>
          <w:szCs w:val="32"/>
          <w:highlight w:val="none"/>
        </w:rPr>
        <w:t>（</w:t>
      </w:r>
      <w:r>
        <w:rPr>
          <w:rFonts w:hint="eastAsia" w:ascii="宋体" w:hAnsi="宋体" w:eastAsia="宋体" w:cs="宋体"/>
          <w:b/>
          <w:bCs w:val="0"/>
          <w:kern w:val="0"/>
          <w:sz w:val="32"/>
          <w:szCs w:val="32"/>
          <w:highlight w:val="none"/>
          <w:lang w:val="en-US" w:eastAsia="zh-CN"/>
        </w:rPr>
        <w:t>二</w:t>
      </w:r>
      <w:r>
        <w:rPr>
          <w:rFonts w:hint="eastAsia" w:ascii="宋体" w:hAnsi="宋体" w:eastAsia="宋体" w:cs="宋体"/>
          <w:b/>
          <w:bCs w:val="0"/>
          <w:kern w:val="0"/>
          <w:sz w:val="32"/>
          <w:szCs w:val="32"/>
          <w:highlight w:val="none"/>
        </w:rPr>
        <w:t>）人员</w:t>
      </w:r>
      <w:r>
        <w:rPr>
          <w:rFonts w:hint="eastAsia" w:ascii="宋体" w:hAnsi="宋体" w:eastAsia="宋体" w:cs="宋体"/>
          <w:b/>
          <w:bCs w:val="0"/>
          <w:kern w:val="0"/>
          <w:sz w:val="32"/>
          <w:szCs w:val="32"/>
          <w:highlight w:val="none"/>
          <w:lang w:val="en-US" w:eastAsia="zh-CN"/>
        </w:rPr>
        <w:t>情况</w:t>
      </w:r>
      <w:r>
        <w:rPr>
          <w:rFonts w:hint="eastAsia" w:ascii="宋体" w:hAnsi="宋体" w:eastAsia="宋体" w:cs="宋体"/>
          <w:b/>
          <w:bCs w:val="0"/>
          <w:kern w:val="0"/>
          <w:sz w:val="32"/>
          <w:szCs w:val="32"/>
          <w:highlight w:val="none"/>
        </w:rPr>
        <w:t>。</w:t>
      </w:r>
    </w:p>
    <w:p>
      <w:pPr>
        <w:widowControl/>
        <w:ind w:firstLine="640" w:firstLineChars="200"/>
        <w:rPr>
          <w:rFonts w:hint="eastAsia" w:ascii="宋体" w:hAnsi="宋体" w:eastAsia="宋体" w:cs="宋体"/>
          <w:bCs/>
          <w:kern w:val="0"/>
          <w:sz w:val="32"/>
          <w:szCs w:val="32"/>
          <w:highlight w:val="none"/>
        </w:rPr>
      </w:pPr>
      <w:r>
        <w:rPr>
          <w:rFonts w:hint="eastAsia" w:ascii="宋体" w:hAnsi="宋体" w:cs="宋体"/>
          <w:b w:val="0"/>
          <w:bCs w:val="0"/>
          <w:sz w:val="32"/>
          <w:szCs w:val="32"/>
          <w:highlight w:val="none"/>
          <w:lang w:eastAsia="zh-CN"/>
        </w:rPr>
        <w:t>县交通建设质量安全监督站</w:t>
      </w:r>
      <w:r>
        <w:rPr>
          <w:rFonts w:hint="eastAsia" w:ascii="宋体" w:hAnsi="宋体" w:eastAsia="宋体" w:cs="宋体"/>
          <w:bCs/>
          <w:kern w:val="0"/>
          <w:sz w:val="32"/>
          <w:szCs w:val="32"/>
          <w:highlight w:val="none"/>
          <w:lang w:val="en-US" w:eastAsia="zh-CN"/>
        </w:rPr>
        <w:t>核定全额拔款事业</w:t>
      </w:r>
      <w:r>
        <w:rPr>
          <w:rFonts w:hint="eastAsia" w:ascii="宋体" w:hAnsi="宋体" w:eastAsia="宋体" w:cs="宋体"/>
          <w:bCs/>
          <w:kern w:val="0"/>
          <w:sz w:val="32"/>
          <w:szCs w:val="32"/>
          <w:highlight w:val="none"/>
        </w:rPr>
        <w:t>编制</w:t>
      </w:r>
      <w:r>
        <w:rPr>
          <w:rFonts w:hint="eastAsia" w:ascii="宋体" w:hAnsi="宋体" w:cs="宋体"/>
          <w:bCs/>
          <w:kern w:val="0"/>
          <w:sz w:val="32"/>
          <w:szCs w:val="32"/>
          <w:highlight w:val="none"/>
          <w:lang w:val="en-US" w:eastAsia="zh-CN"/>
        </w:rPr>
        <w:t>11</w:t>
      </w:r>
      <w:r>
        <w:rPr>
          <w:rFonts w:hint="eastAsia" w:ascii="宋体" w:hAnsi="宋体" w:eastAsia="宋体" w:cs="宋体"/>
          <w:bCs/>
          <w:kern w:val="0"/>
          <w:sz w:val="32"/>
          <w:szCs w:val="32"/>
          <w:highlight w:val="none"/>
          <w:lang w:val="en-US" w:eastAsia="zh-CN"/>
        </w:rPr>
        <w:t>名</w:t>
      </w:r>
      <w:r>
        <w:rPr>
          <w:rFonts w:hint="eastAsia" w:ascii="宋体" w:hAnsi="宋体" w:eastAsia="宋体" w:cs="宋体"/>
          <w:bCs/>
          <w:kern w:val="0"/>
          <w:sz w:val="32"/>
          <w:szCs w:val="32"/>
          <w:highlight w:val="none"/>
        </w:rPr>
        <w:t>，20</w:t>
      </w:r>
      <w:r>
        <w:rPr>
          <w:rFonts w:hint="eastAsia" w:ascii="宋体" w:hAnsi="宋体" w:eastAsia="宋体" w:cs="宋体"/>
          <w:bCs/>
          <w:kern w:val="0"/>
          <w:sz w:val="32"/>
          <w:szCs w:val="32"/>
          <w:highlight w:val="none"/>
          <w:lang w:val="en-US" w:eastAsia="zh-CN"/>
        </w:rPr>
        <w:t>2</w:t>
      </w:r>
      <w:r>
        <w:rPr>
          <w:rFonts w:hint="eastAsia" w:ascii="宋体" w:hAnsi="宋体" w:cs="宋体"/>
          <w:bCs/>
          <w:kern w:val="0"/>
          <w:sz w:val="32"/>
          <w:szCs w:val="32"/>
          <w:highlight w:val="none"/>
          <w:lang w:val="en-US" w:eastAsia="zh-CN"/>
        </w:rPr>
        <w:t>2</w:t>
      </w:r>
      <w:r>
        <w:rPr>
          <w:rFonts w:hint="eastAsia" w:ascii="宋体" w:hAnsi="宋体" w:eastAsia="宋体" w:cs="宋体"/>
          <w:bCs/>
          <w:kern w:val="0"/>
          <w:sz w:val="32"/>
          <w:szCs w:val="32"/>
          <w:highlight w:val="none"/>
        </w:rPr>
        <w:t>年末</w:t>
      </w:r>
      <w:r>
        <w:rPr>
          <w:rFonts w:hint="eastAsia" w:ascii="宋体" w:hAnsi="宋体" w:eastAsia="宋体" w:cs="宋体"/>
          <w:bCs/>
          <w:kern w:val="0"/>
          <w:sz w:val="32"/>
          <w:szCs w:val="32"/>
          <w:highlight w:val="none"/>
          <w:lang w:eastAsia="zh-CN"/>
        </w:rPr>
        <w:t>，</w:t>
      </w:r>
      <w:r>
        <w:rPr>
          <w:rFonts w:hint="eastAsia" w:ascii="宋体" w:hAnsi="宋体" w:eastAsia="宋体" w:cs="宋体"/>
          <w:bCs/>
          <w:kern w:val="0"/>
          <w:sz w:val="32"/>
          <w:szCs w:val="32"/>
          <w:highlight w:val="none"/>
        </w:rPr>
        <w:t>实有在职人</w:t>
      </w:r>
      <w:r>
        <w:rPr>
          <w:rFonts w:hint="eastAsia" w:ascii="宋体" w:hAnsi="宋体" w:cs="宋体"/>
          <w:bCs/>
          <w:kern w:val="0"/>
          <w:sz w:val="32"/>
          <w:szCs w:val="32"/>
          <w:highlight w:val="none"/>
          <w:lang w:val="en-US" w:eastAsia="zh-CN"/>
        </w:rPr>
        <w:t>11</w:t>
      </w:r>
      <w:r>
        <w:rPr>
          <w:rFonts w:hint="eastAsia" w:ascii="宋体" w:hAnsi="宋体" w:eastAsia="宋体" w:cs="宋体"/>
          <w:bCs/>
          <w:kern w:val="0"/>
          <w:sz w:val="32"/>
          <w:szCs w:val="32"/>
          <w:highlight w:val="none"/>
          <w:lang w:val="en-US" w:eastAsia="zh-CN"/>
        </w:rPr>
        <w:t>名</w:t>
      </w:r>
      <w:r>
        <w:rPr>
          <w:rFonts w:hint="eastAsia" w:ascii="宋体" w:hAnsi="宋体" w:eastAsia="宋体" w:cs="宋体"/>
          <w:bCs/>
          <w:kern w:val="0"/>
          <w:sz w:val="32"/>
          <w:szCs w:val="32"/>
          <w:highlight w:val="none"/>
          <w:lang w:eastAsia="zh-CN"/>
        </w:rPr>
        <w:t>，</w:t>
      </w:r>
      <w:r>
        <w:rPr>
          <w:rFonts w:hint="eastAsia" w:ascii="宋体" w:hAnsi="宋体" w:eastAsia="宋体" w:cs="宋体"/>
          <w:bCs/>
          <w:kern w:val="0"/>
          <w:sz w:val="32"/>
          <w:szCs w:val="32"/>
          <w:highlight w:val="none"/>
        </w:rPr>
        <w:t>退休人员</w:t>
      </w:r>
      <w:r>
        <w:rPr>
          <w:rFonts w:hint="eastAsia" w:ascii="宋体" w:hAnsi="宋体" w:cs="宋体"/>
          <w:bCs/>
          <w:kern w:val="0"/>
          <w:sz w:val="32"/>
          <w:szCs w:val="32"/>
          <w:highlight w:val="none"/>
          <w:lang w:val="en-US" w:eastAsia="zh-CN"/>
        </w:rPr>
        <w:t>7</w:t>
      </w:r>
      <w:r>
        <w:rPr>
          <w:rFonts w:hint="eastAsia" w:ascii="宋体" w:hAnsi="宋体" w:eastAsia="宋体" w:cs="宋体"/>
          <w:bCs/>
          <w:kern w:val="0"/>
          <w:sz w:val="32"/>
          <w:szCs w:val="32"/>
          <w:highlight w:val="none"/>
          <w:lang w:val="en-US" w:eastAsia="zh-CN"/>
        </w:rPr>
        <w:t>名</w:t>
      </w:r>
      <w:r>
        <w:rPr>
          <w:rFonts w:hint="eastAsia" w:ascii="宋体" w:hAnsi="宋体" w:eastAsia="宋体" w:cs="宋体"/>
          <w:bCs/>
          <w:kern w:val="0"/>
          <w:sz w:val="32"/>
          <w:szCs w:val="32"/>
          <w:highlight w:val="none"/>
        </w:rPr>
        <w:t>。</w:t>
      </w:r>
    </w:p>
    <w:p>
      <w:pPr>
        <w:widowControl/>
        <w:numPr>
          <w:ilvl w:val="0"/>
          <w:numId w:val="1"/>
        </w:numPr>
        <w:ind w:firstLine="643" w:firstLineChars="200"/>
        <w:rPr>
          <w:rFonts w:hint="eastAsia" w:ascii="宋体" w:hAnsi="宋体" w:eastAsia="宋体" w:cs="宋体"/>
          <w:b/>
          <w:bCs w:val="0"/>
          <w:kern w:val="0"/>
          <w:sz w:val="32"/>
          <w:szCs w:val="32"/>
          <w:highlight w:val="none"/>
          <w:lang w:val="en-US" w:eastAsia="zh-CN"/>
        </w:rPr>
      </w:pPr>
      <w:r>
        <w:rPr>
          <w:rFonts w:hint="eastAsia" w:ascii="宋体" w:hAnsi="宋体" w:eastAsia="宋体" w:cs="宋体"/>
          <w:b/>
          <w:bCs w:val="0"/>
          <w:kern w:val="0"/>
          <w:sz w:val="32"/>
          <w:szCs w:val="32"/>
          <w:highlight w:val="none"/>
          <w:lang w:val="en-US" w:eastAsia="zh-CN"/>
        </w:rPr>
        <w:t>重点工作</w:t>
      </w:r>
      <w:r>
        <w:rPr>
          <w:rFonts w:hint="eastAsia" w:ascii="宋体" w:hAnsi="宋体" w:cs="宋体"/>
          <w:b/>
          <w:bCs w:val="0"/>
          <w:kern w:val="0"/>
          <w:sz w:val="32"/>
          <w:szCs w:val="32"/>
          <w:highlight w:val="none"/>
          <w:lang w:val="en-US" w:eastAsia="zh-CN"/>
        </w:rPr>
        <w:t>计划</w:t>
      </w:r>
    </w:p>
    <w:p>
      <w:pPr>
        <w:pStyle w:val="2"/>
        <w:numPr>
          <w:ilvl w:val="0"/>
          <w:numId w:val="0"/>
        </w:num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一年来，在县委、县政府和上级主管部门的正确领导下，我站以学习贯彻落实党</w:t>
      </w:r>
      <w:r>
        <w:rPr>
          <w:rFonts w:hint="eastAsia" w:ascii="宋体" w:hAnsi="宋体" w:cs="宋体"/>
          <w:sz w:val="30"/>
          <w:szCs w:val="30"/>
          <w:lang w:eastAsia="zh-CN"/>
        </w:rPr>
        <w:t>的二十</w:t>
      </w:r>
      <w:r>
        <w:rPr>
          <w:rFonts w:hint="eastAsia" w:ascii="宋体" w:hAnsi="宋体" w:eastAsia="宋体" w:cs="宋体"/>
          <w:sz w:val="30"/>
          <w:szCs w:val="30"/>
        </w:rPr>
        <w:t>大精神，坚持以监督促进发展，以监督服务发展，认真履职，严格监督，以抓好交通建设工程现场管理为重点，进一步解放思想，转变作风，强化工作落实，提升工程质量，通过全站干部职工的不懈努力，确保了全县交通建设工程质量安全监督全覆盖，质量在可控向好的状态下运行，安全生产总体趋势保持平稳。</w:t>
      </w:r>
    </w:p>
    <w:p>
      <w:pPr>
        <w:pStyle w:val="2"/>
        <w:ind w:firstLine="640"/>
        <w:rPr>
          <w:rFonts w:hint="default" w:ascii="宋体" w:hAnsi="宋体" w:cs="宋体"/>
          <w:b/>
          <w:bCs w:val="0"/>
          <w:sz w:val="32"/>
          <w:szCs w:val="32"/>
          <w:highlight w:val="none"/>
          <w:lang w:val="en-US" w:eastAsia="zh-CN"/>
        </w:rPr>
      </w:pPr>
      <w:r>
        <w:rPr>
          <w:rFonts w:hint="eastAsia" w:ascii="宋体" w:hAnsi="宋体" w:cs="宋体"/>
          <w:b/>
          <w:bCs w:val="0"/>
          <w:sz w:val="32"/>
          <w:szCs w:val="32"/>
          <w:highlight w:val="none"/>
          <w:lang w:val="en-US" w:eastAsia="zh-CN"/>
        </w:rPr>
        <w:t>（四）部门整体支出规模、使用情况</w:t>
      </w:r>
    </w:p>
    <w:p>
      <w:pPr>
        <w:pStyle w:val="2"/>
        <w:ind w:firstLine="640"/>
        <w:rPr>
          <w:rFonts w:hint="default" w:ascii="宋体" w:hAnsi="宋体" w:cs="宋体"/>
          <w:b w:val="0"/>
          <w:bCs/>
          <w:sz w:val="32"/>
          <w:szCs w:val="32"/>
          <w:highlight w:val="none"/>
          <w:lang w:val="en-US" w:eastAsia="zh-CN"/>
        </w:rPr>
      </w:pPr>
      <w:r>
        <w:rPr>
          <w:rFonts w:hint="eastAsia" w:ascii="宋体" w:hAnsi="宋体" w:cs="宋体"/>
          <w:b w:val="0"/>
          <w:bCs/>
          <w:sz w:val="32"/>
          <w:szCs w:val="32"/>
          <w:highlight w:val="none"/>
          <w:lang w:val="en-US" w:eastAsia="zh-CN"/>
        </w:rPr>
        <w:t>2022年部门整体支出148.23万元，其中基本支出148.23万元，占整体支出的100%，整体支出与上年相比增加了15.99万元，增长12.09%，主要是因为增加了人员经费支出。部门整体支出主要用于</w:t>
      </w:r>
      <w:r>
        <w:rPr>
          <w:rFonts w:hint="eastAsia" w:ascii="宋体" w:hAnsi="宋体" w:eastAsia="宋体" w:cs="宋体"/>
          <w:b w:val="0"/>
          <w:bCs w:val="0"/>
          <w:sz w:val="30"/>
          <w:szCs w:val="30"/>
          <w:lang w:val="en-US" w:eastAsia="zh-CN"/>
        </w:rPr>
        <w:t>交通建设项目的检查、验收、监督、农村公路试验检测及检测设备维修。</w:t>
      </w:r>
    </w:p>
    <w:p>
      <w:pPr>
        <w:pStyle w:val="2"/>
        <w:ind w:firstLine="643" w:firstLineChars="200"/>
        <w:rPr>
          <w:rFonts w:hint="eastAsia" w:ascii="宋体" w:hAnsi="宋体" w:cs="宋体"/>
          <w:b/>
          <w:bCs/>
          <w:i w:val="0"/>
          <w:caps w:val="0"/>
          <w:color w:val="000000"/>
          <w:spacing w:val="0"/>
          <w:kern w:val="0"/>
          <w:sz w:val="32"/>
          <w:szCs w:val="32"/>
          <w:highlight w:val="none"/>
          <w:shd w:val="clear" w:fill="FFFFFF"/>
          <w:lang w:val="en-US" w:eastAsia="zh-CN" w:bidi="ar"/>
        </w:rPr>
      </w:pPr>
      <w:r>
        <w:rPr>
          <w:rFonts w:hint="eastAsia" w:ascii="宋体" w:hAnsi="宋体" w:cs="宋体"/>
          <w:b/>
          <w:bCs/>
          <w:i w:val="0"/>
          <w:caps w:val="0"/>
          <w:color w:val="000000"/>
          <w:spacing w:val="0"/>
          <w:kern w:val="0"/>
          <w:sz w:val="32"/>
          <w:szCs w:val="32"/>
          <w:highlight w:val="none"/>
          <w:shd w:val="clear" w:fill="FFFFFF"/>
          <w:lang w:val="en-US" w:eastAsia="zh-CN" w:bidi="ar"/>
        </w:rPr>
        <w:t>二、部门整体支出管理及使用情况</w:t>
      </w:r>
    </w:p>
    <w:p>
      <w:pPr>
        <w:pStyle w:val="2"/>
        <w:ind w:firstLine="643" w:firstLineChars="200"/>
        <w:rPr>
          <w:rFonts w:hint="eastAsia" w:ascii="宋体" w:hAnsi="宋体" w:cs="宋体"/>
          <w:b/>
          <w:bCs/>
          <w:i w:val="0"/>
          <w:caps w:val="0"/>
          <w:color w:val="000000"/>
          <w:spacing w:val="0"/>
          <w:kern w:val="0"/>
          <w:sz w:val="32"/>
          <w:szCs w:val="32"/>
          <w:highlight w:val="none"/>
          <w:shd w:val="clear" w:fill="FFFFFF"/>
          <w:lang w:val="en-US" w:eastAsia="zh-CN" w:bidi="ar"/>
        </w:rPr>
      </w:pPr>
      <w:r>
        <w:rPr>
          <w:rFonts w:hint="eastAsia" w:ascii="宋体" w:hAnsi="宋体" w:cs="宋体"/>
          <w:b/>
          <w:bCs/>
          <w:i w:val="0"/>
          <w:caps w:val="0"/>
          <w:color w:val="000000"/>
          <w:spacing w:val="0"/>
          <w:kern w:val="0"/>
          <w:sz w:val="32"/>
          <w:szCs w:val="32"/>
          <w:highlight w:val="none"/>
          <w:shd w:val="clear" w:fill="FFFFFF"/>
          <w:lang w:val="en-US" w:eastAsia="zh-CN" w:bidi="ar"/>
        </w:rPr>
        <w:t>（一）、基本支出</w:t>
      </w:r>
    </w:p>
    <w:p>
      <w:pPr>
        <w:pStyle w:val="14"/>
        <w:pageBreakBefore w:val="0"/>
        <w:kinsoku/>
        <w:wordWrap/>
        <w:overflowPunct/>
        <w:topLinePunct w:val="0"/>
        <w:bidi w:val="0"/>
        <w:snapToGrid/>
        <w:spacing w:line="580" w:lineRule="exact"/>
        <w:ind w:firstLine="800" w:firstLineChars="250"/>
        <w:textAlignment w:val="auto"/>
        <w:rPr>
          <w:rFonts w:hint="eastAsia" w:ascii="宋体" w:hAnsi="宋体" w:eastAsia="宋体" w:cs="宋体"/>
          <w:color w:val="auto"/>
          <w:kern w:val="0"/>
          <w:sz w:val="32"/>
          <w:szCs w:val="32"/>
          <w:highlight w:val="none"/>
          <w:lang w:val="en-US" w:eastAsia="zh-CN"/>
        </w:rPr>
      </w:pPr>
      <w:r>
        <w:rPr>
          <w:rFonts w:hint="eastAsia" w:ascii="宋体" w:hAnsi="宋体" w:eastAsia="宋体" w:cs="宋体"/>
          <w:sz w:val="32"/>
          <w:szCs w:val="32"/>
          <w:highlight w:val="none"/>
        </w:rPr>
        <w:t>基本支出主要用于我单位的机构正常运转及日常工作任务而发生的支出，包括</w:t>
      </w:r>
      <w:r>
        <w:rPr>
          <w:rFonts w:hint="eastAsia" w:ascii="宋体" w:hAnsi="宋体" w:eastAsia="宋体" w:cs="宋体"/>
          <w:sz w:val="32"/>
          <w:szCs w:val="32"/>
          <w:highlight w:val="none"/>
          <w:lang w:val="en-US" w:eastAsia="zh-CN"/>
        </w:rPr>
        <w:t>工资福利支出</w:t>
      </w:r>
      <w:r>
        <w:rPr>
          <w:rFonts w:hint="eastAsia" w:ascii="宋体" w:hAnsi="宋体" w:eastAsia="宋体" w:cs="宋体"/>
          <w:sz w:val="32"/>
          <w:szCs w:val="32"/>
          <w:highlight w:val="none"/>
        </w:rPr>
        <w:t>、商品和服务支出</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lang w:val="en-US" w:eastAsia="zh-CN"/>
        </w:rPr>
        <w:t>对个人和家庭的补助支出、资本性支出</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2022年基本支出全年预算数88.64万元，</w:t>
      </w:r>
      <w:r>
        <w:rPr>
          <w:rFonts w:hint="eastAsia" w:ascii="宋体" w:hAnsi="宋体" w:eastAsia="宋体" w:cs="宋体"/>
          <w:color w:val="auto"/>
          <w:sz w:val="32"/>
          <w:szCs w:val="32"/>
          <w:highlight w:val="none"/>
          <w:lang w:val="en-US" w:eastAsia="zh-CN"/>
        </w:rPr>
        <w:t>2022年</w:t>
      </w:r>
      <w:r>
        <w:rPr>
          <w:rFonts w:hint="eastAsia" w:ascii="宋体" w:hAnsi="宋体" w:eastAsia="宋体" w:cs="宋体"/>
          <w:color w:val="auto"/>
          <w:sz w:val="32"/>
          <w:szCs w:val="32"/>
          <w:highlight w:val="none"/>
        </w:rPr>
        <w:t>基本支出</w:t>
      </w:r>
      <w:r>
        <w:rPr>
          <w:rFonts w:hint="eastAsia" w:ascii="宋体" w:hAnsi="宋体" w:eastAsia="宋体" w:cs="宋体"/>
          <w:color w:val="auto"/>
          <w:sz w:val="32"/>
          <w:szCs w:val="32"/>
          <w:highlight w:val="none"/>
          <w:lang w:val="en-US" w:eastAsia="zh-CN"/>
        </w:rPr>
        <w:t>决算数156.25</w:t>
      </w:r>
      <w:r>
        <w:rPr>
          <w:rFonts w:hint="eastAsia" w:ascii="宋体" w:hAnsi="宋体" w:eastAsia="宋体" w:cs="宋体"/>
          <w:color w:val="auto"/>
          <w:sz w:val="32"/>
          <w:szCs w:val="32"/>
          <w:highlight w:val="none"/>
        </w:rPr>
        <w:t>万元。</w:t>
      </w:r>
      <w:r>
        <w:rPr>
          <w:rFonts w:hint="eastAsia" w:ascii="宋体" w:hAnsi="宋体" w:eastAsia="宋体" w:cs="宋体"/>
          <w:color w:val="auto"/>
          <w:sz w:val="32"/>
          <w:szCs w:val="32"/>
          <w:highlight w:val="none"/>
          <w:lang w:val="en-US" w:eastAsia="zh-CN"/>
        </w:rPr>
        <w:t>较上年增加67.61万元，增长76.27%，主要是因为人员经费的增加。</w:t>
      </w:r>
      <w:r>
        <w:rPr>
          <w:rFonts w:hint="eastAsia" w:ascii="宋体" w:hAnsi="宋体" w:eastAsia="宋体" w:cs="宋体"/>
          <w:color w:val="auto"/>
          <w:kern w:val="0"/>
          <w:sz w:val="32"/>
          <w:szCs w:val="32"/>
          <w:highlight w:val="none"/>
        </w:rPr>
        <w:t>其中：</w:t>
      </w:r>
      <w:r>
        <w:rPr>
          <w:rFonts w:hint="eastAsia" w:ascii="宋体" w:hAnsi="宋体" w:eastAsia="宋体" w:cs="宋体"/>
          <w:color w:val="auto"/>
          <w:kern w:val="0"/>
          <w:sz w:val="32"/>
          <w:szCs w:val="32"/>
          <w:highlight w:val="none"/>
          <w:lang w:val="en-US" w:eastAsia="zh-CN"/>
        </w:rPr>
        <w:t>工资福利支出106.34万元；商品和服务支出48.04万元；对个人和家庭的补助支出1.87万元；</w:t>
      </w:r>
    </w:p>
    <w:p>
      <w:pPr>
        <w:pStyle w:val="14"/>
        <w:pageBreakBefore w:val="0"/>
        <w:kinsoku/>
        <w:wordWrap/>
        <w:overflowPunct/>
        <w:topLinePunct w:val="0"/>
        <w:bidi w:val="0"/>
        <w:snapToGrid/>
        <w:spacing w:line="580" w:lineRule="exact"/>
        <w:ind w:firstLine="800" w:firstLineChars="250"/>
        <w:textAlignment w:val="auto"/>
        <w:rPr>
          <w:rFonts w:hint="eastAsia" w:ascii="宋体" w:hAnsi="宋体" w:eastAsia="宋体" w:cs="宋体"/>
          <w:sz w:val="32"/>
          <w:szCs w:val="32"/>
          <w:highlight w:val="none"/>
        </w:rPr>
      </w:pPr>
      <w:r>
        <w:rPr>
          <w:rFonts w:hint="eastAsia" w:ascii="宋体" w:hAnsi="宋体" w:eastAsia="宋体" w:cs="宋体"/>
          <w:sz w:val="32"/>
          <w:szCs w:val="32"/>
          <w:highlight w:val="none"/>
        </w:rPr>
        <w:t>“三公”经费财政拨款支出预算</w:t>
      </w:r>
      <w:r>
        <w:rPr>
          <w:rFonts w:hint="eastAsia" w:ascii="宋体" w:hAnsi="宋体" w:eastAsia="宋体" w:cs="宋体"/>
          <w:sz w:val="32"/>
          <w:szCs w:val="32"/>
          <w:highlight w:val="none"/>
          <w:lang w:val="en-US" w:eastAsia="zh-CN"/>
        </w:rPr>
        <w:t>数</w:t>
      </w:r>
      <w:r>
        <w:rPr>
          <w:rFonts w:hint="eastAsia" w:ascii="宋体" w:hAnsi="宋体" w:eastAsia="宋体" w:cs="宋体"/>
          <w:sz w:val="32"/>
          <w:szCs w:val="32"/>
          <w:highlight w:val="none"/>
        </w:rPr>
        <w:t>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7.42</w:t>
      </w:r>
      <w:r>
        <w:rPr>
          <w:rFonts w:hint="eastAsia" w:ascii="宋体" w:hAnsi="宋体" w:eastAsia="宋体" w:cs="宋体"/>
          <w:sz w:val="32"/>
          <w:szCs w:val="32"/>
          <w:highlight w:val="none"/>
        </w:rPr>
        <w:t>万元，完成预算的</w:t>
      </w:r>
      <w:r>
        <w:rPr>
          <w:rFonts w:hint="eastAsia" w:ascii="宋体" w:hAnsi="宋体" w:eastAsia="宋体" w:cs="宋体"/>
          <w:sz w:val="32"/>
          <w:szCs w:val="32"/>
          <w:highlight w:val="none"/>
          <w:lang w:val="en-US" w:eastAsia="zh-CN"/>
        </w:rPr>
        <w:t>74.2</w:t>
      </w:r>
      <w:r>
        <w:rPr>
          <w:rFonts w:hint="eastAsia" w:ascii="宋体" w:hAnsi="宋体" w:eastAsia="宋体" w:cs="宋体"/>
          <w:sz w:val="32"/>
          <w:szCs w:val="32"/>
          <w:highlight w:val="none"/>
          <w:lang w:eastAsia="zh-CN"/>
        </w:rPr>
        <w:t xml:space="preserve"> </w:t>
      </w:r>
      <w:r>
        <w:rPr>
          <w:rFonts w:hint="eastAsia" w:ascii="宋体" w:hAnsi="宋体" w:eastAsia="宋体" w:cs="宋体"/>
          <w:sz w:val="32"/>
          <w:szCs w:val="32"/>
          <w:highlight w:val="none"/>
        </w:rPr>
        <w:t>%，其中：公务接待费支出预算为</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1.92</w:t>
      </w:r>
      <w:r>
        <w:rPr>
          <w:rFonts w:hint="eastAsia" w:ascii="宋体" w:hAnsi="宋体" w:eastAsia="宋体" w:cs="宋体"/>
          <w:sz w:val="32"/>
          <w:szCs w:val="32"/>
          <w:highlight w:val="none"/>
        </w:rPr>
        <w:t>万元，完成预算的</w:t>
      </w:r>
      <w:r>
        <w:rPr>
          <w:rFonts w:hint="eastAsia" w:ascii="宋体" w:hAnsi="宋体" w:eastAsia="宋体" w:cs="宋体"/>
          <w:sz w:val="32"/>
          <w:szCs w:val="32"/>
          <w:highlight w:val="none"/>
          <w:lang w:val="en-US" w:eastAsia="zh-CN"/>
        </w:rPr>
        <w:t>96</w:t>
      </w:r>
      <w:r>
        <w:rPr>
          <w:rFonts w:hint="eastAsia" w:ascii="宋体" w:hAnsi="宋体" w:eastAsia="宋体" w:cs="宋体"/>
          <w:sz w:val="32"/>
          <w:szCs w:val="32"/>
          <w:highlight w:val="none"/>
        </w:rPr>
        <w:t>%，</w:t>
      </w:r>
      <w:r>
        <w:rPr>
          <w:rFonts w:hint="eastAsia" w:ascii="宋体" w:hAnsi="宋体" w:eastAsia="宋体" w:cs="宋体"/>
          <w:sz w:val="32"/>
          <w:szCs w:val="32"/>
          <w:highlight w:val="none"/>
          <w:lang w:eastAsia="zh-CN"/>
        </w:rPr>
        <w:t>公务用车运行维护费支出预算为</w:t>
      </w:r>
      <w:r>
        <w:rPr>
          <w:rFonts w:hint="eastAsia" w:ascii="宋体" w:hAnsi="宋体" w:eastAsia="宋体" w:cs="宋体"/>
          <w:sz w:val="32"/>
          <w:szCs w:val="32"/>
          <w:highlight w:val="none"/>
          <w:lang w:val="en-US" w:eastAsia="zh-CN"/>
        </w:rPr>
        <w:t>8万元，支出决算为5.50万元，</w:t>
      </w:r>
      <w:r>
        <w:rPr>
          <w:rFonts w:hint="eastAsia" w:ascii="宋体" w:hAnsi="宋体" w:eastAsia="宋体" w:cs="宋体"/>
          <w:sz w:val="32"/>
          <w:szCs w:val="32"/>
          <w:highlight w:val="none"/>
        </w:rPr>
        <w:t>完成预算的</w:t>
      </w:r>
      <w:r>
        <w:rPr>
          <w:rFonts w:hint="eastAsia" w:ascii="宋体" w:hAnsi="宋体" w:eastAsia="宋体" w:cs="宋体"/>
          <w:sz w:val="32"/>
          <w:szCs w:val="32"/>
          <w:highlight w:val="none"/>
          <w:lang w:val="en-US" w:eastAsia="zh-CN"/>
        </w:rPr>
        <w:t>68.75</w:t>
      </w:r>
      <w:r>
        <w:rPr>
          <w:rFonts w:hint="eastAsia" w:ascii="宋体" w:hAnsi="宋体" w:eastAsia="宋体" w:cs="宋体"/>
          <w:sz w:val="32"/>
          <w:szCs w:val="32"/>
          <w:highlight w:val="none"/>
        </w:rPr>
        <w:t>%，决算数小于预算数的主要原因是</w:t>
      </w:r>
      <w:r>
        <w:rPr>
          <w:rFonts w:hint="eastAsia" w:ascii="宋体" w:hAnsi="宋体" w:eastAsia="宋体" w:cs="宋体"/>
          <w:sz w:val="32"/>
          <w:szCs w:val="32"/>
          <w:highlight w:val="none"/>
          <w:lang w:eastAsia="zh-CN"/>
        </w:rPr>
        <w:t>：</w:t>
      </w:r>
      <w:r>
        <w:rPr>
          <w:rFonts w:hint="eastAsia" w:ascii="宋体" w:hAnsi="宋体" w:eastAsia="宋体" w:cs="宋体"/>
          <w:kern w:val="0"/>
          <w:sz w:val="32"/>
          <w:szCs w:val="32"/>
          <w:highlight w:val="none"/>
        </w:rPr>
        <w:t>响应中共中央厉行节约的文件精神，严控三公经费的支出</w:t>
      </w:r>
      <w:r>
        <w:rPr>
          <w:rFonts w:hint="eastAsia" w:ascii="宋体" w:hAnsi="宋体" w:eastAsia="宋体" w:cs="宋体"/>
          <w:sz w:val="32"/>
          <w:szCs w:val="32"/>
          <w:highlight w:val="none"/>
        </w:rPr>
        <w:t>。</w:t>
      </w:r>
    </w:p>
    <w:p>
      <w:pPr>
        <w:pStyle w:val="14"/>
        <w:pageBreakBefore w:val="0"/>
        <w:kinsoku/>
        <w:wordWrap/>
        <w:overflowPunct/>
        <w:topLinePunct w:val="0"/>
        <w:bidi w:val="0"/>
        <w:snapToGrid/>
        <w:spacing w:line="580" w:lineRule="exact"/>
        <w:ind w:firstLine="803" w:firstLineChars="250"/>
        <w:textAlignment w:val="auto"/>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eastAsia="zh-CN"/>
        </w:rPr>
        <w:t>（</w:t>
      </w:r>
      <w:r>
        <w:rPr>
          <w:rFonts w:hint="eastAsia" w:ascii="宋体" w:hAnsi="宋体" w:eastAsia="宋体" w:cs="宋体"/>
          <w:b/>
          <w:bCs/>
          <w:sz w:val="32"/>
          <w:szCs w:val="32"/>
          <w:highlight w:val="none"/>
          <w:lang w:val="en-US" w:eastAsia="zh-CN"/>
        </w:rPr>
        <w:t>二）、专项支出</w:t>
      </w:r>
    </w:p>
    <w:p>
      <w:pPr>
        <w:pStyle w:val="14"/>
        <w:pageBreakBefore w:val="0"/>
        <w:kinsoku/>
        <w:wordWrap/>
        <w:overflowPunct/>
        <w:topLinePunct w:val="0"/>
        <w:bidi w:val="0"/>
        <w:snapToGrid/>
        <w:spacing w:line="580" w:lineRule="exact"/>
        <w:ind w:firstLine="800" w:firstLineChars="250"/>
        <w:textAlignment w:val="auto"/>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2022年辰溪县交通建设质量安全监督站无项目支出。</w:t>
      </w:r>
    </w:p>
    <w:p>
      <w:pPr>
        <w:pStyle w:val="2"/>
        <w:rPr>
          <w:rFonts w:hint="eastAsia" w:ascii="宋体" w:hAnsi="宋体" w:cs="宋体"/>
          <w:b/>
          <w:bCs/>
          <w:sz w:val="32"/>
          <w:szCs w:val="32"/>
          <w:highlight w:val="none"/>
          <w:lang w:val="en-US" w:eastAsia="zh-CN"/>
        </w:rPr>
      </w:pPr>
      <w:r>
        <w:rPr>
          <w:rFonts w:hint="eastAsia" w:ascii="宋体" w:hAnsi="宋体" w:cs="宋体"/>
          <w:sz w:val="32"/>
          <w:szCs w:val="32"/>
          <w:highlight w:val="none"/>
          <w:lang w:val="en-US" w:eastAsia="zh-CN"/>
        </w:rPr>
        <w:t xml:space="preserve">  </w:t>
      </w:r>
      <w:r>
        <w:rPr>
          <w:rFonts w:hint="eastAsia" w:ascii="宋体" w:hAnsi="宋体" w:cs="宋体"/>
          <w:b/>
          <w:bCs/>
          <w:sz w:val="32"/>
          <w:szCs w:val="32"/>
          <w:highlight w:val="none"/>
          <w:lang w:val="en-US" w:eastAsia="zh-CN"/>
        </w:rPr>
        <w:t xml:space="preserve"> 三、资产管理情况</w:t>
      </w:r>
    </w:p>
    <w:p>
      <w:pPr>
        <w:keepNext w:val="0"/>
        <w:keepLines w:val="0"/>
        <w:pageBreakBefore w:val="0"/>
        <w:widowControl w:val="0"/>
        <w:kinsoku/>
        <w:wordWrap/>
        <w:overflowPunct/>
        <w:topLinePunct w:val="0"/>
        <w:autoSpaceDE/>
        <w:autoSpaceDN/>
        <w:bidi w:val="0"/>
        <w:adjustRightInd/>
        <w:snapToGrid/>
        <w:spacing w:beforeLines="0" w:afterLines="0" w:line="600" w:lineRule="atLeast"/>
        <w:ind w:firstLine="640" w:firstLineChars="200"/>
        <w:textAlignment w:val="auto"/>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val="en-US" w:eastAsia="zh-CN"/>
        </w:rPr>
        <w:t>根据</w:t>
      </w:r>
      <w:r>
        <w:rPr>
          <w:rFonts w:hint="eastAsia" w:ascii="宋体" w:hAnsi="宋体" w:eastAsia="宋体" w:cs="宋体"/>
          <w:sz w:val="32"/>
          <w:szCs w:val="32"/>
          <w:highlight w:val="none"/>
        </w:rPr>
        <w:t>《行政事业单位国有资产管理办法》</w:t>
      </w:r>
      <w:r>
        <w:rPr>
          <w:rFonts w:hint="eastAsia" w:ascii="宋体" w:hAnsi="宋体" w:eastAsia="宋体" w:cs="宋体"/>
          <w:color w:val="auto"/>
          <w:sz w:val="32"/>
          <w:szCs w:val="32"/>
          <w:lang w:val="en-US" w:eastAsia="zh-CN"/>
        </w:rPr>
        <w:t>的规定，我站建立健全资产管理的各项规章制度，有购置、申领、使用、报废处置等内部控制制度，保障资产管理落实到位。在执行中按规定落实国有资产清查、登记、上报制度，设置固定资产卡片、总账及明细账簿，并定期进行了清查盘点，及时更新国有资产管理系统，并配备专项管理人员，明确责任并履行好职责，进一步加强我站国有资产管理，确保国有资产安全完整有效利用。</w:t>
      </w:r>
    </w:p>
    <w:p>
      <w:pPr>
        <w:pStyle w:val="2"/>
        <w:numPr>
          <w:ilvl w:val="0"/>
          <w:numId w:val="0"/>
        </w:numPr>
        <w:ind w:firstLine="321" w:firstLineChars="100"/>
        <w:rPr>
          <w:rFonts w:hint="eastAsia" w:ascii="宋体" w:hAnsi="宋体" w:cs="宋体"/>
          <w:b/>
          <w:bCs/>
          <w:sz w:val="32"/>
          <w:szCs w:val="32"/>
          <w:highlight w:val="none"/>
          <w:lang w:val="en-US" w:eastAsia="zh-CN"/>
        </w:rPr>
      </w:pPr>
      <w:r>
        <w:rPr>
          <w:rFonts w:hint="eastAsia" w:ascii="宋体" w:hAnsi="宋体" w:cs="宋体"/>
          <w:b/>
          <w:bCs/>
          <w:sz w:val="32"/>
          <w:szCs w:val="32"/>
          <w:highlight w:val="none"/>
          <w:lang w:val="en-US" w:eastAsia="zh-CN"/>
        </w:rPr>
        <w:t>四、部门整体支出绩效情况</w:t>
      </w:r>
    </w:p>
    <w:p>
      <w:pPr>
        <w:pStyle w:val="2"/>
        <w:pageBreakBefore w:val="0"/>
        <w:kinsoku/>
        <w:wordWrap/>
        <w:overflowPunct/>
        <w:topLinePunct w:val="0"/>
        <w:bidi w:val="0"/>
        <w:snapToGrid/>
        <w:spacing w:line="580" w:lineRule="exact"/>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rPr>
        <w:t>本</w:t>
      </w:r>
      <w:r>
        <w:rPr>
          <w:rFonts w:hint="eastAsia" w:ascii="宋体" w:hAnsi="宋体" w:eastAsia="宋体" w:cs="宋体"/>
          <w:sz w:val="32"/>
          <w:szCs w:val="32"/>
          <w:lang w:eastAsia="zh-CN"/>
        </w:rPr>
        <w:t>单位</w:t>
      </w:r>
      <w:r>
        <w:rPr>
          <w:rFonts w:hint="eastAsia" w:ascii="宋体" w:hAnsi="宋体" w:eastAsia="宋体" w:cs="宋体"/>
          <w:sz w:val="32"/>
          <w:szCs w:val="32"/>
        </w:rPr>
        <w:t>接到</w:t>
      </w:r>
      <w:r>
        <w:rPr>
          <w:rFonts w:hint="eastAsia" w:ascii="宋体" w:hAnsi="宋体" w:eastAsia="宋体" w:cs="宋体"/>
          <w:sz w:val="32"/>
          <w:szCs w:val="32"/>
          <w:lang w:eastAsia="zh-CN"/>
        </w:rPr>
        <w:t>县</w:t>
      </w:r>
      <w:r>
        <w:rPr>
          <w:rFonts w:hint="eastAsia" w:ascii="宋体" w:hAnsi="宋体" w:eastAsia="宋体" w:cs="宋体"/>
          <w:sz w:val="32"/>
          <w:szCs w:val="32"/>
        </w:rPr>
        <w:t>财政局通知后，成立了</w:t>
      </w:r>
      <w:r>
        <w:rPr>
          <w:rFonts w:hint="eastAsia" w:ascii="宋体" w:hAnsi="宋体" w:eastAsia="宋体" w:cs="宋体"/>
          <w:sz w:val="32"/>
          <w:szCs w:val="32"/>
          <w:lang w:eastAsia="zh-CN"/>
        </w:rPr>
        <w:t>以主要领导为组长、分管财务领导为副组长、各部负责人为成员的</w:t>
      </w:r>
      <w:r>
        <w:rPr>
          <w:rFonts w:hint="eastAsia" w:ascii="宋体" w:hAnsi="宋体" w:eastAsia="宋体" w:cs="宋体"/>
          <w:sz w:val="32"/>
          <w:szCs w:val="32"/>
        </w:rPr>
        <w:t>评价小组</w:t>
      </w:r>
      <w:r>
        <w:rPr>
          <w:rFonts w:hint="eastAsia" w:ascii="宋体" w:hAnsi="宋体" w:eastAsia="宋体" w:cs="宋体"/>
          <w:sz w:val="32"/>
          <w:szCs w:val="32"/>
          <w:lang w:eastAsia="zh-CN"/>
        </w:rPr>
        <w:t>。根据单位</w:t>
      </w:r>
      <w:r>
        <w:rPr>
          <w:rFonts w:hint="eastAsia" w:ascii="宋体" w:hAnsi="宋体" w:eastAsia="宋体" w:cs="宋体"/>
          <w:sz w:val="32"/>
          <w:szCs w:val="32"/>
        </w:rPr>
        <w:t>实际</w:t>
      </w:r>
      <w:r>
        <w:rPr>
          <w:rFonts w:hint="eastAsia" w:ascii="宋体" w:hAnsi="宋体" w:eastAsia="宋体" w:cs="宋体"/>
          <w:sz w:val="32"/>
          <w:szCs w:val="32"/>
          <w:lang w:eastAsia="zh-CN"/>
        </w:rPr>
        <w:t>工作开展</w:t>
      </w:r>
      <w:r>
        <w:rPr>
          <w:rFonts w:hint="eastAsia" w:ascii="宋体" w:hAnsi="宋体" w:eastAsia="宋体" w:cs="宋体"/>
          <w:sz w:val="32"/>
          <w:szCs w:val="32"/>
        </w:rPr>
        <w:t>情况</w:t>
      </w:r>
      <w:r>
        <w:rPr>
          <w:rFonts w:hint="eastAsia" w:ascii="宋体" w:hAnsi="宋体" w:eastAsia="宋体" w:cs="宋体"/>
          <w:sz w:val="32"/>
          <w:szCs w:val="32"/>
          <w:lang w:eastAsia="zh-CN"/>
        </w:rPr>
        <w:t>，结合县财政</w:t>
      </w:r>
      <w:r>
        <w:rPr>
          <w:rFonts w:hint="eastAsia" w:ascii="宋体" w:hAnsi="宋体" w:eastAsia="宋体" w:cs="宋体"/>
          <w:sz w:val="32"/>
          <w:szCs w:val="32"/>
        </w:rPr>
        <w:t>绩效评价方案</w:t>
      </w:r>
      <w:r>
        <w:rPr>
          <w:rFonts w:hint="eastAsia" w:ascii="宋体" w:hAnsi="宋体" w:eastAsia="宋体" w:cs="宋体"/>
          <w:sz w:val="32"/>
          <w:szCs w:val="32"/>
          <w:lang w:eastAsia="zh-CN"/>
        </w:rPr>
        <w:t>，</w:t>
      </w:r>
      <w:r>
        <w:rPr>
          <w:rFonts w:hint="eastAsia" w:ascii="宋体" w:hAnsi="宋体" w:eastAsia="宋体" w:cs="宋体"/>
          <w:sz w:val="32"/>
          <w:szCs w:val="32"/>
        </w:rPr>
        <w:t>拟定</w:t>
      </w:r>
      <w:r>
        <w:rPr>
          <w:rFonts w:hint="eastAsia" w:ascii="宋体" w:hAnsi="宋体" w:eastAsia="宋体" w:cs="宋体"/>
          <w:sz w:val="32"/>
          <w:szCs w:val="32"/>
          <w:lang w:eastAsia="zh-CN"/>
        </w:rPr>
        <w:t>了本部门的评价</w:t>
      </w:r>
      <w:r>
        <w:rPr>
          <w:rFonts w:hint="eastAsia" w:ascii="宋体" w:hAnsi="宋体" w:eastAsia="宋体" w:cs="宋体"/>
          <w:sz w:val="32"/>
          <w:szCs w:val="32"/>
        </w:rPr>
        <w:t>方案</w:t>
      </w:r>
      <w:r>
        <w:rPr>
          <w:rFonts w:hint="eastAsia" w:ascii="宋体" w:hAnsi="宋体" w:eastAsia="宋体" w:cs="宋体"/>
          <w:sz w:val="32"/>
          <w:szCs w:val="32"/>
          <w:lang w:eastAsia="zh-CN"/>
        </w:rPr>
        <w:t>，</w:t>
      </w:r>
      <w:r>
        <w:rPr>
          <w:rFonts w:hint="eastAsia" w:ascii="宋体" w:hAnsi="宋体" w:eastAsia="宋体" w:cs="宋体"/>
          <w:sz w:val="32"/>
          <w:szCs w:val="32"/>
        </w:rPr>
        <w:t>设计了指标体系、评价标准、问卷调查方案等，明确了评价的目的、方法、评价的原则</w:t>
      </w:r>
      <w:r>
        <w:rPr>
          <w:rFonts w:hint="eastAsia" w:ascii="宋体" w:hAnsi="宋体" w:eastAsia="宋体" w:cs="宋体"/>
          <w:sz w:val="32"/>
          <w:szCs w:val="32"/>
          <w:lang w:eastAsia="zh-CN"/>
        </w:rPr>
        <w:t>等。</w:t>
      </w:r>
    </w:p>
    <w:p>
      <w:pPr>
        <w:pStyle w:val="2"/>
        <w:pageBreakBefore w:val="0"/>
        <w:kinsoku/>
        <w:wordWrap/>
        <w:overflowPunct/>
        <w:topLinePunct w:val="0"/>
        <w:bidi w:val="0"/>
        <w:snapToGrid/>
        <w:spacing w:line="580" w:lineRule="exact"/>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评价小组</w:t>
      </w:r>
      <w:r>
        <w:rPr>
          <w:rFonts w:hint="eastAsia" w:ascii="宋体" w:hAnsi="宋体" w:eastAsia="宋体" w:cs="宋体"/>
          <w:sz w:val="32"/>
          <w:szCs w:val="32"/>
        </w:rPr>
        <w:t>收集</w:t>
      </w:r>
      <w:r>
        <w:rPr>
          <w:rFonts w:hint="eastAsia" w:ascii="宋体" w:hAnsi="宋体" w:eastAsia="宋体" w:cs="宋体"/>
          <w:sz w:val="32"/>
          <w:szCs w:val="32"/>
          <w:lang w:eastAsia="zh-CN"/>
        </w:rPr>
        <w:t>上级指标、年度工作计划、总结、预算编制等</w:t>
      </w:r>
      <w:r>
        <w:rPr>
          <w:rFonts w:hint="eastAsia" w:ascii="宋体" w:hAnsi="宋体" w:eastAsia="宋体" w:cs="宋体"/>
          <w:sz w:val="32"/>
          <w:szCs w:val="32"/>
        </w:rPr>
        <w:t>资料</w:t>
      </w:r>
      <w:r>
        <w:rPr>
          <w:rFonts w:hint="eastAsia" w:ascii="宋体" w:hAnsi="宋体" w:eastAsia="宋体" w:cs="宋体"/>
          <w:sz w:val="32"/>
          <w:szCs w:val="32"/>
          <w:lang w:eastAsia="zh-CN"/>
        </w:rPr>
        <w:t>，</w:t>
      </w:r>
      <w:r>
        <w:rPr>
          <w:rFonts w:hint="eastAsia" w:ascii="宋体" w:hAnsi="宋体" w:eastAsia="宋体" w:cs="宋体"/>
          <w:sz w:val="32"/>
          <w:szCs w:val="32"/>
        </w:rPr>
        <w:t>通过调研、</w:t>
      </w:r>
      <w:r>
        <w:rPr>
          <w:rFonts w:hint="eastAsia" w:ascii="宋体" w:hAnsi="宋体" w:eastAsia="宋体" w:cs="宋体"/>
          <w:sz w:val="32"/>
          <w:szCs w:val="32"/>
          <w:lang w:eastAsia="zh-CN"/>
        </w:rPr>
        <w:t>对</w:t>
      </w:r>
      <w:r>
        <w:rPr>
          <w:rFonts w:hint="eastAsia" w:ascii="宋体" w:hAnsi="宋体" w:eastAsia="宋体" w:cs="宋体"/>
          <w:sz w:val="32"/>
          <w:szCs w:val="32"/>
        </w:rPr>
        <w:t>相关文件的解读、数据采集</w:t>
      </w:r>
      <w:r>
        <w:rPr>
          <w:rFonts w:hint="eastAsia" w:ascii="宋体" w:hAnsi="宋体" w:eastAsia="宋体" w:cs="宋体"/>
          <w:sz w:val="32"/>
          <w:szCs w:val="32"/>
          <w:lang w:eastAsia="zh-CN"/>
        </w:rPr>
        <w:t>，</w:t>
      </w:r>
      <w:r>
        <w:rPr>
          <w:rFonts w:hint="eastAsia" w:ascii="宋体" w:hAnsi="宋体" w:eastAsia="宋体" w:cs="宋体"/>
          <w:sz w:val="32"/>
          <w:szCs w:val="32"/>
        </w:rPr>
        <w:t>数</w:t>
      </w:r>
      <w:r>
        <w:rPr>
          <w:rFonts w:hint="eastAsia" w:ascii="宋体" w:hAnsi="宋体" w:eastAsia="宋体" w:cs="宋体"/>
          <w:sz w:val="32"/>
          <w:szCs w:val="32"/>
          <w:lang w:eastAsia="zh-CN"/>
        </w:rPr>
        <w:t>据比</w:t>
      </w:r>
      <w:r>
        <w:rPr>
          <w:rFonts w:hint="eastAsia" w:ascii="宋体" w:hAnsi="宋体" w:eastAsia="宋体" w:cs="宋体"/>
          <w:sz w:val="32"/>
          <w:szCs w:val="32"/>
        </w:rPr>
        <w:t>对和抽</w:t>
      </w:r>
      <w:r>
        <w:rPr>
          <w:rFonts w:hint="eastAsia" w:ascii="宋体" w:hAnsi="宋体" w:eastAsia="宋体" w:cs="宋体"/>
          <w:sz w:val="32"/>
          <w:szCs w:val="32"/>
          <w:lang w:eastAsia="zh-CN"/>
        </w:rPr>
        <w:t>样</w:t>
      </w:r>
      <w:r>
        <w:rPr>
          <w:rFonts w:hint="eastAsia" w:ascii="宋体" w:hAnsi="宋体" w:eastAsia="宋体" w:cs="宋体"/>
          <w:sz w:val="32"/>
          <w:szCs w:val="32"/>
        </w:rPr>
        <w:t>调查相合</w:t>
      </w:r>
      <w:r>
        <w:rPr>
          <w:rFonts w:hint="eastAsia" w:ascii="宋体" w:hAnsi="宋体" w:eastAsia="宋体" w:cs="宋体"/>
          <w:sz w:val="32"/>
          <w:szCs w:val="32"/>
          <w:lang w:eastAsia="zh-CN"/>
        </w:rPr>
        <w:t>，同时以</w:t>
      </w:r>
      <w:r>
        <w:rPr>
          <w:rFonts w:hint="eastAsia" w:ascii="宋体" w:hAnsi="宋体" w:eastAsia="宋体" w:cs="宋体"/>
          <w:sz w:val="32"/>
          <w:szCs w:val="32"/>
        </w:rPr>
        <w:t>问卷调查</w:t>
      </w:r>
      <w:r>
        <w:rPr>
          <w:rFonts w:hint="eastAsia" w:ascii="宋体" w:hAnsi="宋体" w:eastAsia="宋体" w:cs="宋体"/>
          <w:sz w:val="32"/>
          <w:szCs w:val="32"/>
          <w:lang w:eastAsia="zh-CN"/>
        </w:rPr>
        <w:t>分</w:t>
      </w:r>
      <w:r>
        <w:rPr>
          <w:rFonts w:hint="eastAsia" w:ascii="宋体" w:hAnsi="宋体" w:eastAsia="宋体" w:cs="宋体"/>
          <w:sz w:val="32"/>
          <w:szCs w:val="32"/>
        </w:rPr>
        <w:t>析等程序后，</w:t>
      </w:r>
      <w:r>
        <w:rPr>
          <w:rFonts w:hint="eastAsia" w:ascii="宋体" w:hAnsi="宋体" w:eastAsia="宋体" w:cs="宋体"/>
          <w:sz w:val="32"/>
          <w:szCs w:val="32"/>
          <w:lang w:eastAsia="zh-CN"/>
        </w:rPr>
        <w:t>根据评价方案对项目实施的</w:t>
      </w:r>
      <w:r>
        <w:rPr>
          <w:rFonts w:hint="eastAsia" w:ascii="宋体" w:hAnsi="宋体" w:eastAsia="宋体" w:cs="宋体"/>
          <w:sz w:val="32"/>
          <w:szCs w:val="32"/>
        </w:rPr>
        <w:t>合理性，目标的明确性</w:t>
      </w:r>
      <w:r>
        <w:rPr>
          <w:rFonts w:hint="eastAsia" w:ascii="宋体" w:hAnsi="宋体" w:eastAsia="宋体" w:cs="宋体"/>
          <w:sz w:val="32"/>
          <w:szCs w:val="32"/>
          <w:lang w:eastAsia="zh-CN"/>
        </w:rPr>
        <w:t>、</w:t>
      </w:r>
      <w:r>
        <w:rPr>
          <w:rFonts w:hint="eastAsia" w:ascii="宋体" w:hAnsi="宋体" w:eastAsia="宋体" w:cs="宋体"/>
          <w:sz w:val="32"/>
          <w:szCs w:val="32"/>
        </w:rPr>
        <w:t>准确性和管理制度的合性等方面，</w:t>
      </w:r>
      <w:r>
        <w:rPr>
          <w:rFonts w:hint="eastAsia" w:ascii="宋体" w:hAnsi="宋体" w:eastAsia="宋体" w:cs="宋体"/>
          <w:sz w:val="32"/>
          <w:szCs w:val="32"/>
          <w:lang w:eastAsia="zh-CN"/>
        </w:rPr>
        <w:t>开展</w:t>
      </w:r>
      <w:r>
        <w:rPr>
          <w:rFonts w:hint="eastAsia" w:ascii="宋体" w:hAnsi="宋体" w:eastAsia="宋体" w:cs="宋体"/>
          <w:sz w:val="32"/>
          <w:szCs w:val="32"/>
        </w:rPr>
        <w:t>评价</w:t>
      </w:r>
      <w:r>
        <w:rPr>
          <w:rFonts w:hint="eastAsia" w:ascii="宋体" w:hAnsi="宋体" w:eastAsia="宋体" w:cs="宋体"/>
          <w:sz w:val="32"/>
          <w:szCs w:val="32"/>
          <w:lang w:eastAsia="zh-CN"/>
        </w:rPr>
        <w:t>形成</w:t>
      </w:r>
      <w:r>
        <w:rPr>
          <w:rFonts w:hint="eastAsia" w:ascii="宋体" w:hAnsi="宋体" w:eastAsia="宋体" w:cs="宋体"/>
          <w:sz w:val="32"/>
          <w:szCs w:val="32"/>
        </w:rPr>
        <w:t>指标评分和报告撰写</w:t>
      </w:r>
      <w:r>
        <w:rPr>
          <w:rFonts w:hint="eastAsia" w:ascii="宋体" w:hAnsi="宋体" w:cs="宋体"/>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hint="eastAsia" w:ascii="宋体" w:hAnsi="宋体" w:eastAsia="宋体" w:cs="宋体"/>
          <w:bCs/>
          <w:kern w:val="0"/>
          <w:sz w:val="32"/>
          <w:szCs w:val="32"/>
          <w:lang w:eastAsia="zh-CN"/>
        </w:rPr>
      </w:pPr>
      <w:r>
        <w:rPr>
          <w:rFonts w:hint="eastAsia" w:ascii="宋体" w:hAnsi="宋体" w:eastAsia="宋体" w:cs="宋体"/>
          <w:bCs/>
          <w:kern w:val="0"/>
          <w:sz w:val="32"/>
          <w:szCs w:val="32"/>
          <w:lang w:eastAsia="zh-CN"/>
        </w:rPr>
        <w:t>本单位按照国家预算法编制预算。根据县财政局的部署要求和下达的各项经费指标，按《预算法》规定，结合本单位的实际情况，合理编制年度收入、支出预算。</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hint="eastAsia" w:ascii="宋体" w:hAnsi="宋体" w:eastAsia="宋体" w:cs="宋体"/>
          <w:bCs/>
          <w:kern w:val="0"/>
          <w:sz w:val="32"/>
          <w:szCs w:val="32"/>
          <w:lang w:eastAsia="zh-CN"/>
        </w:rPr>
      </w:pPr>
      <w:r>
        <w:rPr>
          <w:rFonts w:hint="eastAsia" w:ascii="宋体" w:hAnsi="宋体" w:eastAsia="宋体" w:cs="宋体"/>
          <w:bCs/>
          <w:kern w:val="0"/>
          <w:sz w:val="32"/>
          <w:szCs w:val="32"/>
          <w:lang w:eastAsia="zh-CN"/>
        </w:rPr>
        <w:t>财政资金实行统一管理，统筹安排，预算编制做到合理安排各项资金，按照重点保障基本支出，按轻重缓急顺序原则编制，并考虑历年收入情况、人员等情况和收入增减变动因素，分析人员支出、日常公用支出进行编制，确保机关正常运转，各项交通事业有序开展。按要求严格预算执行管理，部门预算全面向社会公示，工作有序推进，本单位是按照县财政全年下达的预算指标来安排各项工作，预算执行情况总体良好。</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hint="eastAsia" w:ascii="宋体" w:hAnsi="宋体" w:eastAsia="宋体" w:cs="宋体"/>
          <w:bCs/>
          <w:kern w:val="0"/>
          <w:sz w:val="32"/>
          <w:szCs w:val="32"/>
          <w:lang w:eastAsia="zh-CN"/>
        </w:rPr>
      </w:pPr>
      <w:r>
        <w:rPr>
          <w:rFonts w:hint="eastAsia" w:ascii="宋体" w:hAnsi="宋体" w:eastAsia="宋体" w:cs="宋体"/>
          <w:b w:val="0"/>
          <w:bCs/>
          <w:kern w:val="0"/>
          <w:sz w:val="32"/>
          <w:szCs w:val="32"/>
        </w:rPr>
        <w:t>三公经费控制情况</w:t>
      </w:r>
      <w:r>
        <w:rPr>
          <w:rFonts w:hint="eastAsia" w:ascii="宋体" w:hAnsi="宋体" w:eastAsia="宋体" w:cs="宋体"/>
          <w:b w:val="0"/>
          <w:bCs/>
          <w:kern w:val="0"/>
          <w:sz w:val="32"/>
          <w:szCs w:val="32"/>
          <w:lang w:eastAsia="zh-CN"/>
        </w:rPr>
        <w:t>：</w:t>
      </w:r>
      <w:r>
        <w:rPr>
          <w:rFonts w:hint="eastAsia" w:ascii="宋体" w:hAnsi="宋体" w:eastAsia="宋体" w:cs="宋体"/>
          <w:bCs/>
          <w:kern w:val="0"/>
          <w:sz w:val="32"/>
          <w:szCs w:val="32"/>
          <w:lang w:eastAsia="zh-CN"/>
        </w:rPr>
        <w:t>严格执行“三公经费”预算。以建设节约型机关、服务型机关、学习型机关、安全型机关为重点。“三公经费”全面向社会公示。严格执行县财政“三公经费”文件精神，所有接待实行公函接待和审批制，严格控制接待标准、范围和次数，层层审批，严禁使用烟酒和饮料，由办公室负责不定期督查，坚持“务实节俭、高效透明、严格标准、有利公务”的原则，严禁大吃大喝、铺张浪费。</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hint="eastAsia" w:ascii="宋体" w:hAnsi="宋体" w:eastAsia="宋体" w:cs="宋体"/>
          <w:bCs/>
          <w:kern w:val="0"/>
          <w:sz w:val="32"/>
          <w:szCs w:val="32"/>
          <w:lang w:eastAsia="zh-CN"/>
        </w:rPr>
      </w:pPr>
      <w:r>
        <w:rPr>
          <w:rFonts w:hint="eastAsia" w:ascii="宋体" w:hAnsi="宋体" w:eastAsia="宋体" w:cs="宋体"/>
          <w:b w:val="0"/>
          <w:bCs/>
          <w:kern w:val="0"/>
          <w:sz w:val="32"/>
          <w:szCs w:val="32"/>
        </w:rPr>
        <w:t>节能降耗情况</w:t>
      </w:r>
      <w:r>
        <w:rPr>
          <w:rFonts w:hint="eastAsia" w:ascii="宋体" w:hAnsi="宋体" w:eastAsia="宋体" w:cs="宋体"/>
          <w:b w:val="0"/>
          <w:bCs/>
          <w:kern w:val="0"/>
          <w:sz w:val="32"/>
          <w:szCs w:val="32"/>
          <w:lang w:eastAsia="zh-CN"/>
        </w:rPr>
        <w:t>：</w:t>
      </w:r>
      <w:r>
        <w:rPr>
          <w:rFonts w:hint="eastAsia" w:ascii="宋体" w:hAnsi="宋体" w:eastAsia="宋体" w:cs="宋体"/>
          <w:bCs/>
          <w:kern w:val="0"/>
          <w:sz w:val="32"/>
          <w:szCs w:val="32"/>
          <w:lang w:eastAsia="zh-CN"/>
        </w:rPr>
        <w:t>一年来，单位高度重视节能降耗工作，不断提高节能降耗意识，认真落实节能降耗措施，千方百计开展节能降耗工作。从节电、节水等方面多管齐下，层层落实。</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textAlignment w:val="auto"/>
        <w:rPr>
          <w:rFonts w:hint="eastAsia" w:ascii="宋体" w:hAnsi="宋体" w:cs="宋体"/>
          <w:i w:val="0"/>
          <w:caps w:val="0"/>
          <w:color w:val="000000"/>
          <w:spacing w:val="0"/>
          <w:kern w:val="0"/>
          <w:sz w:val="32"/>
          <w:szCs w:val="32"/>
          <w:shd w:val="clear" w:fill="FFFFFF"/>
          <w:lang w:val="en-US" w:eastAsia="zh-CN" w:bidi="ar"/>
        </w:rPr>
      </w:pPr>
      <w:r>
        <w:rPr>
          <w:rFonts w:hint="eastAsia" w:ascii="宋体" w:hAnsi="宋体" w:cs="宋体"/>
          <w:bCs/>
          <w:kern w:val="0"/>
          <w:sz w:val="32"/>
          <w:szCs w:val="32"/>
          <w:lang w:val="en-US" w:eastAsia="zh-CN"/>
        </w:rPr>
        <w:t xml:space="preserve"> </w:t>
      </w:r>
      <w:r>
        <w:rPr>
          <w:rFonts w:hint="eastAsia" w:ascii="宋体" w:hAnsi="宋体" w:eastAsia="宋体" w:cs="宋体"/>
          <w:i w:val="0"/>
          <w:caps w:val="0"/>
          <w:color w:val="000000"/>
          <w:spacing w:val="0"/>
          <w:kern w:val="0"/>
          <w:sz w:val="32"/>
          <w:szCs w:val="32"/>
          <w:shd w:val="clear" w:fill="FFFFFF"/>
          <w:lang w:val="en-US" w:eastAsia="zh-CN" w:bidi="ar"/>
        </w:rPr>
        <w:t>我单位</w:t>
      </w:r>
      <w:r>
        <w:rPr>
          <w:rFonts w:hint="eastAsia" w:ascii="宋体" w:hAnsi="宋体" w:eastAsia="宋体" w:cs="宋体"/>
          <w:color w:val="000000" w:themeColor="text1"/>
          <w:sz w:val="32"/>
          <w:szCs w:val="32"/>
          <w14:textFill>
            <w14:solidFill>
              <w14:schemeClr w14:val="tx1"/>
            </w14:solidFill>
          </w14:textFill>
        </w:rPr>
        <w:t>以内控体系建设为抓手，进一步完善财务制度，规范收支流程，严格审批制度。严格执行各项财经制度和管理规定，对预算资金严格控制，规范使用，强化执行。</w:t>
      </w:r>
      <w:r>
        <w:rPr>
          <w:rFonts w:hint="eastAsia" w:ascii="宋体" w:hAnsi="宋体" w:eastAsia="宋体" w:cs="宋体"/>
          <w:i w:val="0"/>
          <w:caps w:val="0"/>
          <w:color w:val="000000"/>
          <w:spacing w:val="0"/>
          <w:kern w:val="0"/>
          <w:sz w:val="32"/>
          <w:szCs w:val="32"/>
          <w:shd w:val="clear" w:fill="FFFFFF"/>
          <w:lang w:val="en-US" w:eastAsia="zh-CN" w:bidi="ar"/>
        </w:rPr>
        <w:t>全年严格按照预算控制支出，在全年内圆满完成工作任务。一是部门预算控制较好。财政供养人员控制在预算编制以内，编制内在职人员控制率100%。“三公”经费未超本年预算支出，“三公”经费实际执行控制良好。二是预算管理方面，制度执行总体较为有效，为完成年度工作任务提供了有效保障</w:t>
      </w:r>
      <w:r>
        <w:rPr>
          <w:rFonts w:hint="eastAsia" w:ascii="宋体" w:hAnsi="宋体" w:cs="宋体"/>
          <w:i w:val="0"/>
          <w:caps w:val="0"/>
          <w:color w:val="000000"/>
          <w:spacing w:val="0"/>
          <w:kern w:val="0"/>
          <w:sz w:val="32"/>
          <w:szCs w:val="32"/>
          <w:shd w:val="clear" w:fill="FFFFFF"/>
          <w:lang w:val="en-US" w:eastAsia="zh-CN" w:bidi="ar"/>
        </w:rPr>
        <w:t>，社会满意度达到100%。</w:t>
      </w:r>
    </w:p>
    <w:p>
      <w:pPr>
        <w:pStyle w:val="2"/>
        <w:pageBreakBefore w:val="0"/>
        <w:numPr>
          <w:ilvl w:val="0"/>
          <w:numId w:val="0"/>
        </w:numPr>
        <w:kinsoku/>
        <w:wordWrap/>
        <w:overflowPunct/>
        <w:topLinePunct w:val="0"/>
        <w:bidi w:val="0"/>
        <w:snapToGrid/>
        <w:spacing w:line="240" w:lineRule="auto"/>
        <w:ind w:left="0" w:leftChars="0" w:firstLine="640" w:firstLineChars="200"/>
        <w:jc w:val="left"/>
        <w:textAlignment w:val="auto"/>
        <w:rPr>
          <w:rFonts w:hint="eastAsia" w:ascii="宋体" w:hAnsi="宋体" w:eastAsia="宋体" w:cs="宋体"/>
          <w:b w:val="0"/>
          <w:bCs w:val="0"/>
          <w:sz w:val="32"/>
          <w:szCs w:val="32"/>
          <w:highlight w:val="red"/>
          <w:lang w:val="en-US" w:eastAsia="zh-CN"/>
        </w:rPr>
      </w:pPr>
      <w:r>
        <w:rPr>
          <w:rFonts w:hint="eastAsia" w:ascii="宋体" w:hAnsi="宋体" w:eastAsia="宋体" w:cs="宋体"/>
          <w:sz w:val="32"/>
          <w:szCs w:val="32"/>
          <w:lang w:val="en-US" w:eastAsia="zh-CN"/>
        </w:rPr>
        <w:t>本单位</w:t>
      </w:r>
      <w:r>
        <w:rPr>
          <w:rFonts w:hint="eastAsia" w:ascii="宋体" w:hAnsi="宋体" w:eastAsia="宋体" w:cs="宋体"/>
          <w:sz w:val="32"/>
          <w:szCs w:val="32"/>
        </w:rPr>
        <w:t>严格按照预算编制方法和口径，在认真核实各项基础数据的基础上科学、规范编制部门预算。机关预算由</w:t>
      </w:r>
      <w:r>
        <w:rPr>
          <w:rFonts w:hint="eastAsia" w:ascii="宋体" w:hAnsi="宋体" w:cs="宋体"/>
          <w:sz w:val="32"/>
          <w:szCs w:val="32"/>
          <w:lang w:eastAsia="zh-CN"/>
        </w:rPr>
        <w:t>综合部</w:t>
      </w:r>
      <w:r>
        <w:rPr>
          <w:rFonts w:hint="eastAsia" w:ascii="宋体" w:hAnsi="宋体" w:eastAsia="宋体" w:cs="宋体"/>
          <w:sz w:val="32"/>
          <w:szCs w:val="32"/>
        </w:rPr>
        <w:t>根据定额标准和相关</w:t>
      </w:r>
      <w:r>
        <w:rPr>
          <w:rFonts w:hint="eastAsia" w:ascii="宋体" w:hAnsi="宋体" w:eastAsia="宋体" w:cs="宋体"/>
          <w:sz w:val="32"/>
          <w:szCs w:val="32"/>
          <w:lang w:eastAsia="zh-CN"/>
        </w:rPr>
        <w:t>部门</w:t>
      </w:r>
      <w:r>
        <w:rPr>
          <w:rFonts w:hint="eastAsia" w:ascii="宋体" w:hAnsi="宋体" w:eastAsia="宋体" w:cs="宋体"/>
          <w:sz w:val="32"/>
          <w:szCs w:val="32"/>
        </w:rPr>
        <w:t>提供的人员、工资等信息编制。</w:t>
      </w:r>
    </w:p>
    <w:p>
      <w:pPr>
        <w:keepNext w:val="0"/>
        <w:keepLines w:val="0"/>
        <w:pageBreakBefore w:val="0"/>
        <w:widowControl w:val="0"/>
        <w:kinsoku/>
        <w:wordWrap/>
        <w:overflowPunct/>
        <w:topLinePunct w:val="0"/>
        <w:autoSpaceDE/>
        <w:autoSpaceDN/>
        <w:bidi w:val="0"/>
        <w:adjustRightInd w:val="0"/>
        <w:snapToGrid/>
        <w:spacing w:line="580" w:lineRule="exact"/>
        <w:ind w:firstLine="643" w:firstLineChars="200"/>
        <w:textAlignment w:val="auto"/>
        <w:rPr>
          <w:rFonts w:hint="eastAsia" w:ascii="宋体" w:hAnsi="宋体" w:eastAsia="宋体" w:cs="宋体"/>
          <w:b/>
          <w:sz w:val="32"/>
          <w:szCs w:val="32"/>
          <w:highlight w:val="none"/>
        </w:rPr>
      </w:pPr>
      <w:r>
        <w:rPr>
          <w:rFonts w:hint="eastAsia" w:ascii="宋体" w:hAnsi="宋体" w:cs="宋体"/>
          <w:b/>
          <w:sz w:val="32"/>
          <w:szCs w:val="32"/>
          <w:highlight w:val="none"/>
          <w:lang w:val="en-US" w:eastAsia="zh-CN"/>
        </w:rPr>
        <w:t>五</w:t>
      </w:r>
      <w:r>
        <w:rPr>
          <w:rFonts w:hint="eastAsia" w:ascii="宋体" w:hAnsi="宋体" w:eastAsia="宋体" w:cs="宋体"/>
          <w:b/>
          <w:sz w:val="32"/>
          <w:szCs w:val="32"/>
          <w:highlight w:val="none"/>
        </w:rPr>
        <w:t>、存在的</w:t>
      </w:r>
      <w:r>
        <w:rPr>
          <w:rFonts w:hint="eastAsia" w:ascii="宋体" w:hAnsi="宋体" w:cs="宋体"/>
          <w:b/>
          <w:sz w:val="32"/>
          <w:szCs w:val="32"/>
          <w:highlight w:val="none"/>
          <w:lang w:val="en-US" w:eastAsia="zh-CN"/>
        </w:rPr>
        <w:t>主要</w:t>
      </w:r>
      <w:r>
        <w:rPr>
          <w:rFonts w:hint="eastAsia" w:ascii="宋体" w:hAnsi="宋体" w:eastAsia="宋体" w:cs="宋体"/>
          <w:b/>
          <w:sz w:val="32"/>
          <w:szCs w:val="32"/>
          <w:highlight w:val="none"/>
        </w:rPr>
        <w:t>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kern w:val="2"/>
          <w:sz w:val="32"/>
          <w:szCs w:val="32"/>
          <w:lang w:val="en-US" w:eastAsia="zh-CN" w:bidi="ar-SA"/>
        </w:rPr>
      </w:pPr>
      <w:r>
        <w:rPr>
          <w:rFonts w:hint="eastAsia" w:ascii="宋体" w:hAnsi="宋体" w:eastAsia="宋体" w:cs="宋体"/>
          <w:color w:val="auto"/>
          <w:kern w:val="2"/>
          <w:sz w:val="32"/>
          <w:szCs w:val="32"/>
          <w:lang w:val="en-US" w:eastAsia="zh-CN" w:bidi="ar-SA"/>
        </w:rPr>
        <w:t>部分绩效指标及目标有待进一步细化和量化。年初申报绩效目标各部室参与不够，对绩效目标概念认识不足，部分绩效指标及目标有待进一步细化和量化。</w:t>
      </w:r>
    </w:p>
    <w:p>
      <w:pPr>
        <w:widowControl/>
        <w:shd w:val="clear" w:color="auto" w:fill="FFFFFF"/>
        <w:spacing w:line="600" w:lineRule="atLeast"/>
        <w:ind w:firstLine="640"/>
        <w:rPr>
          <w:rFonts w:hint="eastAsia" w:ascii="宋体" w:hAnsi="宋体" w:eastAsia="宋体" w:cs="宋体"/>
          <w:b/>
          <w:spacing w:val="-2"/>
          <w:sz w:val="32"/>
          <w:szCs w:val="32"/>
        </w:rPr>
      </w:pPr>
      <w:r>
        <w:rPr>
          <w:rFonts w:hint="eastAsia" w:ascii="宋体" w:hAnsi="宋体" w:cs="宋体"/>
          <w:b/>
          <w:spacing w:val="-2"/>
          <w:sz w:val="32"/>
          <w:szCs w:val="32"/>
          <w:lang w:val="en-US" w:eastAsia="zh-CN"/>
        </w:rPr>
        <w:t>六</w:t>
      </w:r>
      <w:r>
        <w:rPr>
          <w:rFonts w:hint="eastAsia" w:ascii="宋体" w:hAnsi="宋体" w:eastAsia="宋体" w:cs="宋体"/>
          <w:b/>
          <w:spacing w:val="-2"/>
          <w:sz w:val="32"/>
          <w:szCs w:val="32"/>
        </w:rPr>
        <w:t>、改进措施和有关建议</w:t>
      </w:r>
    </w:p>
    <w:p>
      <w:pPr>
        <w:keepNext w:val="0"/>
        <w:keepLines w:val="0"/>
        <w:pageBreakBefore w:val="0"/>
        <w:widowControl/>
        <w:suppressLineNumbers w:val="0"/>
        <w:kinsoku/>
        <w:wordWrap/>
        <w:overflowPunct/>
        <w:topLinePunct w:val="0"/>
        <w:bidi w:val="0"/>
        <w:snapToGrid/>
        <w:spacing w:line="580" w:lineRule="exact"/>
        <w:ind w:firstLine="632" w:firstLineChars="200"/>
        <w:jc w:val="left"/>
        <w:textAlignment w:val="auto"/>
        <w:rPr>
          <w:rFonts w:hint="eastAsia" w:ascii="宋体" w:hAnsi="宋体" w:eastAsia="宋体" w:cs="宋体"/>
          <w:spacing w:val="-2"/>
          <w:sz w:val="32"/>
          <w:szCs w:val="32"/>
          <w:lang w:val="en-US" w:eastAsia="zh-CN"/>
        </w:rPr>
      </w:pPr>
      <w:r>
        <w:rPr>
          <w:rFonts w:hint="eastAsia" w:ascii="宋体" w:hAnsi="宋体" w:eastAsia="宋体" w:cs="宋体"/>
          <w:spacing w:val="-2"/>
          <w:sz w:val="32"/>
          <w:szCs w:val="32"/>
        </w:rPr>
        <w:t>科学合理地设置绩效指标</w:t>
      </w:r>
      <w:r>
        <w:rPr>
          <w:rFonts w:hint="eastAsia" w:ascii="宋体" w:hAnsi="宋体" w:eastAsia="宋体" w:cs="宋体"/>
          <w:spacing w:val="-2"/>
          <w:sz w:val="32"/>
          <w:szCs w:val="32"/>
          <w:lang w:eastAsia="zh-CN"/>
        </w:rPr>
        <w:t>。首先，</w:t>
      </w:r>
      <w:r>
        <w:rPr>
          <w:rFonts w:hint="eastAsia" w:ascii="宋体" w:hAnsi="宋体" w:eastAsia="宋体" w:cs="宋体"/>
          <w:spacing w:val="-2"/>
          <w:sz w:val="32"/>
          <w:szCs w:val="32"/>
        </w:rPr>
        <w:t>强化资金使用和绩效目标</w:t>
      </w:r>
      <w:r>
        <w:rPr>
          <w:rFonts w:hint="eastAsia" w:ascii="宋体" w:hAnsi="宋体" w:eastAsia="宋体" w:cs="宋体"/>
          <w:spacing w:val="-2"/>
          <w:sz w:val="32"/>
          <w:szCs w:val="32"/>
          <w:lang w:eastAsia="zh-CN"/>
        </w:rPr>
        <w:t>管理</w:t>
      </w:r>
      <w:r>
        <w:rPr>
          <w:rFonts w:hint="eastAsia" w:ascii="宋体" w:hAnsi="宋体" w:eastAsia="宋体" w:cs="宋体"/>
          <w:spacing w:val="-2"/>
          <w:sz w:val="32"/>
          <w:szCs w:val="32"/>
        </w:rPr>
        <w:t>意识</w:t>
      </w:r>
      <w:r>
        <w:rPr>
          <w:rFonts w:hint="eastAsia" w:ascii="宋体" w:hAnsi="宋体" w:eastAsia="宋体" w:cs="宋体"/>
          <w:spacing w:val="-2"/>
          <w:sz w:val="32"/>
          <w:szCs w:val="32"/>
          <w:lang w:eastAsia="zh-CN"/>
        </w:rPr>
        <w:t>；其次，根据单位职能科学合理地设置绩效指标，</w:t>
      </w:r>
      <w:r>
        <w:rPr>
          <w:rFonts w:hint="eastAsia" w:ascii="宋体" w:hAnsi="宋体" w:eastAsia="宋体" w:cs="宋体"/>
          <w:spacing w:val="-2"/>
          <w:sz w:val="32"/>
          <w:szCs w:val="32"/>
        </w:rPr>
        <w:t>提高预算绩效指标的针对性和可测性，充分发挥预算绩效目标管理的导向作用。</w:t>
      </w:r>
    </w:p>
    <w:p>
      <w:pPr>
        <w:rPr>
          <w:rFonts w:hint="eastAsia" w:ascii="仿宋_GB2312" w:hAnsi="仿宋_GB2312" w:eastAsia="仿宋_GB2312" w:cs="仿宋_GB2312"/>
          <w:sz w:val="32"/>
          <w:szCs w:val="32"/>
        </w:rPr>
      </w:pPr>
    </w:p>
    <w:p>
      <w:pPr>
        <w:pageBreakBefore w:val="0"/>
        <w:kinsoku/>
        <w:wordWrap/>
        <w:overflowPunct/>
        <w:topLinePunct w:val="0"/>
        <w:bidi w:val="0"/>
        <w:snapToGrid/>
        <w:spacing w:line="580" w:lineRule="exact"/>
        <w:ind w:firstLine="4800" w:firstLineChars="1500"/>
        <w:textAlignment w:val="auto"/>
        <w:rPr>
          <w:rFonts w:hint="eastAsia" w:ascii="宋体" w:hAnsi="宋体" w:eastAsia="宋体" w:cs="宋体"/>
          <w:sz w:val="32"/>
          <w:szCs w:val="32"/>
        </w:rPr>
      </w:pPr>
      <w:r>
        <w:rPr>
          <w:rFonts w:hint="eastAsia" w:ascii="宋体" w:hAnsi="宋体" w:eastAsia="宋体" w:cs="宋体"/>
          <w:sz w:val="32"/>
          <w:szCs w:val="32"/>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CF0A3F"/>
    <w:multiLevelType w:val="singleLevel"/>
    <w:tmpl w:val="D9CF0A3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wOTA5ODM2OGE3NjAzZWRlNzRiNDc4ZjViZjJmMjYifQ=="/>
  </w:docVars>
  <w:rsids>
    <w:rsidRoot w:val="00342B78"/>
    <w:rsid w:val="00342B78"/>
    <w:rsid w:val="007559E4"/>
    <w:rsid w:val="00C44E52"/>
    <w:rsid w:val="01EE19B6"/>
    <w:rsid w:val="02662603"/>
    <w:rsid w:val="02BC1385"/>
    <w:rsid w:val="02DB078B"/>
    <w:rsid w:val="02ED07AE"/>
    <w:rsid w:val="037A0CE5"/>
    <w:rsid w:val="03B36651"/>
    <w:rsid w:val="04173430"/>
    <w:rsid w:val="04271226"/>
    <w:rsid w:val="044A6E51"/>
    <w:rsid w:val="04CB2025"/>
    <w:rsid w:val="04D319BC"/>
    <w:rsid w:val="04DD17E6"/>
    <w:rsid w:val="0610362E"/>
    <w:rsid w:val="069E0344"/>
    <w:rsid w:val="07192745"/>
    <w:rsid w:val="07FF330E"/>
    <w:rsid w:val="081C4629"/>
    <w:rsid w:val="085B2FC3"/>
    <w:rsid w:val="088E6DEE"/>
    <w:rsid w:val="089D73E9"/>
    <w:rsid w:val="08C276F9"/>
    <w:rsid w:val="0B3614C5"/>
    <w:rsid w:val="0B7530A0"/>
    <w:rsid w:val="0BFE2232"/>
    <w:rsid w:val="0C0F325D"/>
    <w:rsid w:val="0C5B1489"/>
    <w:rsid w:val="0CB170E8"/>
    <w:rsid w:val="0E4B1D4D"/>
    <w:rsid w:val="0E7C16C1"/>
    <w:rsid w:val="0FC45018"/>
    <w:rsid w:val="10AF2C58"/>
    <w:rsid w:val="11F31BD6"/>
    <w:rsid w:val="13D73BCB"/>
    <w:rsid w:val="14DC1B6B"/>
    <w:rsid w:val="15D87EFC"/>
    <w:rsid w:val="178165CC"/>
    <w:rsid w:val="19483719"/>
    <w:rsid w:val="19FF1BE0"/>
    <w:rsid w:val="1A0F193E"/>
    <w:rsid w:val="1A3B3008"/>
    <w:rsid w:val="1A7647E7"/>
    <w:rsid w:val="1AB90A18"/>
    <w:rsid w:val="1AC612CA"/>
    <w:rsid w:val="1B5E234A"/>
    <w:rsid w:val="1BA55384"/>
    <w:rsid w:val="1BAB7615"/>
    <w:rsid w:val="1BBE1FA1"/>
    <w:rsid w:val="1C1E4841"/>
    <w:rsid w:val="1C2C2D3F"/>
    <w:rsid w:val="1DBE44EB"/>
    <w:rsid w:val="1DFD4821"/>
    <w:rsid w:val="1E544896"/>
    <w:rsid w:val="1EC167D7"/>
    <w:rsid w:val="207340BF"/>
    <w:rsid w:val="21837415"/>
    <w:rsid w:val="21DF2ED8"/>
    <w:rsid w:val="22B75E2B"/>
    <w:rsid w:val="22C014A5"/>
    <w:rsid w:val="257F51DF"/>
    <w:rsid w:val="25CA79CD"/>
    <w:rsid w:val="26022CFF"/>
    <w:rsid w:val="284D644F"/>
    <w:rsid w:val="28BF3947"/>
    <w:rsid w:val="29B669AE"/>
    <w:rsid w:val="29DA08EE"/>
    <w:rsid w:val="2B9517D4"/>
    <w:rsid w:val="2BD74424"/>
    <w:rsid w:val="2C98077D"/>
    <w:rsid w:val="2CBC42DB"/>
    <w:rsid w:val="2D336CD0"/>
    <w:rsid w:val="2D3A16A4"/>
    <w:rsid w:val="2D4F15F3"/>
    <w:rsid w:val="2D510F8C"/>
    <w:rsid w:val="2D5D1CF2"/>
    <w:rsid w:val="2EB536D8"/>
    <w:rsid w:val="2EB6103B"/>
    <w:rsid w:val="2ED4029E"/>
    <w:rsid w:val="2F8E2D8F"/>
    <w:rsid w:val="2FFA11A5"/>
    <w:rsid w:val="32D425A2"/>
    <w:rsid w:val="338159F9"/>
    <w:rsid w:val="3439517E"/>
    <w:rsid w:val="35AF341F"/>
    <w:rsid w:val="35CC0C35"/>
    <w:rsid w:val="36434B5D"/>
    <w:rsid w:val="380374DA"/>
    <w:rsid w:val="38E63134"/>
    <w:rsid w:val="397B107A"/>
    <w:rsid w:val="3A493E4A"/>
    <w:rsid w:val="3A564096"/>
    <w:rsid w:val="3AEE41FA"/>
    <w:rsid w:val="3B3E2240"/>
    <w:rsid w:val="3C4B0B6B"/>
    <w:rsid w:val="3D103387"/>
    <w:rsid w:val="3D301770"/>
    <w:rsid w:val="3EB63280"/>
    <w:rsid w:val="3FBD3B57"/>
    <w:rsid w:val="404B33EB"/>
    <w:rsid w:val="40A2675B"/>
    <w:rsid w:val="40E85247"/>
    <w:rsid w:val="41742F7F"/>
    <w:rsid w:val="423C6BBC"/>
    <w:rsid w:val="427B758B"/>
    <w:rsid w:val="42823479"/>
    <w:rsid w:val="428E6EC4"/>
    <w:rsid w:val="444729A6"/>
    <w:rsid w:val="44957E25"/>
    <w:rsid w:val="455A248C"/>
    <w:rsid w:val="45694A1E"/>
    <w:rsid w:val="469320F9"/>
    <w:rsid w:val="46DC2F8F"/>
    <w:rsid w:val="46DD21A1"/>
    <w:rsid w:val="471D1659"/>
    <w:rsid w:val="473019A3"/>
    <w:rsid w:val="485D476D"/>
    <w:rsid w:val="486C77A0"/>
    <w:rsid w:val="49066EAA"/>
    <w:rsid w:val="493B1B15"/>
    <w:rsid w:val="494C73DB"/>
    <w:rsid w:val="4B024C2D"/>
    <w:rsid w:val="4BAB2719"/>
    <w:rsid w:val="4BB738D6"/>
    <w:rsid w:val="4C147838"/>
    <w:rsid w:val="4D6A1544"/>
    <w:rsid w:val="4DB33577"/>
    <w:rsid w:val="4E9E2A23"/>
    <w:rsid w:val="4F134CF9"/>
    <w:rsid w:val="4F890890"/>
    <w:rsid w:val="50910ED5"/>
    <w:rsid w:val="509947B0"/>
    <w:rsid w:val="50C07F8E"/>
    <w:rsid w:val="515C7EF2"/>
    <w:rsid w:val="5178664F"/>
    <w:rsid w:val="525E7792"/>
    <w:rsid w:val="531F65ED"/>
    <w:rsid w:val="533738F7"/>
    <w:rsid w:val="552503C0"/>
    <w:rsid w:val="5598190E"/>
    <w:rsid w:val="559C5CF1"/>
    <w:rsid w:val="55D861B7"/>
    <w:rsid w:val="57436A51"/>
    <w:rsid w:val="57AA487D"/>
    <w:rsid w:val="57B144FA"/>
    <w:rsid w:val="58B37B27"/>
    <w:rsid w:val="58C47C4C"/>
    <w:rsid w:val="594C6863"/>
    <w:rsid w:val="599854C9"/>
    <w:rsid w:val="59A6702C"/>
    <w:rsid w:val="59CE54CA"/>
    <w:rsid w:val="5A14373D"/>
    <w:rsid w:val="5AB20AFE"/>
    <w:rsid w:val="5C037D3C"/>
    <w:rsid w:val="5C1301B9"/>
    <w:rsid w:val="5C2228A5"/>
    <w:rsid w:val="5CE639D8"/>
    <w:rsid w:val="5E8E1E6C"/>
    <w:rsid w:val="5F597F1C"/>
    <w:rsid w:val="5F6B555D"/>
    <w:rsid w:val="6014175D"/>
    <w:rsid w:val="607F2FD8"/>
    <w:rsid w:val="61D976AA"/>
    <w:rsid w:val="623C6AF5"/>
    <w:rsid w:val="63676F87"/>
    <w:rsid w:val="63980775"/>
    <w:rsid w:val="63C03B0F"/>
    <w:rsid w:val="642C31C3"/>
    <w:rsid w:val="65010EA8"/>
    <w:rsid w:val="65A427BC"/>
    <w:rsid w:val="661A1133"/>
    <w:rsid w:val="670434EE"/>
    <w:rsid w:val="676236F6"/>
    <w:rsid w:val="68945FE3"/>
    <w:rsid w:val="6A0D759A"/>
    <w:rsid w:val="6A887D7C"/>
    <w:rsid w:val="6B2A52B2"/>
    <w:rsid w:val="6BC6195E"/>
    <w:rsid w:val="6C634893"/>
    <w:rsid w:val="6EC27039"/>
    <w:rsid w:val="706D5CE0"/>
    <w:rsid w:val="710F5350"/>
    <w:rsid w:val="72712A3F"/>
    <w:rsid w:val="741D77E1"/>
    <w:rsid w:val="742E5C60"/>
    <w:rsid w:val="74FC2209"/>
    <w:rsid w:val="75483F2B"/>
    <w:rsid w:val="75C4732A"/>
    <w:rsid w:val="764600A6"/>
    <w:rsid w:val="77702CAE"/>
    <w:rsid w:val="781B3AD4"/>
    <w:rsid w:val="786A5B18"/>
    <w:rsid w:val="7C0D7C03"/>
    <w:rsid w:val="7C5E06F2"/>
    <w:rsid w:val="7C8A156A"/>
    <w:rsid w:val="7CC71D44"/>
    <w:rsid w:val="7CF7316C"/>
    <w:rsid w:val="7F1F60EF"/>
    <w:rsid w:val="7F8125EB"/>
    <w:rsid w:val="7FC40652"/>
    <w:rsid w:val="7FC90E51"/>
    <w:rsid w:val="7FF05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样式 文字 + 首行缩进:  2 字符3"/>
    <w:basedOn w:val="1"/>
    <w:qFormat/>
    <w:uiPriority w:val="0"/>
    <w:pPr>
      <w:spacing w:line="360" w:lineRule="auto"/>
      <w:jc w:val="left"/>
    </w:pPr>
    <w:rPr>
      <w:rFonts w:ascii="Calibri" w:hAnsi="Calibri" w:cs="宋体"/>
      <w:sz w:val="28"/>
      <w:szCs w:val="28"/>
    </w:rPr>
  </w:style>
  <w:style w:type="paragraph" w:styleId="6">
    <w:name w:val="footer"/>
    <w:basedOn w:val="1"/>
    <w:semiHidden/>
    <w:unhideWhenUsed/>
    <w:qFormat/>
    <w:uiPriority w:val="99"/>
    <w:pPr>
      <w:tabs>
        <w:tab w:val="center" w:pos="4153"/>
        <w:tab w:val="right" w:pos="8306"/>
      </w:tabs>
      <w:snapToGrid w:val="0"/>
      <w:jc w:val="left"/>
    </w:pPr>
    <w:rPr>
      <w:sz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Hyperlink"/>
    <w:basedOn w:val="10"/>
    <w:unhideWhenUsed/>
    <w:qFormat/>
    <w:uiPriority w:val="99"/>
    <w:rPr>
      <w:color w:val="0000FF"/>
      <w:u w:val="single"/>
    </w:rPr>
  </w:style>
  <w:style w:type="paragraph" w:customStyle="1" w:styleId="12">
    <w:name w:val="List Paragraph"/>
    <w:basedOn w:val="1"/>
    <w:qFormat/>
    <w:uiPriority w:val="0"/>
    <w:pPr>
      <w:ind w:firstLine="420" w:firstLineChars="200"/>
    </w:pPr>
  </w:style>
  <w:style w:type="paragraph" w:customStyle="1" w:styleId="13">
    <w:name w:val="普通(网站)1"/>
    <w:basedOn w:val="1"/>
    <w:qFormat/>
    <w:uiPriority w:val="2"/>
    <w:pPr>
      <w:widowControl/>
      <w:spacing w:before="100" w:after="100"/>
      <w:jc w:val="left"/>
    </w:pPr>
    <w:rPr>
      <w:rFonts w:ascii="宋体" w:hAnsi="宋体" w:cs="宋体"/>
      <w:kern w:val="0"/>
      <w:sz w:val="24"/>
      <w:szCs w:val="24"/>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12</Pages>
  <Words>5271</Words>
  <Characters>5471</Characters>
  <Lines>31</Lines>
  <Paragraphs>8</Paragraphs>
  <TotalTime>2</TotalTime>
  <ScaleCrop>false</ScaleCrop>
  <LinksUpToDate>false</LinksUpToDate>
  <CharactersWithSpaces>5488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2021-09-07T03:04:00Z</dcterms:created>
  <dc:creator>User</dc:creator>
  <cp:lastModifiedBy>Administrator</cp:lastModifiedBy>
  <cp:lastPrinted>2022-04-06T01:41:00Z</cp:lastPrinted>
  <dcterms:modified xsi:type="dcterms:W3CDTF">2023-03-27T08:34:49Z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D7725AA4540B4286A991CD990B27D65A</vt:lpwstr>
  </property>
</Properties>
</file>