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40"/>
          <w:szCs w:val="40"/>
        </w:rPr>
      </w:pPr>
      <w:r>
        <w:rPr>
          <w:rFonts w:hint="eastAsia" w:ascii="宋体" w:hAnsi="宋体" w:eastAsia="宋体" w:cs="宋体"/>
          <w:b/>
          <w:bCs/>
          <w:sz w:val="40"/>
          <w:szCs w:val="40"/>
        </w:rPr>
        <w:t>部门整体支出绩效评价报告</w:t>
      </w:r>
    </w:p>
    <w:p>
      <w:pPr>
        <w:keepNext w:val="0"/>
        <w:keepLines w:val="0"/>
        <w:pageBreakBefore w:val="0"/>
        <w:kinsoku/>
        <w:wordWrap/>
        <w:overflowPunct/>
        <w:topLinePunct w:val="0"/>
        <w:autoSpaceDE/>
        <w:autoSpaceDN/>
        <w:bidi w:val="0"/>
        <w:adjustRightInd/>
        <w:snapToGrid/>
        <w:spacing w:line="500" w:lineRule="exact"/>
        <w:ind w:left="0" w:leftChars="0" w:firstLine="560" w:firstLineChars="200"/>
        <w:jc w:val="both"/>
        <w:textAlignment w:val="auto"/>
        <w:rPr>
          <w:rFonts w:hint="eastAsia" w:ascii="宋体" w:hAnsi="宋体" w:eastAsia="宋体" w:cs="宋体"/>
          <w:sz w:val="28"/>
          <w:szCs w:val="28"/>
        </w:rPr>
      </w:pPr>
    </w:p>
    <w:p>
      <w:pPr>
        <w:pStyle w:val="5"/>
        <w:keepNext w:val="0"/>
        <w:keepLines w:val="0"/>
        <w:pageBreakBefore w:val="0"/>
        <w:widowControl/>
        <w:numPr>
          <w:ilvl w:val="0"/>
          <w:numId w:val="1"/>
        </w:numPr>
        <w:kinsoku/>
        <w:wordWrap/>
        <w:overflowPunct/>
        <w:topLinePunct w:val="0"/>
        <w:autoSpaceDE/>
        <w:autoSpaceDN/>
        <w:bidi w:val="0"/>
        <w:adjustRightInd/>
        <w:snapToGrid/>
        <w:spacing w:line="500" w:lineRule="exact"/>
        <w:ind w:left="0" w:leftChars="0" w:firstLine="602" w:firstLine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rPr>
        <w:t>部门、单位基本情况</w:t>
      </w:r>
    </w:p>
    <w:p>
      <w:pPr>
        <w:widowControl/>
        <w:spacing w:after="204" w:line="462" w:lineRule="atLeast"/>
        <w:ind w:firstLine="480"/>
        <w:rPr>
          <w:rFonts w:asciiTheme="minorEastAsia" w:hAnsiTheme="minorEastAsia"/>
          <w:bCs/>
          <w:kern w:val="0"/>
          <w:sz w:val="32"/>
          <w:szCs w:val="32"/>
        </w:rPr>
      </w:pPr>
      <w:r>
        <w:rPr>
          <w:rFonts w:hint="eastAsia" w:ascii="仿宋" w:hAnsi="仿宋" w:eastAsia="仿宋" w:cs="仿宋"/>
          <w:sz w:val="30"/>
          <w:szCs w:val="30"/>
        </w:rPr>
        <w:t>（一）</w:t>
      </w:r>
      <w:r>
        <w:rPr>
          <w:rFonts w:hint="eastAsia" w:ascii="仿宋" w:hAnsi="仿宋" w:eastAsia="仿宋" w:cs="仿宋"/>
          <w:b/>
          <w:bCs/>
          <w:color w:val="000000"/>
          <w:sz w:val="30"/>
          <w:szCs w:val="30"/>
          <w:lang w:eastAsia="zh-CN"/>
        </w:rPr>
        <w:t>部门</w:t>
      </w:r>
      <w:r>
        <w:rPr>
          <w:rFonts w:hint="eastAsia" w:ascii="仿宋" w:hAnsi="仿宋" w:eastAsia="仿宋" w:cs="仿宋"/>
          <w:b/>
          <w:bCs/>
          <w:color w:val="000000"/>
          <w:sz w:val="30"/>
          <w:szCs w:val="30"/>
        </w:rPr>
        <w:t>机构设置：</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1、办公室（行政审批服务股）。负责机关日常运作，负责党建、人事、财务、工会工作。承担机关文电、会务、档案、保密、信访、政务公开、新闻宣传等工作。</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 xml:space="preserve">2、综合业务股。承担县内各级科技计划、项目、人才和平台等服务工作。负责高新技术培育、成果转化、科技普及、产学研合作、全社会研发经费投入等科技统计、管理和服务工作。 </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下设二级事业单位1个：辰溪县科技信息研究所</w:t>
      </w:r>
    </w:p>
    <w:p>
      <w:pPr>
        <w:pStyle w:val="5"/>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jc w:val="both"/>
        <w:textAlignment w:val="auto"/>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（二）</w:t>
      </w:r>
      <w:r>
        <w:rPr>
          <w:rFonts w:hint="eastAsia" w:ascii="仿宋" w:hAnsi="仿宋" w:eastAsia="仿宋" w:cs="仿宋"/>
          <w:b/>
          <w:bCs/>
          <w:sz w:val="30"/>
          <w:szCs w:val="30"/>
        </w:rPr>
        <w:t>部门职责</w:t>
      </w:r>
      <w:r>
        <w:rPr>
          <w:rFonts w:hint="eastAsia" w:ascii="仿宋" w:hAnsi="仿宋" w:eastAsia="仿宋" w:cs="仿宋"/>
          <w:b/>
          <w:bCs/>
          <w:sz w:val="30"/>
          <w:szCs w:val="30"/>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bCs/>
          <w:kern w:val="0"/>
          <w:sz w:val="30"/>
          <w:szCs w:val="30"/>
          <w:lang w:val="en-US" w:eastAsia="zh-CN" w:bidi="ar-SA"/>
        </w:rPr>
      </w:pPr>
      <w:r>
        <w:rPr>
          <w:rFonts w:hint="eastAsia" w:ascii="仿宋" w:hAnsi="仿宋" w:eastAsia="仿宋" w:cs="仿宋"/>
          <w:i w:val="0"/>
          <w:iCs w:val="0"/>
          <w:caps w:val="0"/>
          <w:color w:val="3D3D3D"/>
          <w:spacing w:val="0"/>
          <w:kern w:val="0"/>
          <w:sz w:val="30"/>
          <w:szCs w:val="30"/>
          <w:shd w:val="clear" w:fill="FFFFFF"/>
          <w:lang w:val="en-US" w:eastAsia="zh-CN" w:bidi="ar"/>
        </w:rPr>
        <w:t>1、</w:t>
      </w:r>
      <w:r>
        <w:rPr>
          <w:rFonts w:hint="eastAsia" w:ascii="仿宋" w:hAnsi="仿宋" w:eastAsia="仿宋" w:cs="仿宋"/>
          <w:bCs/>
          <w:kern w:val="0"/>
          <w:sz w:val="30"/>
          <w:szCs w:val="30"/>
          <w:lang w:val="en-US" w:eastAsia="zh-CN" w:bidi="ar-SA"/>
        </w:rPr>
        <w:t>贯彻创新驱动发展战略和创新引领开放崛起战略，拟订全县科技发展、引进国外及国内智力规划和政策并组织实施；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bCs/>
          <w:kern w:val="0"/>
          <w:sz w:val="30"/>
          <w:szCs w:val="30"/>
          <w:lang w:val="en-US" w:eastAsia="zh-CN" w:bidi="ar-SA"/>
        </w:rPr>
      </w:pPr>
      <w:r>
        <w:rPr>
          <w:rFonts w:hint="eastAsia" w:ascii="仿宋" w:hAnsi="仿宋" w:eastAsia="仿宋" w:cs="仿宋"/>
          <w:bCs/>
          <w:kern w:val="0"/>
          <w:sz w:val="30"/>
          <w:szCs w:val="30"/>
          <w:lang w:val="en-US" w:eastAsia="zh-CN" w:bidi="ar-SA"/>
        </w:rPr>
        <w:t>2、统筹推进全县创新体系建设和科技体制改革，会同有关部门健全技术创新激励机制。优化科研体系建设，指导科研机构改革发展，推动企业科技创新能力建设，承担推进科技军民融合发展相关工作，推进全县重大科技决策咨询制度建设。拟订科学普及和科学传播规划、政策。统筹推进创新型城市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bCs/>
          <w:kern w:val="0"/>
          <w:sz w:val="30"/>
          <w:szCs w:val="30"/>
          <w:lang w:val="en-US" w:eastAsia="zh-CN" w:bidi="ar-SA"/>
        </w:rPr>
      </w:pPr>
      <w:r>
        <w:rPr>
          <w:rFonts w:hint="eastAsia" w:ascii="仿宋" w:hAnsi="仿宋" w:eastAsia="仿宋" w:cs="仿宋"/>
          <w:bCs/>
          <w:kern w:val="0"/>
          <w:sz w:val="30"/>
          <w:szCs w:val="30"/>
          <w:lang w:val="en-US" w:eastAsia="zh-CN" w:bidi="ar-SA"/>
        </w:rPr>
        <w:t>3、牵头建立统一的县级科技管理平台和科研项目资金协调、评估、监督机制。会同有关部门提出优化配置科技资源的政策措施建议，推动多元化科技投入体系建设，协调管理县级科技财政计划（专项、基金等）并监督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bCs/>
          <w:kern w:val="0"/>
          <w:sz w:val="30"/>
          <w:szCs w:val="30"/>
          <w:lang w:val="en-US" w:eastAsia="zh-CN" w:bidi="ar-SA"/>
        </w:rPr>
      </w:pPr>
      <w:r>
        <w:rPr>
          <w:rFonts w:hint="eastAsia" w:ascii="仿宋" w:hAnsi="仿宋" w:eastAsia="仿宋" w:cs="仿宋"/>
          <w:bCs/>
          <w:kern w:val="0"/>
          <w:sz w:val="30"/>
          <w:szCs w:val="30"/>
          <w:lang w:val="en-US" w:eastAsia="zh-CN" w:bidi="ar-SA"/>
        </w:rPr>
        <w:t>4、拟订全县基础研究规划、政策和标准并组织实施，组织协调县级重大基础研究和应用基础研究。拟订重大科技创新基地建设规划并监督实施，参与编制重大科技基础设施建设规划和监督实施，牵头组织县重点实验室等重大科技创新基地建设，推动科研条件保障建设和科技资源开放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bCs/>
          <w:kern w:val="0"/>
          <w:sz w:val="30"/>
          <w:szCs w:val="30"/>
          <w:lang w:val="en-US" w:eastAsia="zh-CN" w:bidi="ar-SA"/>
        </w:rPr>
      </w:pPr>
      <w:r>
        <w:rPr>
          <w:rFonts w:hint="eastAsia" w:ascii="仿宋" w:hAnsi="仿宋" w:eastAsia="仿宋" w:cs="仿宋"/>
          <w:bCs/>
          <w:kern w:val="0"/>
          <w:sz w:val="30"/>
          <w:szCs w:val="30"/>
          <w:lang w:val="en-US" w:eastAsia="zh-CN" w:bidi="ar-SA"/>
        </w:rPr>
        <w:t>5、编制县级重大科技项目计划并监督实施，统筹关键共性技术、前沿引领技术、现代工程技术、颠覆性技术研究和创新，牵头组织重大技术攻关和成果应用示范。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bCs/>
          <w:kern w:val="0"/>
          <w:sz w:val="30"/>
          <w:szCs w:val="30"/>
          <w:lang w:val="en-US" w:eastAsia="zh-CN" w:bidi="ar-SA"/>
        </w:rPr>
      </w:pPr>
      <w:r>
        <w:rPr>
          <w:rFonts w:hint="eastAsia" w:ascii="仿宋" w:hAnsi="仿宋" w:eastAsia="仿宋" w:cs="仿宋"/>
          <w:bCs/>
          <w:kern w:val="0"/>
          <w:sz w:val="30"/>
          <w:szCs w:val="30"/>
          <w:lang w:val="en-US" w:eastAsia="zh-CN" w:bidi="ar-SA"/>
        </w:rPr>
        <w:t>6、组织拟订高新技术发展及产业化、科技促进农业农村和社会发展的规划、政策和措施。组织开展重点领域技术发展需求分析，提出重大任务并监督实施。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bCs/>
          <w:kern w:val="0"/>
          <w:sz w:val="30"/>
          <w:szCs w:val="30"/>
          <w:lang w:val="en-US" w:eastAsia="zh-CN" w:bidi="ar-SA"/>
        </w:rPr>
      </w:pPr>
      <w:r>
        <w:rPr>
          <w:rFonts w:hint="eastAsia" w:ascii="仿宋" w:hAnsi="仿宋" w:eastAsia="仿宋" w:cs="仿宋"/>
          <w:bCs/>
          <w:kern w:val="0"/>
          <w:sz w:val="30"/>
          <w:szCs w:val="30"/>
          <w:lang w:val="en-US" w:eastAsia="zh-CN" w:bidi="ar-SA"/>
        </w:rPr>
        <w:t>7、牵头县级技术转移体系建设，拟订科技成果转移转化和促进产学研结合的相关政策措施并监督实施、指导科技服务业、技术市场、科技金融结合和科技中介组织发展。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bCs/>
          <w:kern w:val="0"/>
          <w:sz w:val="30"/>
          <w:szCs w:val="30"/>
          <w:lang w:val="en-US" w:eastAsia="zh-CN" w:bidi="ar-SA"/>
        </w:rPr>
      </w:pPr>
      <w:r>
        <w:rPr>
          <w:rFonts w:hint="eastAsia" w:ascii="仿宋" w:hAnsi="仿宋" w:eastAsia="仿宋" w:cs="仿宋"/>
          <w:bCs/>
          <w:kern w:val="0"/>
          <w:sz w:val="30"/>
          <w:szCs w:val="30"/>
          <w:lang w:val="en-US" w:eastAsia="zh-CN" w:bidi="ar-SA"/>
        </w:rPr>
        <w:t>8、统筹区域科技创新体系建设，指导区域创新发展、科技资源合理布局和协调创新能力建设，推动科技园区建设。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bCs/>
          <w:kern w:val="0"/>
          <w:sz w:val="30"/>
          <w:szCs w:val="30"/>
          <w:lang w:val="en-US" w:eastAsia="zh-CN" w:bidi="ar-SA"/>
        </w:rPr>
      </w:pPr>
      <w:r>
        <w:rPr>
          <w:rFonts w:hint="eastAsia" w:ascii="仿宋" w:hAnsi="仿宋" w:eastAsia="仿宋" w:cs="仿宋"/>
          <w:bCs/>
          <w:kern w:val="0"/>
          <w:sz w:val="30"/>
          <w:szCs w:val="30"/>
          <w:lang w:val="en-US" w:eastAsia="zh-CN" w:bidi="ar-SA"/>
        </w:rPr>
        <w:t>9、负责科学监督评价体系建设和相关科技评优管理，指导科技评价机制改革，统筹科研诚信建设。组织实施全县创新调查和科技报告制度，指导全县科技保密工作。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bCs/>
          <w:kern w:val="0"/>
          <w:sz w:val="30"/>
          <w:szCs w:val="30"/>
          <w:lang w:val="en-US" w:eastAsia="zh-CN" w:bidi="ar-SA"/>
        </w:rPr>
      </w:pPr>
      <w:r>
        <w:rPr>
          <w:rFonts w:hint="eastAsia" w:ascii="仿宋" w:hAnsi="仿宋" w:eastAsia="仿宋" w:cs="仿宋"/>
          <w:bCs/>
          <w:kern w:val="0"/>
          <w:sz w:val="30"/>
          <w:szCs w:val="30"/>
          <w:lang w:val="en-US" w:eastAsia="zh-CN" w:bidi="ar-SA"/>
        </w:rPr>
        <w:t>10、拟订科技对外交往与创新能力开放合作的规划、政策和措施，组织开展国际和区域科技合作与科技人才交流。指导相关部门对外科技合作与科技人才交流工作。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bCs/>
          <w:kern w:val="0"/>
          <w:sz w:val="30"/>
          <w:szCs w:val="30"/>
          <w:lang w:val="en-US" w:eastAsia="zh-CN" w:bidi="ar-SA"/>
        </w:rPr>
      </w:pPr>
      <w:r>
        <w:rPr>
          <w:rFonts w:hint="eastAsia" w:ascii="仿宋" w:hAnsi="仿宋" w:eastAsia="仿宋" w:cs="仿宋"/>
          <w:bCs/>
          <w:kern w:val="0"/>
          <w:sz w:val="30"/>
          <w:szCs w:val="30"/>
          <w:lang w:val="en-US" w:eastAsia="zh-CN" w:bidi="ar-SA"/>
        </w:rPr>
        <w:t>11、负责引进国外和国内智力工作。拟订全县重点引进国外专家总体规划、计划并组织实施，建立国外和国内顶尖科学家、团队吸引集聚机制和重点国内外专家联系服务机制。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bCs/>
          <w:kern w:val="0"/>
          <w:sz w:val="30"/>
          <w:szCs w:val="30"/>
          <w:lang w:val="en-US" w:eastAsia="zh-CN" w:bidi="ar-SA"/>
        </w:rPr>
      </w:pPr>
      <w:r>
        <w:rPr>
          <w:rFonts w:hint="eastAsia" w:ascii="仿宋" w:hAnsi="仿宋" w:eastAsia="仿宋" w:cs="仿宋"/>
          <w:bCs/>
          <w:kern w:val="0"/>
          <w:sz w:val="30"/>
          <w:szCs w:val="30"/>
          <w:lang w:val="en-US" w:eastAsia="zh-CN" w:bidi="ar-SA"/>
        </w:rPr>
        <w:t>12、会同有关部门拟订科技人才队伍建设规划和政策，建立健全科技人才评价和激励机制，组织实施科技人才计划，推动高端科技创新人才队伍建设。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bCs/>
          <w:kern w:val="0"/>
          <w:sz w:val="30"/>
          <w:szCs w:val="30"/>
          <w:lang w:val="en-US" w:eastAsia="zh-CN" w:bidi="ar-SA"/>
        </w:rPr>
      </w:pPr>
      <w:r>
        <w:rPr>
          <w:rFonts w:hint="eastAsia" w:ascii="仿宋" w:hAnsi="仿宋" w:eastAsia="仿宋" w:cs="仿宋"/>
          <w:bCs/>
          <w:kern w:val="0"/>
          <w:sz w:val="30"/>
          <w:szCs w:val="30"/>
          <w:lang w:val="en-US" w:eastAsia="zh-CN" w:bidi="ar-SA"/>
        </w:rPr>
        <w:t>13、完成县委、县政府交办的其他任务。</w:t>
      </w:r>
    </w:p>
    <w:p>
      <w:pPr>
        <w:pStyle w:val="5"/>
        <w:keepNext w:val="0"/>
        <w:keepLines w:val="0"/>
        <w:pageBreakBefore w:val="0"/>
        <w:widowControl/>
        <w:numPr>
          <w:ilvl w:val="0"/>
          <w:numId w:val="1"/>
        </w:numPr>
        <w:kinsoku/>
        <w:wordWrap/>
        <w:overflowPunct/>
        <w:topLinePunct w:val="0"/>
        <w:autoSpaceDE/>
        <w:autoSpaceDN/>
        <w:bidi w:val="0"/>
        <w:adjustRightInd/>
        <w:snapToGrid/>
        <w:spacing w:line="500" w:lineRule="exact"/>
        <w:ind w:left="0" w:leftChars="0" w:firstLine="602" w:firstLine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rPr>
        <w:t>一般公共预算支出情况</w:t>
      </w:r>
    </w:p>
    <w:p>
      <w:pPr>
        <w:pStyle w:val="5"/>
        <w:keepNext w:val="0"/>
        <w:keepLines w:val="0"/>
        <w:pageBreakBefore w:val="0"/>
        <w:widowControl/>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b/>
          <w:bCs/>
          <w:sz w:val="30"/>
          <w:szCs w:val="30"/>
        </w:rPr>
        <w:t>一）基本支出情况</w:t>
      </w:r>
    </w:p>
    <w:p>
      <w:pPr>
        <w:pStyle w:val="5"/>
        <w:keepNext w:val="0"/>
        <w:keepLines w:val="0"/>
        <w:pageBreakBefore w:val="0"/>
        <w:widowControl/>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20</w:t>
      </w:r>
      <w:r>
        <w:rPr>
          <w:rFonts w:hint="eastAsia" w:ascii="仿宋" w:hAnsi="仿宋" w:eastAsia="仿宋" w:cs="仿宋"/>
          <w:b w:val="0"/>
          <w:bCs w:val="0"/>
          <w:sz w:val="30"/>
          <w:szCs w:val="30"/>
          <w:lang w:val="en-US" w:eastAsia="zh-CN"/>
        </w:rPr>
        <w:t>23</w:t>
      </w:r>
      <w:r>
        <w:rPr>
          <w:rFonts w:hint="eastAsia" w:ascii="仿宋" w:hAnsi="仿宋" w:eastAsia="仿宋" w:cs="仿宋"/>
          <w:b w:val="0"/>
          <w:bCs w:val="0"/>
          <w:sz w:val="30"/>
          <w:szCs w:val="30"/>
        </w:rPr>
        <w:t>年度财政拨款基本支出</w:t>
      </w:r>
      <w:r>
        <w:rPr>
          <w:rFonts w:hint="eastAsia" w:ascii="仿宋" w:hAnsi="仿宋" w:eastAsia="仿宋" w:cs="仿宋"/>
          <w:b w:val="0"/>
          <w:bCs w:val="0"/>
          <w:sz w:val="30"/>
          <w:szCs w:val="30"/>
          <w:lang w:val="en-US" w:eastAsia="zh-CN"/>
        </w:rPr>
        <w:t>242.95</w:t>
      </w:r>
      <w:r>
        <w:rPr>
          <w:rFonts w:hint="eastAsia" w:ascii="仿宋" w:hAnsi="仿宋" w:eastAsia="仿宋" w:cs="仿宋"/>
          <w:b w:val="0"/>
          <w:bCs w:val="0"/>
          <w:sz w:val="30"/>
          <w:szCs w:val="30"/>
        </w:rPr>
        <w:t>万元，其中：人员经费</w:t>
      </w:r>
      <w:r>
        <w:rPr>
          <w:rFonts w:hint="eastAsia" w:ascii="仿宋" w:hAnsi="仿宋" w:eastAsia="仿宋" w:cs="仿宋"/>
          <w:b w:val="0"/>
          <w:bCs w:val="0"/>
          <w:sz w:val="30"/>
          <w:szCs w:val="30"/>
          <w:lang w:val="en-US" w:eastAsia="zh-CN"/>
        </w:rPr>
        <w:t>193.50</w:t>
      </w:r>
      <w:r>
        <w:rPr>
          <w:rFonts w:hint="eastAsia" w:ascii="仿宋" w:hAnsi="仿宋" w:eastAsia="仿宋" w:cs="仿宋"/>
          <w:b w:val="0"/>
          <w:bCs w:val="0"/>
          <w:sz w:val="30"/>
          <w:szCs w:val="30"/>
        </w:rPr>
        <w:t>万元，占基本支出的</w:t>
      </w:r>
      <w:r>
        <w:rPr>
          <w:rFonts w:hint="eastAsia" w:ascii="仿宋" w:hAnsi="仿宋" w:eastAsia="仿宋" w:cs="仿宋"/>
          <w:b w:val="0"/>
          <w:bCs w:val="0"/>
          <w:sz w:val="30"/>
          <w:szCs w:val="30"/>
          <w:lang w:val="en-US" w:eastAsia="zh-CN"/>
        </w:rPr>
        <w:t>79.65</w:t>
      </w:r>
      <w:r>
        <w:rPr>
          <w:rFonts w:hint="eastAsia" w:ascii="仿宋" w:hAnsi="仿宋" w:eastAsia="仿宋" w:cs="仿宋"/>
          <w:b w:val="0"/>
          <w:bCs w:val="0"/>
          <w:sz w:val="30"/>
          <w:szCs w:val="30"/>
        </w:rPr>
        <w:t>%,主要包括基本工资、津贴补贴、奖金、伙食补助费、绩效工资、机关事业单位基本养老保险缴费、其他社会保障缴费、住房公积金、其他工资福利支出；公用经费</w:t>
      </w:r>
      <w:r>
        <w:rPr>
          <w:rFonts w:hint="eastAsia" w:ascii="仿宋" w:hAnsi="仿宋" w:eastAsia="仿宋" w:cs="仿宋"/>
          <w:b w:val="0"/>
          <w:bCs w:val="0"/>
          <w:sz w:val="30"/>
          <w:szCs w:val="30"/>
          <w:lang w:val="en-US" w:eastAsia="zh-CN"/>
        </w:rPr>
        <w:t>49.45</w:t>
      </w:r>
      <w:r>
        <w:rPr>
          <w:rFonts w:hint="eastAsia" w:ascii="仿宋" w:hAnsi="仿宋" w:eastAsia="仿宋" w:cs="仿宋"/>
          <w:b w:val="0"/>
          <w:bCs w:val="0"/>
          <w:sz w:val="30"/>
          <w:szCs w:val="30"/>
        </w:rPr>
        <w:t>万元，占基本支出的</w:t>
      </w:r>
      <w:r>
        <w:rPr>
          <w:rFonts w:hint="eastAsia" w:ascii="仿宋" w:hAnsi="仿宋" w:eastAsia="仿宋" w:cs="仿宋"/>
          <w:b w:val="0"/>
          <w:bCs w:val="0"/>
          <w:sz w:val="30"/>
          <w:szCs w:val="30"/>
          <w:lang w:val="en-US" w:eastAsia="zh-CN"/>
        </w:rPr>
        <w:t>20.35</w:t>
      </w:r>
      <w:r>
        <w:rPr>
          <w:rFonts w:hint="eastAsia" w:ascii="仿宋" w:hAnsi="仿宋" w:eastAsia="仿宋" w:cs="仿宋"/>
          <w:b w:val="0"/>
          <w:bCs w:val="0"/>
          <w:sz w:val="30"/>
          <w:szCs w:val="30"/>
        </w:rPr>
        <w:t>%，主要包括办公费、印刷费、水费、电费、邮电费、物业管理费、差旅费、培训费、公务接待费、劳务费、委托业务费、工会经费、福利费、其他交通费用、其他商品和服务支出。</w:t>
      </w:r>
    </w:p>
    <w:p>
      <w:pPr>
        <w:pStyle w:val="5"/>
        <w:keepNext w:val="0"/>
        <w:keepLines w:val="0"/>
        <w:pageBreakBefore w:val="0"/>
        <w:widowControl/>
        <w:kinsoku/>
        <w:wordWrap/>
        <w:overflowPunct/>
        <w:topLinePunct w:val="0"/>
        <w:autoSpaceDE/>
        <w:autoSpaceDN/>
        <w:bidi w:val="0"/>
        <w:adjustRightInd/>
        <w:snapToGrid/>
        <w:spacing w:line="500" w:lineRule="exact"/>
        <w:ind w:left="0" w:leftChars="0" w:firstLine="602" w:firstLineChars="200"/>
        <w:jc w:val="both"/>
        <w:textAlignment w:val="auto"/>
        <w:rPr>
          <w:rFonts w:hint="eastAsia" w:ascii="仿宋" w:hAnsi="仿宋" w:eastAsia="仿宋" w:cs="仿宋"/>
          <w:sz w:val="30"/>
          <w:szCs w:val="30"/>
        </w:rPr>
      </w:pPr>
      <w:r>
        <w:rPr>
          <w:rFonts w:hint="eastAsia" w:ascii="仿宋" w:hAnsi="仿宋" w:eastAsia="仿宋" w:cs="仿宋"/>
          <w:b/>
          <w:bCs/>
          <w:sz w:val="30"/>
          <w:szCs w:val="30"/>
        </w:rPr>
        <w:t>（二）项目支出情况</w:t>
      </w:r>
    </w:p>
    <w:p>
      <w:pPr>
        <w:widowControl/>
        <w:shd w:val="clear" w:color="auto" w:fill="FFFFFF"/>
        <w:spacing w:after="225" w:line="480" w:lineRule="atLeast"/>
        <w:ind w:firstLine="640" w:firstLineChars="200"/>
        <w:jc w:val="left"/>
        <w:rPr>
          <w:rFonts w:hint="eastAsia" w:ascii="仿宋" w:hAnsi="仿宋" w:eastAsia="仿宋" w:cs="仿宋"/>
          <w:color w:val="3D3D3D"/>
          <w:sz w:val="32"/>
          <w:szCs w:val="32"/>
        </w:rPr>
      </w:pPr>
      <w:r>
        <w:rPr>
          <w:rFonts w:hint="eastAsia" w:ascii="仿宋" w:hAnsi="仿宋" w:eastAsia="仿宋" w:cs="仿宋"/>
          <w:color w:val="3D3D3D"/>
          <w:kern w:val="0"/>
          <w:sz w:val="32"/>
          <w:szCs w:val="32"/>
          <w:shd w:val="clear" w:color="auto" w:fill="FFFFFF"/>
        </w:rPr>
        <w:t>202</w:t>
      </w:r>
      <w:r>
        <w:rPr>
          <w:rFonts w:hint="eastAsia" w:ascii="仿宋" w:hAnsi="仿宋" w:eastAsia="仿宋" w:cs="仿宋"/>
          <w:color w:val="3D3D3D"/>
          <w:kern w:val="0"/>
          <w:sz w:val="32"/>
          <w:szCs w:val="32"/>
          <w:shd w:val="clear" w:color="auto" w:fill="FFFFFF"/>
          <w:lang w:val="en-US" w:eastAsia="zh-CN"/>
        </w:rPr>
        <w:t>3</w:t>
      </w:r>
      <w:r>
        <w:rPr>
          <w:rFonts w:hint="eastAsia" w:ascii="仿宋" w:hAnsi="仿宋" w:eastAsia="仿宋" w:cs="仿宋"/>
          <w:color w:val="3D3D3D"/>
          <w:kern w:val="0"/>
          <w:sz w:val="32"/>
          <w:szCs w:val="32"/>
          <w:shd w:val="clear" w:color="auto" w:fill="FFFFFF"/>
        </w:rPr>
        <w:t>年县科技局专项资金预算下达总计</w:t>
      </w:r>
      <w:r>
        <w:rPr>
          <w:rFonts w:hint="eastAsia" w:ascii="仿宋" w:hAnsi="仿宋" w:eastAsia="仿宋" w:cs="仿宋"/>
          <w:color w:val="3D3D3D"/>
          <w:kern w:val="0"/>
          <w:sz w:val="32"/>
          <w:szCs w:val="32"/>
          <w:shd w:val="clear" w:color="auto" w:fill="FFFFFF"/>
          <w:lang w:val="en-US" w:eastAsia="zh-CN"/>
        </w:rPr>
        <w:t>101</w:t>
      </w:r>
      <w:r>
        <w:rPr>
          <w:rFonts w:hint="eastAsia" w:ascii="仿宋" w:hAnsi="仿宋" w:eastAsia="仿宋" w:cs="仿宋"/>
          <w:color w:val="3D3D3D"/>
          <w:kern w:val="0"/>
          <w:sz w:val="32"/>
          <w:szCs w:val="32"/>
          <w:shd w:val="clear" w:color="auto" w:fill="FFFFFF"/>
        </w:rPr>
        <w:t>万元，其中：</w:t>
      </w:r>
      <w:r>
        <w:rPr>
          <w:rFonts w:hint="eastAsia" w:ascii="仿宋" w:hAnsi="仿宋" w:eastAsia="仿宋" w:cs="仿宋"/>
          <w:color w:val="3D3D3D"/>
          <w:kern w:val="0"/>
          <w:sz w:val="32"/>
          <w:szCs w:val="32"/>
          <w:shd w:val="clear" w:color="auto" w:fill="FFFFFF"/>
          <w:lang w:eastAsia="zh-CN"/>
        </w:rPr>
        <w:t>科技特派员</w:t>
      </w:r>
      <w:r>
        <w:rPr>
          <w:rFonts w:hint="eastAsia" w:ascii="仿宋" w:hAnsi="仿宋" w:eastAsia="仿宋" w:cs="仿宋"/>
          <w:color w:val="3D3D3D"/>
          <w:kern w:val="0"/>
          <w:sz w:val="32"/>
          <w:szCs w:val="32"/>
          <w:shd w:val="clear" w:color="auto" w:fill="FFFFFF"/>
          <w:lang w:val="en-US" w:eastAsia="zh-CN"/>
        </w:rPr>
        <w:t>21万元，</w:t>
      </w:r>
      <w:r>
        <w:rPr>
          <w:rFonts w:hint="eastAsia" w:ascii="仿宋" w:hAnsi="仿宋" w:eastAsia="仿宋" w:cs="仿宋"/>
          <w:color w:val="3D3D3D"/>
          <w:kern w:val="0"/>
          <w:sz w:val="32"/>
          <w:szCs w:val="32"/>
          <w:shd w:val="clear" w:color="auto" w:fill="FFFFFF"/>
        </w:rPr>
        <w:t xml:space="preserve">科技三项费 </w:t>
      </w:r>
      <w:r>
        <w:rPr>
          <w:rFonts w:hint="eastAsia" w:ascii="仿宋" w:hAnsi="仿宋" w:eastAsia="仿宋" w:cs="仿宋"/>
          <w:color w:val="3D3D3D"/>
          <w:kern w:val="0"/>
          <w:sz w:val="32"/>
          <w:szCs w:val="32"/>
          <w:shd w:val="clear" w:color="auto" w:fill="FFFFFF"/>
          <w:lang w:val="en-US" w:eastAsia="zh-CN"/>
        </w:rPr>
        <w:t>80</w:t>
      </w:r>
      <w:r>
        <w:rPr>
          <w:rFonts w:hint="eastAsia" w:ascii="仿宋" w:hAnsi="仿宋" w:eastAsia="仿宋" w:cs="仿宋"/>
          <w:color w:val="3D3D3D"/>
          <w:kern w:val="0"/>
          <w:sz w:val="32"/>
          <w:szCs w:val="32"/>
          <w:shd w:val="clear" w:color="auto" w:fill="FFFFFF"/>
        </w:rPr>
        <w:t>万元。</w:t>
      </w:r>
    </w:p>
    <w:p>
      <w:pPr>
        <w:widowControl/>
        <w:shd w:val="clear" w:color="auto" w:fill="FFFFFF"/>
        <w:spacing w:after="225" w:line="480" w:lineRule="atLeast"/>
        <w:ind w:firstLine="480"/>
        <w:jc w:val="left"/>
        <w:rPr>
          <w:rFonts w:hint="eastAsia" w:ascii="仿宋" w:hAnsi="仿宋" w:eastAsia="仿宋" w:cs="仿宋"/>
          <w:b/>
          <w:bCs/>
          <w:color w:val="3D3D3D"/>
          <w:kern w:val="0"/>
          <w:sz w:val="32"/>
          <w:szCs w:val="32"/>
          <w:shd w:val="clear" w:color="auto" w:fill="FFFFFF"/>
        </w:rPr>
      </w:pPr>
      <w:r>
        <w:rPr>
          <w:rFonts w:hint="eastAsia" w:ascii="仿宋" w:hAnsi="仿宋" w:eastAsia="仿宋" w:cs="仿宋"/>
          <w:b/>
          <w:bCs/>
          <w:color w:val="3D3D3D"/>
          <w:kern w:val="0"/>
          <w:sz w:val="32"/>
          <w:szCs w:val="32"/>
          <w:shd w:val="clear" w:color="auto" w:fill="FFFFFF"/>
        </w:rPr>
        <w:t>三、政府性基金预算支出情况</w:t>
      </w:r>
    </w:p>
    <w:p>
      <w:pPr>
        <w:widowControl/>
        <w:shd w:val="clear" w:color="auto" w:fill="FFFFFF"/>
        <w:spacing w:after="225" w:line="480" w:lineRule="atLeast"/>
        <w:ind w:firstLine="480"/>
        <w:jc w:val="left"/>
        <w:rPr>
          <w:rFonts w:hint="eastAsia" w:ascii="仿宋" w:hAnsi="仿宋" w:eastAsia="仿宋" w:cs="仿宋"/>
          <w:color w:val="3D3D3D"/>
          <w:kern w:val="0"/>
          <w:sz w:val="32"/>
          <w:szCs w:val="32"/>
          <w:shd w:val="clear" w:color="auto" w:fill="FFFFFF"/>
        </w:rPr>
      </w:pPr>
      <w:r>
        <w:rPr>
          <w:rFonts w:hint="eastAsia" w:ascii="仿宋" w:hAnsi="仿宋" w:eastAsia="仿宋" w:cs="仿宋"/>
          <w:color w:val="3D3D3D"/>
          <w:kern w:val="0"/>
          <w:sz w:val="32"/>
          <w:szCs w:val="32"/>
          <w:shd w:val="clear" w:color="auto" w:fill="FFFFFF"/>
        </w:rPr>
        <w:t>202</w:t>
      </w:r>
      <w:r>
        <w:rPr>
          <w:rFonts w:hint="eastAsia" w:ascii="仿宋" w:hAnsi="仿宋" w:eastAsia="仿宋" w:cs="仿宋"/>
          <w:color w:val="3D3D3D"/>
          <w:kern w:val="0"/>
          <w:sz w:val="32"/>
          <w:szCs w:val="32"/>
          <w:shd w:val="clear" w:color="auto" w:fill="FFFFFF"/>
          <w:lang w:val="en-US" w:eastAsia="zh-CN"/>
        </w:rPr>
        <w:t>3</w:t>
      </w:r>
      <w:r>
        <w:rPr>
          <w:rFonts w:hint="eastAsia" w:ascii="仿宋" w:hAnsi="仿宋" w:eastAsia="仿宋" w:cs="仿宋"/>
          <w:color w:val="3D3D3D"/>
          <w:kern w:val="0"/>
          <w:sz w:val="32"/>
          <w:szCs w:val="32"/>
          <w:shd w:val="clear" w:color="auto" w:fill="FFFFFF"/>
        </w:rPr>
        <w:t>年度政府性基金预算财政拨款收入</w:t>
      </w:r>
      <w:r>
        <w:rPr>
          <w:rFonts w:hint="eastAsia" w:ascii="仿宋" w:hAnsi="仿宋" w:eastAsia="仿宋" w:cs="仿宋"/>
          <w:color w:val="3D3D3D"/>
          <w:kern w:val="0"/>
          <w:sz w:val="32"/>
          <w:szCs w:val="32"/>
          <w:shd w:val="clear" w:color="auto" w:fill="FFFFFF"/>
          <w:lang w:val="en-US" w:eastAsia="zh-CN"/>
        </w:rPr>
        <w:t>0</w:t>
      </w:r>
      <w:r>
        <w:rPr>
          <w:rFonts w:hint="eastAsia" w:ascii="仿宋" w:hAnsi="仿宋" w:eastAsia="仿宋" w:cs="仿宋"/>
          <w:color w:val="3D3D3D"/>
          <w:kern w:val="0"/>
          <w:sz w:val="32"/>
          <w:szCs w:val="32"/>
          <w:shd w:val="clear" w:color="auto" w:fill="FFFFFF"/>
        </w:rPr>
        <w:t>万元；年初结转和结余0万元；支出</w:t>
      </w:r>
      <w:r>
        <w:rPr>
          <w:rFonts w:hint="eastAsia" w:ascii="仿宋" w:hAnsi="仿宋" w:eastAsia="仿宋" w:cs="仿宋"/>
          <w:color w:val="3D3D3D"/>
          <w:kern w:val="0"/>
          <w:sz w:val="32"/>
          <w:szCs w:val="32"/>
          <w:shd w:val="clear" w:color="auto" w:fill="FFFFFF"/>
          <w:lang w:val="en-US" w:eastAsia="zh-CN"/>
        </w:rPr>
        <w:t>0</w:t>
      </w:r>
      <w:r>
        <w:rPr>
          <w:rFonts w:hint="eastAsia" w:ascii="仿宋" w:hAnsi="仿宋" w:eastAsia="仿宋" w:cs="仿宋"/>
          <w:color w:val="3D3D3D"/>
          <w:kern w:val="0"/>
          <w:sz w:val="32"/>
          <w:szCs w:val="32"/>
          <w:shd w:val="clear" w:color="auto" w:fill="FFFFFF"/>
        </w:rPr>
        <w:t>万元，其中基本支出</w:t>
      </w:r>
      <w:r>
        <w:rPr>
          <w:rFonts w:hint="eastAsia" w:ascii="仿宋" w:hAnsi="仿宋" w:eastAsia="仿宋" w:cs="仿宋"/>
          <w:color w:val="3D3D3D"/>
          <w:kern w:val="0"/>
          <w:sz w:val="32"/>
          <w:szCs w:val="32"/>
          <w:shd w:val="clear" w:color="auto" w:fill="FFFFFF"/>
          <w:lang w:val="en-US" w:eastAsia="zh-CN"/>
        </w:rPr>
        <w:t>0</w:t>
      </w:r>
      <w:r>
        <w:rPr>
          <w:rFonts w:hint="eastAsia" w:ascii="仿宋" w:hAnsi="仿宋" w:eastAsia="仿宋" w:cs="仿宋"/>
          <w:color w:val="3D3D3D"/>
          <w:kern w:val="0"/>
          <w:sz w:val="32"/>
          <w:szCs w:val="32"/>
          <w:shd w:val="clear" w:color="auto" w:fill="FFFFFF"/>
        </w:rPr>
        <w:t>万元，项目支出0万元；年末结转和结余0万元。</w:t>
      </w:r>
    </w:p>
    <w:p>
      <w:pPr>
        <w:pStyle w:val="5"/>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firstLine="301" w:firstLineChars="100"/>
        <w:jc w:val="both"/>
        <w:textAlignment w:val="auto"/>
        <w:rPr>
          <w:rFonts w:hint="eastAsia" w:ascii="仿宋" w:hAnsi="仿宋" w:eastAsia="仿宋" w:cs="仿宋"/>
          <w:b/>
          <w:bCs/>
          <w:sz w:val="30"/>
          <w:szCs w:val="30"/>
        </w:rPr>
      </w:pPr>
      <w:r>
        <w:rPr>
          <w:rFonts w:hint="eastAsia" w:ascii="仿宋" w:hAnsi="仿宋" w:eastAsia="仿宋" w:cs="仿宋"/>
          <w:b/>
          <w:bCs/>
          <w:sz w:val="30"/>
          <w:szCs w:val="30"/>
          <w:lang w:eastAsia="zh-CN"/>
        </w:rPr>
        <w:t>四、</w:t>
      </w:r>
      <w:r>
        <w:rPr>
          <w:rFonts w:hint="eastAsia" w:ascii="仿宋" w:hAnsi="仿宋" w:eastAsia="仿宋" w:cs="仿宋"/>
          <w:b/>
          <w:bCs/>
          <w:sz w:val="30"/>
          <w:szCs w:val="30"/>
        </w:rPr>
        <w:t>部门整体支出绩效情况</w:t>
      </w:r>
    </w:p>
    <w:p>
      <w:pPr>
        <w:pStyle w:val="6"/>
        <w:keepNext w:val="0"/>
        <w:keepLines w:val="0"/>
        <w:pageBreakBefore w:val="0"/>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我单位按照绩效评价的相关制度规定，认真制定绩效自评方案，根据评价指标体系测算，本单位整体支出总绩效得分为</w:t>
      </w:r>
      <w:r>
        <w:rPr>
          <w:rFonts w:hint="eastAsia" w:ascii="仿宋" w:hAnsi="仿宋" w:eastAsia="仿宋" w:cs="仿宋"/>
          <w:b w:val="0"/>
          <w:bCs w:val="0"/>
          <w:color w:val="auto"/>
          <w:sz w:val="30"/>
          <w:szCs w:val="30"/>
          <w:lang w:val="en-US" w:eastAsia="zh-CN"/>
        </w:rPr>
        <w:t>89</w:t>
      </w:r>
      <w:r>
        <w:rPr>
          <w:rFonts w:hint="eastAsia" w:ascii="仿宋" w:hAnsi="仿宋" w:eastAsia="仿宋" w:cs="仿宋"/>
          <w:color w:val="000000"/>
          <w:sz w:val="30"/>
          <w:szCs w:val="30"/>
        </w:rPr>
        <w:t>分。评价结果等次为“</w:t>
      </w:r>
      <w:r>
        <w:rPr>
          <w:rFonts w:hint="eastAsia" w:ascii="仿宋" w:hAnsi="仿宋" w:eastAsia="仿宋" w:cs="仿宋"/>
          <w:color w:val="000000"/>
          <w:sz w:val="30"/>
          <w:szCs w:val="30"/>
          <w:lang w:eastAsia="zh-CN"/>
        </w:rPr>
        <w:t>良</w:t>
      </w:r>
      <w:r>
        <w:rPr>
          <w:rFonts w:hint="eastAsia" w:ascii="仿宋" w:hAnsi="仿宋" w:eastAsia="仿宋" w:cs="仿宋"/>
          <w:color w:val="000000"/>
          <w:sz w:val="30"/>
          <w:szCs w:val="30"/>
        </w:rPr>
        <w:t>”。</w:t>
      </w:r>
    </w:p>
    <w:p>
      <w:pPr>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500" w:lineRule="exact"/>
        <w:ind w:left="240" w:leftChars="0" w:firstLine="600" w:firstLineChars="0"/>
        <w:jc w:val="both"/>
        <w:textAlignment w:val="auto"/>
        <w:rPr>
          <w:rFonts w:hint="eastAsia" w:ascii="仿宋" w:hAnsi="仿宋" w:eastAsia="仿宋" w:cs="仿宋"/>
          <w:color w:val="000000"/>
          <w:kern w:val="0"/>
          <w:sz w:val="30"/>
          <w:szCs w:val="30"/>
        </w:rPr>
      </w:pPr>
      <w:r>
        <w:rPr>
          <w:rFonts w:hint="eastAsia" w:ascii="仿宋" w:hAnsi="仿宋" w:eastAsia="仿宋" w:cs="仿宋"/>
          <w:b/>
          <w:bCs/>
          <w:kern w:val="2"/>
          <w:sz w:val="30"/>
          <w:szCs w:val="30"/>
          <w:lang w:val="en-US" w:eastAsia="zh-CN" w:bidi="ar-SA"/>
        </w:rPr>
        <w:t>、目标设定、预算配制情况</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color w:val="000000"/>
          <w:kern w:val="0"/>
          <w:sz w:val="30"/>
          <w:szCs w:val="30"/>
          <w:lang w:val="en-US" w:eastAsia="zh-CN" w:bidi="ar-SA"/>
        </w:rPr>
      </w:pPr>
      <w:r>
        <w:rPr>
          <w:rFonts w:hint="eastAsia" w:ascii="仿宋" w:hAnsi="仿宋" w:eastAsia="仿宋" w:cs="仿宋"/>
          <w:color w:val="000000"/>
          <w:kern w:val="0"/>
          <w:sz w:val="30"/>
          <w:szCs w:val="30"/>
          <w:lang w:val="en-US" w:eastAsia="zh-CN" w:bidi="ar-SA"/>
        </w:rPr>
        <w:t>1、</w:t>
      </w:r>
      <w:r>
        <w:rPr>
          <w:rFonts w:hint="eastAsia" w:ascii="仿宋" w:hAnsi="仿宋" w:eastAsia="仿宋" w:cs="仿宋"/>
          <w:b w:val="0"/>
          <w:bCs w:val="0"/>
          <w:i w:val="0"/>
          <w:iCs w:val="0"/>
          <w:color w:val="000000"/>
          <w:kern w:val="0"/>
          <w:sz w:val="30"/>
          <w:szCs w:val="30"/>
          <w:lang w:val="en-US" w:eastAsia="zh-CN" w:bidi="ar-SA"/>
        </w:rPr>
        <w:t>2023年支出绩效目标</w:t>
      </w:r>
      <w:r>
        <w:rPr>
          <w:rFonts w:hint="eastAsia" w:ascii="仿宋" w:hAnsi="仿宋" w:eastAsia="仿宋" w:cs="仿宋"/>
          <w:color w:val="000000"/>
          <w:kern w:val="0"/>
          <w:sz w:val="30"/>
          <w:szCs w:val="30"/>
          <w:lang w:val="en-US" w:eastAsia="zh-CN" w:bidi="ar-SA"/>
        </w:rPr>
        <w:t>设定：1、加强习近平新时代中国特色社会主义思想和党的十九大精神学习，做政治上的明白人。以习近平新时代中国特色社会主义思想为指导，深入贯彻落实党的十九大精神，全力增强抓好机关党建工作和服务县域“双创”工作。争取在科技管理工作中有作为、在落实党建中有力量、在深化自身改革中求突破、在依法行政中贡献科技创新的优质服务。</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color w:val="000000"/>
          <w:kern w:val="0"/>
          <w:sz w:val="30"/>
          <w:szCs w:val="30"/>
          <w:lang w:val="en-US" w:eastAsia="zh-CN" w:bidi="ar-SA"/>
        </w:rPr>
      </w:pPr>
      <w:r>
        <w:rPr>
          <w:rFonts w:hint="eastAsia" w:ascii="仿宋" w:hAnsi="仿宋" w:eastAsia="仿宋" w:cs="仿宋"/>
          <w:color w:val="000000"/>
          <w:kern w:val="0"/>
          <w:sz w:val="30"/>
          <w:szCs w:val="30"/>
          <w:lang w:val="en-US" w:eastAsia="zh-CN" w:bidi="ar-SA"/>
        </w:rPr>
        <w:t>2、以项目的管理和服务为抓手，创新科技发展环境。在省市科技项目的申报上认真吃透项目政策和指南，积极对接上级各个业务部门，以申促建，做实县本级科技项目，坚持科技服务经济，坚持创新创业，按照公平公正公开的原则把项目落细落实落好；指导和协助生态产业园申报省级农业科技园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color w:val="000000"/>
          <w:kern w:val="0"/>
          <w:sz w:val="30"/>
          <w:szCs w:val="30"/>
          <w:lang w:val="en-US" w:eastAsia="zh-CN" w:bidi="ar-SA"/>
        </w:rPr>
      </w:pPr>
      <w:r>
        <w:rPr>
          <w:rFonts w:hint="eastAsia" w:ascii="仿宋" w:hAnsi="仿宋" w:eastAsia="仿宋" w:cs="仿宋"/>
          <w:color w:val="000000"/>
          <w:kern w:val="0"/>
          <w:sz w:val="30"/>
          <w:szCs w:val="30"/>
          <w:lang w:val="en-US" w:eastAsia="zh-CN" w:bidi="ar-SA"/>
        </w:rPr>
        <w:t>3、以平台建设为载体，扎实做好科技人才的服务工作。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color w:val="000000"/>
          <w:kern w:val="0"/>
          <w:sz w:val="30"/>
          <w:szCs w:val="30"/>
          <w:lang w:val="en-US" w:eastAsia="zh-CN" w:bidi="ar-SA"/>
        </w:rPr>
      </w:pPr>
      <w:r>
        <w:rPr>
          <w:rFonts w:hint="eastAsia" w:ascii="仿宋" w:hAnsi="仿宋" w:eastAsia="仿宋" w:cs="仿宋"/>
          <w:color w:val="000000"/>
          <w:kern w:val="0"/>
          <w:sz w:val="30"/>
          <w:szCs w:val="30"/>
          <w:lang w:val="en-US" w:eastAsia="zh-CN" w:bidi="ar-SA"/>
        </w:rPr>
        <w:t>根据科技特派员、“三区”科技人才、县内产学研和科技信息网络工作的实际，规范产学研活动的组织，争取大专院校、科研院所来辰溪设立科教基地，使各级各类科技人才发挥好他们的聪明才智，让我县经济发展真正得到科技创新的实惠。</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color w:val="000000"/>
          <w:kern w:val="0"/>
          <w:sz w:val="30"/>
          <w:szCs w:val="30"/>
          <w:lang w:val="en-US" w:eastAsia="zh-CN" w:bidi="ar-SA"/>
        </w:rPr>
      </w:pPr>
      <w:r>
        <w:rPr>
          <w:rFonts w:hint="eastAsia" w:ascii="仿宋" w:hAnsi="仿宋" w:eastAsia="仿宋" w:cs="仿宋"/>
          <w:color w:val="000000"/>
          <w:kern w:val="0"/>
          <w:sz w:val="30"/>
          <w:szCs w:val="30"/>
          <w:lang w:val="en-US" w:eastAsia="zh-CN" w:bidi="ar-SA"/>
        </w:rPr>
        <w:t>4、以加强机关内部管理为突破口，自觉接受方方面面的领导和监督。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b w:val="0"/>
          <w:bCs w:val="0"/>
          <w:i w:val="0"/>
          <w:iCs w:val="0"/>
          <w:color w:val="000000"/>
          <w:kern w:val="0"/>
          <w:sz w:val="30"/>
          <w:szCs w:val="30"/>
          <w:lang w:val="en-US" w:eastAsia="zh-CN" w:bidi="ar-SA"/>
        </w:rPr>
      </w:pPr>
      <w:r>
        <w:rPr>
          <w:rFonts w:hint="eastAsia" w:ascii="仿宋" w:hAnsi="仿宋" w:eastAsia="仿宋" w:cs="仿宋"/>
          <w:color w:val="000000"/>
          <w:kern w:val="0"/>
          <w:sz w:val="30"/>
          <w:szCs w:val="30"/>
          <w:lang w:val="en-US" w:eastAsia="zh-CN" w:bidi="ar-SA"/>
        </w:rPr>
        <w:t>在脱贫攻坚、文明创建、综治维稳、安全生产、行政执法、计划生育、小康综合绩效考核等各个方面都能尽职尽责。主动向县委、县人大、县政府、县政协和省市科技主管部门汇报工作。主动地接受各个方面的监督。</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color w:val="000000"/>
          <w:kern w:val="0"/>
          <w:sz w:val="30"/>
          <w:szCs w:val="30"/>
          <w:lang w:val="en-US" w:eastAsia="zh-CN" w:bidi="ar-SA"/>
        </w:rPr>
        <w:t>2、2023年</w:t>
      </w:r>
      <w:r>
        <w:rPr>
          <w:rFonts w:hint="eastAsia" w:ascii="仿宋" w:hAnsi="仿宋" w:eastAsia="仿宋" w:cs="仿宋"/>
          <w:color w:val="000000"/>
          <w:kern w:val="0"/>
          <w:sz w:val="30"/>
          <w:szCs w:val="30"/>
        </w:rPr>
        <w:t>预算配制情况</w:t>
      </w:r>
      <w:r>
        <w:rPr>
          <w:rFonts w:hint="eastAsia" w:ascii="仿宋" w:hAnsi="仿宋" w:eastAsia="仿宋" w:cs="仿宋"/>
          <w:color w:val="000000"/>
          <w:sz w:val="30"/>
          <w:szCs w:val="30"/>
        </w:rPr>
        <w:t>20</w:t>
      </w:r>
      <w:r>
        <w:rPr>
          <w:rFonts w:hint="eastAsia" w:ascii="仿宋" w:hAnsi="仿宋" w:eastAsia="仿宋" w:cs="仿宋"/>
          <w:color w:val="000000"/>
          <w:sz w:val="30"/>
          <w:szCs w:val="30"/>
          <w:lang w:val="en-US" w:eastAsia="zh-CN"/>
        </w:rPr>
        <w:t>23</w:t>
      </w:r>
      <w:r>
        <w:rPr>
          <w:rFonts w:hint="eastAsia" w:ascii="仿宋" w:hAnsi="仿宋" w:eastAsia="仿宋" w:cs="仿宋"/>
          <w:color w:val="000000"/>
          <w:sz w:val="30"/>
          <w:szCs w:val="30"/>
        </w:rPr>
        <w:t>年在职人员控制率和“三公经费”变动率都</w:t>
      </w:r>
      <w:r>
        <w:rPr>
          <w:rFonts w:hint="eastAsia" w:ascii="仿宋" w:hAnsi="仿宋" w:eastAsia="仿宋" w:cs="仿宋"/>
          <w:color w:val="000000"/>
          <w:sz w:val="30"/>
          <w:szCs w:val="30"/>
          <w:lang w:eastAsia="zh-CN"/>
        </w:rPr>
        <w:t>严格按规定执行。</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firstLine="602" w:firstLineChars="200"/>
        <w:jc w:val="both"/>
        <w:textAlignment w:val="auto"/>
        <w:rPr>
          <w:rFonts w:hint="eastAsia" w:ascii="仿宋" w:hAnsi="仿宋" w:eastAsia="仿宋" w:cs="仿宋"/>
          <w:color w:val="000000"/>
          <w:kern w:val="0"/>
          <w:sz w:val="30"/>
          <w:szCs w:val="30"/>
        </w:rPr>
      </w:pPr>
      <w:r>
        <w:rPr>
          <w:rFonts w:hint="eastAsia" w:ascii="仿宋" w:hAnsi="仿宋" w:eastAsia="仿宋" w:cs="仿宋"/>
          <w:b/>
          <w:bCs/>
          <w:kern w:val="2"/>
          <w:sz w:val="30"/>
          <w:szCs w:val="30"/>
          <w:lang w:val="en-US" w:eastAsia="zh-CN" w:bidi="ar-SA"/>
        </w:rPr>
        <w:t>（二）、部门预算执行过程</w:t>
      </w:r>
    </w:p>
    <w:p>
      <w:pPr>
        <w:pStyle w:val="6"/>
        <w:keepNext w:val="0"/>
        <w:keepLines w:val="0"/>
        <w:pageBreakBefore w:val="0"/>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b w:val="0"/>
          <w:bCs w:val="0"/>
          <w:i w:val="0"/>
          <w:iCs w:val="0"/>
          <w:color w:val="000000"/>
          <w:kern w:val="0"/>
          <w:sz w:val="30"/>
          <w:szCs w:val="30"/>
          <w:lang w:val="en-US" w:eastAsia="zh-CN" w:bidi="ar-SA"/>
        </w:rPr>
      </w:pPr>
      <w:r>
        <w:rPr>
          <w:rFonts w:hint="eastAsia" w:ascii="仿宋" w:hAnsi="仿宋" w:eastAsia="仿宋" w:cs="仿宋"/>
          <w:color w:val="000000"/>
          <w:sz w:val="30"/>
          <w:szCs w:val="30"/>
          <w:lang w:val="en-US" w:eastAsia="zh-CN"/>
        </w:rPr>
        <w:t>1、</w:t>
      </w:r>
      <w:r>
        <w:rPr>
          <w:rFonts w:hint="eastAsia" w:ascii="仿宋" w:hAnsi="仿宋" w:eastAsia="仿宋" w:cs="仿宋"/>
          <w:color w:val="000000"/>
          <w:kern w:val="0"/>
          <w:sz w:val="30"/>
          <w:szCs w:val="30"/>
        </w:rPr>
        <w:t>预算执行</w:t>
      </w:r>
    </w:p>
    <w:p>
      <w:pPr>
        <w:pStyle w:val="6"/>
        <w:keepNext w:val="0"/>
        <w:keepLines w:val="0"/>
        <w:pageBreakBefore w:val="0"/>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w:t>
      </w:r>
      <w:r>
        <w:rPr>
          <w:rFonts w:hint="eastAsia" w:ascii="仿宋" w:hAnsi="仿宋" w:eastAsia="仿宋" w:cs="仿宋"/>
          <w:color w:val="000000"/>
          <w:kern w:val="0"/>
          <w:sz w:val="30"/>
          <w:szCs w:val="30"/>
        </w:rPr>
        <w:t>部门预算管理情况</w:t>
      </w:r>
    </w:p>
    <w:p>
      <w:pPr>
        <w:pStyle w:val="6"/>
        <w:keepNext w:val="0"/>
        <w:keepLines w:val="0"/>
        <w:pageBreakBefore w:val="0"/>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lang w:eastAsia="zh-CN"/>
        </w:rPr>
        <w:t>本部门</w:t>
      </w:r>
      <w:r>
        <w:rPr>
          <w:rFonts w:hint="eastAsia" w:ascii="仿宋" w:hAnsi="仿宋" w:eastAsia="仿宋" w:cs="仿宋"/>
          <w:color w:val="000000"/>
          <w:sz w:val="30"/>
          <w:szCs w:val="30"/>
        </w:rPr>
        <w:t>管理制度健全性方面有</w:t>
      </w:r>
      <w:r>
        <w:rPr>
          <w:rFonts w:hint="eastAsia" w:ascii="仿宋" w:hAnsi="仿宋" w:eastAsia="仿宋" w:cs="仿宋"/>
          <w:color w:val="000000"/>
          <w:sz w:val="30"/>
          <w:szCs w:val="30"/>
          <w:lang w:eastAsia="zh-CN"/>
        </w:rPr>
        <w:t>财政部门管理制度、</w:t>
      </w:r>
      <w:r>
        <w:rPr>
          <w:rFonts w:hint="eastAsia" w:ascii="仿宋" w:hAnsi="仿宋" w:eastAsia="仿宋" w:cs="仿宋"/>
          <w:color w:val="000000"/>
          <w:sz w:val="30"/>
          <w:szCs w:val="30"/>
        </w:rPr>
        <w:t>单位财务管理制度等有关制度、</w:t>
      </w:r>
      <w:r>
        <w:rPr>
          <w:rFonts w:hint="eastAsia" w:ascii="仿宋" w:hAnsi="仿宋" w:eastAsia="仿宋" w:cs="仿宋"/>
          <w:color w:val="000000"/>
          <w:sz w:val="30"/>
          <w:szCs w:val="30"/>
          <w:lang w:eastAsia="zh-CN"/>
        </w:rPr>
        <w:t>相关</w:t>
      </w:r>
      <w:r>
        <w:rPr>
          <w:rFonts w:hint="eastAsia" w:ascii="仿宋" w:hAnsi="仿宋" w:eastAsia="仿宋" w:cs="仿宋"/>
          <w:color w:val="000000"/>
          <w:sz w:val="30"/>
          <w:szCs w:val="30"/>
        </w:rPr>
        <w:t>制度得到有效执行</w:t>
      </w:r>
      <w:r>
        <w:rPr>
          <w:rFonts w:hint="eastAsia" w:ascii="仿宋" w:hAnsi="仿宋" w:eastAsia="仿宋" w:cs="仿宋"/>
          <w:color w:val="000000"/>
          <w:sz w:val="30"/>
          <w:szCs w:val="30"/>
          <w:lang w:eastAsia="zh-CN"/>
        </w:rPr>
        <w:t>，资金使用合规，按要求按时预决算信息公开。</w:t>
      </w:r>
      <w:r>
        <w:rPr>
          <w:rFonts w:hint="eastAsia" w:ascii="仿宋" w:hAnsi="仿宋" w:eastAsia="仿宋" w:cs="仿宋"/>
          <w:color w:val="000000"/>
          <w:sz w:val="30"/>
          <w:szCs w:val="30"/>
        </w:rPr>
        <w:t>根据评分标准，该项指标</w:t>
      </w:r>
      <w:r>
        <w:rPr>
          <w:rFonts w:hint="eastAsia" w:ascii="仿宋" w:hAnsi="仿宋" w:eastAsia="仿宋" w:cs="仿宋"/>
          <w:color w:val="000000"/>
          <w:sz w:val="30"/>
          <w:szCs w:val="30"/>
          <w:lang w:val="en-US" w:eastAsia="zh-CN"/>
        </w:rPr>
        <w:t>为满分</w:t>
      </w:r>
      <w:r>
        <w:rPr>
          <w:rFonts w:hint="eastAsia" w:ascii="仿宋" w:hAnsi="仿宋" w:eastAsia="仿宋" w:cs="仿宋"/>
          <w:color w:val="000000"/>
          <w:sz w:val="30"/>
          <w:szCs w:val="30"/>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3、</w:t>
      </w:r>
      <w:r>
        <w:rPr>
          <w:rFonts w:hint="eastAsia" w:ascii="仿宋" w:hAnsi="仿宋" w:eastAsia="仿宋" w:cs="仿宋"/>
          <w:color w:val="000000"/>
          <w:kern w:val="0"/>
          <w:sz w:val="30"/>
          <w:szCs w:val="30"/>
        </w:rPr>
        <w:t>部门</w:t>
      </w:r>
      <w:r>
        <w:rPr>
          <w:rFonts w:hint="eastAsia" w:ascii="仿宋" w:hAnsi="仿宋" w:eastAsia="仿宋" w:cs="仿宋"/>
          <w:color w:val="000000"/>
          <w:kern w:val="0"/>
          <w:sz w:val="30"/>
          <w:szCs w:val="30"/>
          <w:lang w:eastAsia="zh-CN"/>
        </w:rPr>
        <w:t>资产</w:t>
      </w:r>
      <w:r>
        <w:rPr>
          <w:rFonts w:hint="eastAsia" w:ascii="仿宋" w:hAnsi="仿宋" w:eastAsia="仿宋" w:cs="仿宋"/>
          <w:color w:val="000000"/>
          <w:kern w:val="0"/>
          <w:sz w:val="30"/>
          <w:szCs w:val="30"/>
        </w:rPr>
        <w:t>管理情况</w:t>
      </w:r>
    </w:p>
    <w:p>
      <w:pPr>
        <w:pStyle w:val="6"/>
        <w:keepNext w:val="0"/>
        <w:keepLines w:val="0"/>
        <w:pageBreakBefore w:val="0"/>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lang w:eastAsia="zh-CN"/>
        </w:rPr>
        <w:t>本部门建有资产</w:t>
      </w:r>
      <w:r>
        <w:rPr>
          <w:rFonts w:hint="eastAsia" w:ascii="仿宋" w:hAnsi="仿宋" w:eastAsia="仿宋" w:cs="仿宋"/>
          <w:color w:val="000000"/>
          <w:sz w:val="30"/>
          <w:szCs w:val="30"/>
        </w:rPr>
        <w:t>管理制度健全</w:t>
      </w:r>
      <w:r>
        <w:rPr>
          <w:rFonts w:hint="eastAsia" w:ascii="仿宋" w:hAnsi="仿宋" w:eastAsia="仿宋" w:cs="仿宋"/>
          <w:color w:val="000000"/>
          <w:sz w:val="30"/>
          <w:szCs w:val="30"/>
          <w:lang w:eastAsia="zh-CN"/>
        </w:rPr>
        <w:t>，专人</w:t>
      </w:r>
      <w:r>
        <w:rPr>
          <w:rFonts w:hint="eastAsia" w:ascii="仿宋" w:hAnsi="仿宋" w:eastAsia="仿宋" w:cs="仿宋"/>
          <w:color w:val="000000"/>
          <w:sz w:val="30"/>
          <w:szCs w:val="30"/>
        </w:rPr>
        <w:t>管理、</w:t>
      </w:r>
      <w:r>
        <w:rPr>
          <w:rFonts w:hint="eastAsia" w:ascii="仿宋" w:hAnsi="仿宋" w:eastAsia="仿宋" w:cs="仿宋"/>
          <w:color w:val="000000"/>
          <w:sz w:val="30"/>
          <w:szCs w:val="30"/>
          <w:lang w:eastAsia="zh-CN"/>
        </w:rPr>
        <w:t>部门资产使用</w:t>
      </w:r>
      <w:r>
        <w:rPr>
          <w:rFonts w:hint="eastAsia" w:ascii="仿宋" w:hAnsi="仿宋" w:eastAsia="仿宋" w:cs="仿宋"/>
          <w:color w:val="000000"/>
          <w:sz w:val="30"/>
          <w:szCs w:val="30"/>
        </w:rPr>
        <w:t>规范</w:t>
      </w:r>
      <w:r>
        <w:rPr>
          <w:rFonts w:hint="eastAsia" w:ascii="仿宋" w:hAnsi="仿宋" w:eastAsia="仿宋" w:cs="仿宋"/>
          <w:color w:val="000000"/>
          <w:sz w:val="30"/>
          <w:szCs w:val="30"/>
          <w:lang w:eastAsia="zh-CN"/>
        </w:rPr>
        <w:t>、配置合理，处置规范。</w:t>
      </w:r>
      <w:r>
        <w:rPr>
          <w:rFonts w:hint="eastAsia" w:ascii="仿宋" w:hAnsi="仿宋" w:eastAsia="仿宋" w:cs="仿宋"/>
          <w:color w:val="000000"/>
          <w:sz w:val="30"/>
          <w:szCs w:val="30"/>
        </w:rPr>
        <w:t>根据评分标准，该项指标</w:t>
      </w:r>
      <w:r>
        <w:rPr>
          <w:rFonts w:hint="eastAsia" w:ascii="仿宋" w:hAnsi="仿宋" w:eastAsia="仿宋" w:cs="仿宋"/>
          <w:color w:val="000000"/>
          <w:sz w:val="30"/>
          <w:szCs w:val="30"/>
          <w:lang w:val="en-US" w:eastAsia="zh-CN"/>
        </w:rPr>
        <w:t>为满分</w:t>
      </w:r>
      <w:r>
        <w:rPr>
          <w:rFonts w:hint="eastAsia" w:ascii="仿宋" w:hAnsi="仿宋" w:eastAsia="仿宋" w:cs="仿宋"/>
          <w:color w:val="000000"/>
          <w:sz w:val="30"/>
          <w:szCs w:val="30"/>
        </w:rPr>
        <w:t>。</w:t>
      </w:r>
    </w:p>
    <w:p>
      <w:pPr>
        <w:pStyle w:val="6"/>
        <w:keepNext w:val="0"/>
        <w:keepLines w:val="0"/>
        <w:pageBreakBefore w:val="0"/>
        <w:numPr>
          <w:numId w:val="0"/>
        </w:numPr>
        <w:kinsoku/>
        <w:wordWrap/>
        <w:overflowPunct/>
        <w:topLinePunct w:val="0"/>
        <w:autoSpaceDE/>
        <w:autoSpaceDN/>
        <w:bidi w:val="0"/>
        <w:adjustRightInd/>
        <w:snapToGrid/>
        <w:spacing w:line="500" w:lineRule="exact"/>
        <w:ind w:left="420" w:leftChars="0"/>
        <w:jc w:val="both"/>
        <w:textAlignment w:val="auto"/>
        <w:rPr>
          <w:rFonts w:hint="eastAsia" w:ascii="仿宋" w:hAnsi="仿宋" w:eastAsia="仿宋" w:cs="仿宋"/>
          <w:b/>
          <w:bCs/>
          <w:color w:val="000000"/>
          <w:sz w:val="30"/>
          <w:szCs w:val="30"/>
          <w:lang w:eastAsia="zh-CN"/>
        </w:rPr>
      </w:pPr>
      <w:r>
        <w:rPr>
          <w:rFonts w:hint="eastAsia" w:ascii="仿宋" w:hAnsi="仿宋" w:eastAsia="仿宋" w:cs="仿宋"/>
          <w:b/>
          <w:bCs/>
          <w:color w:val="000000"/>
          <w:sz w:val="30"/>
          <w:szCs w:val="30"/>
          <w:lang w:eastAsia="zh-CN"/>
        </w:rPr>
        <w:t>（三）、部门职责履行</w:t>
      </w:r>
    </w:p>
    <w:p>
      <w:pPr>
        <w:pStyle w:val="6"/>
        <w:keepNext w:val="0"/>
        <w:keepLines w:val="0"/>
        <w:pageBreakBefore w:val="0"/>
        <w:numPr>
          <w:numId w:val="0"/>
        </w:numPr>
        <w:kinsoku/>
        <w:wordWrap/>
        <w:overflowPunct/>
        <w:topLinePunct w:val="0"/>
        <w:autoSpaceDE/>
        <w:autoSpaceDN/>
        <w:bidi w:val="0"/>
        <w:adjustRightInd/>
        <w:snapToGrid/>
        <w:spacing w:line="500" w:lineRule="exact"/>
        <w:ind w:leftChars="200"/>
        <w:jc w:val="both"/>
        <w:textAlignment w:val="auto"/>
        <w:rPr>
          <w:rFonts w:hint="default" w:ascii="仿宋" w:hAnsi="仿宋" w:eastAsia="仿宋" w:cs="仿宋"/>
          <w:color w:val="000000"/>
          <w:sz w:val="30"/>
          <w:szCs w:val="30"/>
          <w:lang w:val="en-US" w:eastAsia="zh-CN"/>
        </w:rPr>
      </w:pPr>
      <w:r>
        <w:rPr>
          <w:rFonts w:hint="eastAsia" w:ascii="仿宋" w:hAnsi="仿宋" w:eastAsia="仿宋" w:cs="仿宋"/>
          <w:color w:val="000000"/>
          <w:sz w:val="30"/>
          <w:szCs w:val="30"/>
          <w:lang w:val="en-US" w:eastAsia="zh-CN"/>
        </w:rPr>
        <w:t>1.通过严格执行制定的精细化管理细则，截止2023年底累计完成高新技术企业认定38家，全社会研发经费投入4.49亿，研发强度达3.2%。</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00" w:lineRule="exact"/>
        <w:ind w:left="0" w:leftChars="0" w:firstLine="602" w:firstLineChars="200"/>
        <w:jc w:val="both"/>
        <w:textAlignment w:val="auto"/>
        <w:rPr>
          <w:rFonts w:hint="eastAsia" w:ascii="仿宋" w:hAnsi="仿宋" w:eastAsia="仿宋" w:cs="仿宋"/>
          <w:color w:val="000000"/>
          <w:kern w:val="0"/>
          <w:sz w:val="30"/>
          <w:szCs w:val="30"/>
        </w:rPr>
      </w:pPr>
      <w:r>
        <w:rPr>
          <w:rFonts w:hint="eastAsia" w:ascii="仿宋" w:hAnsi="仿宋" w:eastAsia="仿宋" w:cs="仿宋"/>
          <w:b/>
          <w:bCs/>
          <w:kern w:val="2"/>
          <w:sz w:val="30"/>
          <w:szCs w:val="30"/>
          <w:lang w:val="en-US" w:eastAsia="zh-CN" w:bidi="ar-SA"/>
        </w:rPr>
        <w:t>（四</w:t>
      </w:r>
      <w:bookmarkStart w:id="0" w:name="_GoBack"/>
      <w:bookmarkEnd w:id="0"/>
      <w:r>
        <w:rPr>
          <w:rFonts w:hint="eastAsia" w:ascii="仿宋" w:hAnsi="仿宋" w:eastAsia="仿宋" w:cs="仿宋"/>
          <w:b/>
          <w:bCs/>
          <w:kern w:val="2"/>
          <w:sz w:val="30"/>
          <w:szCs w:val="30"/>
          <w:lang w:val="en-US" w:eastAsia="zh-CN" w:bidi="ar-SA"/>
        </w:rPr>
        <w:t>）、履职效益情况</w:t>
      </w:r>
    </w:p>
    <w:p>
      <w:pPr>
        <w:pStyle w:val="6"/>
        <w:keepNext w:val="0"/>
        <w:keepLines w:val="0"/>
        <w:pageBreakBefore w:val="0"/>
        <w:kinsoku/>
        <w:wordWrap/>
        <w:overflowPunct/>
        <w:topLinePunct w:val="0"/>
        <w:autoSpaceDE/>
        <w:autoSpaceDN/>
        <w:bidi w:val="0"/>
        <w:adjustRightInd/>
        <w:snapToGrid/>
        <w:spacing w:line="500" w:lineRule="exact"/>
        <w:ind w:left="0" w:leftChars="0" w:firstLine="602" w:firstLineChars="200"/>
        <w:jc w:val="both"/>
        <w:textAlignment w:val="auto"/>
        <w:rPr>
          <w:rFonts w:hint="eastAsia" w:ascii="仿宋" w:hAnsi="仿宋" w:eastAsia="仿宋" w:cs="仿宋"/>
          <w:color w:val="000000"/>
          <w:sz w:val="30"/>
          <w:szCs w:val="30"/>
        </w:rPr>
      </w:pPr>
      <w:r>
        <w:rPr>
          <w:rFonts w:hint="eastAsia" w:ascii="仿宋" w:hAnsi="仿宋" w:eastAsia="仿宋" w:cs="仿宋"/>
          <w:b/>
          <w:color w:val="000000"/>
          <w:kern w:val="0"/>
          <w:sz w:val="30"/>
          <w:szCs w:val="30"/>
          <w:lang w:val="en-US" w:eastAsia="zh-CN"/>
        </w:rPr>
        <w:t>1、</w:t>
      </w:r>
      <w:r>
        <w:rPr>
          <w:rFonts w:hint="eastAsia" w:ascii="仿宋" w:hAnsi="仿宋" w:eastAsia="仿宋" w:cs="仿宋"/>
          <w:b/>
          <w:color w:val="000000"/>
          <w:kern w:val="0"/>
          <w:sz w:val="30"/>
          <w:szCs w:val="30"/>
        </w:rPr>
        <w:t>经济效益</w:t>
      </w:r>
      <w:r>
        <w:rPr>
          <w:rFonts w:hint="eastAsia" w:ascii="仿宋" w:hAnsi="仿宋" w:eastAsia="仿宋" w:cs="仿宋"/>
          <w:b/>
          <w:color w:val="000000"/>
          <w:kern w:val="0"/>
          <w:sz w:val="30"/>
          <w:szCs w:val="30"/>
          <w:lang w:eastAsia="zh-CN"/>
        </w:rPr>
        <w:t>：</w:t>
      </w:r>
      <w:r>
        <w:rPr>
          <w:rFonts w:hint="eastAsia" w:ascii="仿宋" w:hAnsi="仿宋" w:eastAsia="仿宋" w:cs="仿宋"/>
          <w:color w:val="000000"/>
          <w:sz w:val="30"/>
          <w:szCs w:val="30"/>
        </w:rPr>
        <w:t>通过不断改善</w:t>
      </w:r>
      <w:r>
        <w:rPr>
          <w:rFonts w:hint="eastAsia" w:ascii="仿宋" w:hAnsi="仿宋" w:eastAsia="仿宋" w:cs="仿宋"/>
          <w:color w:val="000000"/>
          <w:sz w:val="30"/>
          <w:szCs w:val="30"/>
          <w:lang w:eastAsia="zh-CN"/>
        </w:rPr>
        <w:t>并</w:t>
      </w:r>
      <w:r>
        <w:rPr>
          <w:rFonts w:hint="eastAsia" w:ascii="仿宋" w:hAnsi="仿宋" w:eastAsia="仿宋" w:cs="仿宋"/>
          <w:color w:val="000000"/>
          <w:sz w:val="30"/>
          <w:szCs w:val="30"/>
        </w:rPr>
        <w:t>加强制度体系建设，严格资产管理和经费使用，</w:t>
      </w:r>
      <w:r>
        <w:rPr>
          <w:rFonts w:hint="eastAsia" w:ascii="仿宋" w:hAnsi="仿宋" w:eastAsia="仿宋" w:cs="仿宋"/>
          <w:color w:val="000000"/>
          <w:sz w:val="30"/>
          <w:szCs w:val="30"/>
          <w:lang w:eastAsia="zh-CN"/>
        </w:rPr>
        <w:t>提高资金使用</w:t>
      </w:r>
      <w:r>
        <w:rPr>
          <w:rFonts w:hint="eastAsia" w:ascii="仿宋" w:hAnsi="仿宋" w:eastAsia="仿宋" w:cs="仿宋"/>
          <w:color w:val="000000"/>
          <w:sz w:val="30"/>
          <w:szCs w:val="30"/>
        </w:rPr>
        <w:t>效率，成本进一步降低。</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firstLine="602" w:firstLineChars="200"/>
        <w:jc w:val="both"/>
        <w:textAlignment w:val="auto"/>
        <w:rPr>
          <w:rFonts w:hint="eastAsia" w:ascii="仿宋" w:hAnsi="仿宋" w:eastAsia="仿宋" w:cs="仿宋"/>
          <w:color w:val="000000"/>
          <w:kern w:val="0"/>
          <w:sz w:val="30"/>
          <w:szCs w:val="30"/>
        </w:rPr>
      </w:pPr>
      <w:r>
        <w:rPr>
          <w:rFonts w:hint="eastAsia" w:ascii="仿宋" w:hAnsi="仿宋" w:eastAsia="仿宋" w:cs="仿宋"/>
          <w:b/>
          <w:color w:val="000000"/>
          <w:kern w:val="0"/>
          <w:sz w:val="30"/>
          <w:szCs w:val="30"/>
          <w:lang w:val="en-US" w:eastAsia="zh-CN"/>
        </w:rPr>
        <w:t>2、社会效应</w:t>
      </w:r>
      <w:r>
        <w:rPr>
          <w:rFonts w:hint="eastAsia" w:ascii="仿宋" w:hAnsi="仿宋" w:eastAsia="仿宋" w:cs="仿宋"/>
          <w:b/>
          <w:color w:val="000000"/>
          <w:kern w:val="0"/>
          <w:sz w:val="30"/>
          <w:szCs w:val="30"/>
          <w:lang w:eastAsia="zh-CN"/>
        </w:rPr>
        <w:t>：</w:t>
      </w:r>
      <w:r>
        <w:rPr>
          <w:rFonts w:hint="eastAsia" w:ascii="仿宋" w:hAnsi="仿宋" w:eastAsia="仿宋" w:cs="仿宋"/>
          <w:color w:val="000000"/>
          <w:kern w:val="0"/>
          <w:sz w:val="30"/>
          <w:szCs w:val="30"/>
          <w:lang w:eastAsia="zh-CN"/>
        </w:rPr>
        <w:t>把握科技发展的新形势,及时掌握科技动态,立足于掌握竞争信息的主动权,为企业发展提供指导、帮助和服务,效益明显。</w:t>
      </w:r>
      <w:r>
        <w:rPr>
          <w:rFonts w:hint="eastAsia" w:ascii="仿宋" w:hAnsi="仿宋" w:eastAsia="仿宋" w:cs="仿宋"/>
          <w:color w:val="000000"/>
          <w:kern w:val="0"/>
          <w:sz w:val="30"/>
          <w:szCs w:val="30"/>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firstLine="602" w:firstLineChars="200"/>
        <w:jc w:val="both"/>
        <w:textAlignment w:val="auto"/>
        <w:rPr>
          <w:rFonts w:hint="eastAsia" w:ascii="仿宋" w:hAnsi="仿宋" w:eastAsia="仿宋" w:cs="仿宋"/>
          <w:color w:val="000000"/>
          <w:kern w:val="0"/>
          <w:sz w:val="30"/>
          <w:szCs w:val="30"/>
          <w:lang w:val="en-US" w:eastAsia="zh-CN"/>
        </w:rPr>
      </w:pPr>
      <w:r>
        <w:rPr>
          <w:rFonts w:hint="eastAsia" w:ascii="仿宋" w:hAnsi="仿宋" w:eastAsia="仿宋" w:cs="仿宋"/>
          <w:b/>
          <w:color w:val="000000"/>
          <w:kern w:val="0"/>
          <w:sz w:val="30"/>
          <w:szCs w:val="30"/>
          <w:lang w:val="en-US" w:eastAsia="zh-CN"/>
        </w:rPr>
        <w:t>3、生态效应：</w:t>
      </w:r>
      <w:r>
        <w:rPr>
          <w:rFonts w:hint="eastAsia" w:ascii="仿宋" w:hAnsi="仿宋" w:eastAsia="仿宋" w:cs="仿宋"/>
          <w:color w:val="000000"/>
          <w:kern w:val="0"/>
          <w:sz w:val="30"/>
          <w:szCs w:val="30"/>
          <w:lang w:val="en-US" w:eastAsia="zh-CN"/>
        </w:rPr>
        <w:t>环境效益:所指导服务的企业、产业实现低碳、环保、绿色、安全发展等达标。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2" w:firstLineChars="200"/>
        <w:jc w:val="both"/>
        <w:textAlignment w:val="auto"/>
        <w:rPr>
          <w:rFonts w:hint="default" w:ascii="仿宋" w:hAnsi="仿宋" w:eastAsia="仿宋" w:cs="仿宋"/>
          <w:sz w:val="30"/>
          <w:szCs w:val="30"/>
          <w:lang w:val="en-US" w:eastAsia="zh-CN"/>
        </w:rPr>
      </w:pPr>
      <w:r>
        <w:rPr>
          <w:rFonts w:hint="eastAsia" w:ascii="仿宋" w:hAnsi="仿宋" w:eastAsia="仿宋" w:cs="仿宋"/>
          <w:b/>
          <w:color w:val="000000"/>
          <w:kern w:val="0"/>
          <w:sz w:val="30"/>
          <w:szCs w:val="30"/>
          <w:lang w:val="en-US" w:eastAsia="zh-CN"/>
        </w:rPr>
        <w:t>4、</w:t>
      </w:r>
      <w:r>
        <w:rPr>
          <w:rFonts w:hint="eastAsia" w:ascii="仿宋" w:hAnsi="仿宋" w:eastAsia="仿宋" w:cs="仿宋"/>
          <w:b/>
          <w:color w:val="000000"/>
          <w:kern w:val="0"/>
          <w:sz w:val="30"/>
          <w:szCs w:val="30"/>
        </w:rPr>
        <w:t>社会公众</w:t>
      </w:r>
      <w:r>
        <w:rPr>
          <w:rFonts w:hint="eastAsia" w:ascii="仿宋" w:hAnsi="仿宋" w:eastAsia="仿宋" w:cs="仿宋"/>
          <w:b/>
          <w:color w:val="000000"/>
          <w:kern w:val="0"/>
          <w:sz w:val="30"/>
          <w:szCs w:val="30"/>
          <w:lang w:eastAsia="zh-CN"/>
        </w:rPr>
        <w:t>或服务对象</w:t>
      </w:r>
      <w:r>
        <w:rPr>
          <w:rFonts w:hint="eastAsia" w:ascii="仿宋" w:hAnsi="仿宋" w:eastAsia="仿宋" w:cs="仿宋"/>
          <w:b/>
          <w:color w:val="000000"/>
          <w:kern w:val="0"/>
          <w:sz w:val="30"/>
          <w:szCs w:val="30"/>
        </w:rPr>
        <w:t>满意度</w:t>
      </w:r>
      <w:r>
        <w:rPr>
          <w:rFonts w:hint="eastAsia" w:ascii="仿宋" w:hAnsi="仿宋" w:eastAsia="仿宋" w:cs="仿宋"/>
          <w:b/>
          <w:color w:val="000000"/>
          <w:kern w:val="0"/>
          <w:sz w:val="30"/>
          <w:szCs w:val="30"/>
          <w:lang w:eastAsia="zh-CN"/>
        </w:rPr>
        <w:t>：</w:t>
      </w:r>
      <w:r>
        <w:rPr>
          <w:rFonts w:hint="eastAsia" w:ascii="仿宋" w:hAnsi="仿宋" w:eastAsia="仿宋" w:cs="仿宋"/>
          <w:color w:val="000000"/>
          <w:kern w:val="0"/>
          <w:sz w:val="30"/>
          <w:szCs w:val="30"/>
        </w:rPr>
        <w:t>20</w:t>
      </w:r>
      <w:r>
        <w:rPr>
          <w:rFonts w:hint="eastAsia" w:ascii="仿宋" w:hAnsi="仿宋" w:eastAsia="仿宋" w:cs="仿宋"/>
          <w:color w:val="000000"/>
          <w:kern w:val="0"/>
          <w:sz w:val="30"/>
          <w:szCs w:val="30"/>
          <w:lang w:val="en-US" w:eastAsia="zh-CN"/>
        </w:rPr>
        <w:t>23</w:t>
      </w:r>
      <w:r>
        <w:rPr>
          <w:rFonts w:hint="eastAsia" w:ascii="仿宋" w:hAnsi="仿宋" w:eastAsia="仿宋" w:cs="仿宋"/>
          <w:color w:val="000000"/>
          <w:kern w:val="0"/>
          <w:sz w:val="30"/>
          <w:szCs w:val="30"/>
        </w:rPr>
        <w:t>年，</w:t>
      </w:r>
      <w:r>
        <w:rPr>
          <w:rFonts w:hint="eastAsia" w:ascii="仿宋" w:hAnsi="仿宋" w:eastAsia="仿宋" w:cs="仿宋"/>
          <w:color w:val="000000"/>
          <w:sz w:val="30"/>
          <w:szCs w:val="30"/>
        </w:rPr>
        <w:t>通过强化长效管理机制，</w:t>
      </w:r>
      <w:r>
        <w:rPr>
          <w:rFonts w:hint="eastAsia" w:ascii="仿宋" w:hAnsi="仿宋" w:eastAsia="仿宋" w:cs="仿宋"/>
          <w:color w:val="000000"/>
          <w:sz w:val="30"/>
          <w:szCs w:val="30"/>
          <w:lang w:eastAsia="zh-CN"/>
        </w:rPr>
        <w:t>项目</w:t>
      </w:r>
      <w:r>
        <w:rPr>
          <w:rFonts w:hint="eastAsia" w:ascii="仿宋" w:hAnsi="仿宋" w:eastAsia="仿宋" w:cs="仿宋"/>
          <w:color w:val="000000"/>
          <w:sz w:val="30"/>
          <w:szCs w:val="30"/>
        </w:rPr>
        <w:t>制度化，</w:t>
      </w:r>
      <w:r>
        <w:rPr>
          <w:rFonts w:hint="eastAsia" w:ascii="仿宋" w:hAnsi="仿宋" w:eastAsia="仿宋" w:cs="仿宋"/>
          <w:color w:val="000000"/>
          <w:sz w:val="30"/>
          <w:szCs w:val="30"/>
          <w:lang w:eastAsia="zh-CN"/>
        </w:rPr>
        <w:t>虽取得一定成绩，但仍无法满足企业对科技投入的需求，故满意度无法达到</w:t>
      </w:r>
      <w:r>
        <w:rPr>
          <w:rFonts w:hint="eastAsia" w:ascii="仿宋" w:hAnsi="仿宋" w:eastAsia="仿宋" w:cs="仿宋"/>
          <w:color w:val="000000"/>
          <w:sz w:val="30"/>
          <w:szCs w:val="30"/>
          <w:lang w:val="en-US" w:eastAsia="zh-CN"/>
        </w:rPr>
        <w:t>100%。</w:t>
      </w:r>
    </w:p>
    <w:p>
      <w:pPr>
        <w:pStyle w:val="5"/>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lang w:eastAsia="zh-CN"/>
        </w:rPr>
        <w:t>五、</w:t>
      </w:r>
      <w:r>
        <w:rPr>
          <w:rFonts w:hint="eastAsia" w:ascii="仿宋" w:hAnsi="仿宋" w:eastAsia="仿宋" w:cs="仿宋"/>
          <w:b/>
          <w:bCs/>
          <w:sz w:val="30"/>
          <w:szCs w:val="30"/>
        </w:rPr>
        <w:t>存在的问题及原因分析</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（一）、</w:t>
      </w:r>
      <w:r>
        <w:rPr>
          <w:rFonts w:hint="eastAsia" w:ascii="仿宋" w:hAnsi="仿宋" w:eastAsia="仿宋" w:cs="仿宋"/>
          <w:sz w:val="30"/>
          <w:szCs w:val="30"/>
        </w:rPr>
        <w:t>预算编制工作有待细化。预算编制不够明确和细化，预算编制的合理性需要提高，预算执行力度还要进一步加强。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（二）、</w:t>
      </w:r>
      <w:r>
        <w:rPr>
          <w:rFonts w:hint="eastAsia" w:ascii="仿宋" w:hAnsi="仿宋" w:eastAsia="仿宋" w:cs="仿宋"/>
          <w:sz w:val="30"/>
          <w:szCs w:val="30"/>
        </w:rPr>
        <w:t>绩效目标设立不够</w:t>
      </w:r>
      <w:r>
        <w:rPr>
          <w:rFonts w:hint="eastAsia" w:ascii="仿宋" w:hAnsi="仿宋" w:eastAsia="仿宋" w:cs="仿宋"/>
          <w:sz w:val="30"/>
          <w:szCs w:val="30"/>
          <w:lang w:val="en-US" w:eastAsia="zh-CN"/>
        </w:rPr>
        <w:t>完善</w:t>
      </w:r>
      <w:r>
        <w:rPr>
          <w:rFonts w:hint="eastAsia" w:ascii="仿宋" w:hAnsi="仿宋" w:eastAsia="仿宋" w:cs="仿宋"/>
          <w:sz w:val="30"/>
          <w:szCs w:val="30"/>
        </w:rPr>
        <w:t>、</w:t>
      </w:r>
      <w:r>
        <w:rPr>
          <w:rFonts w:hint="eastAsia" w:ascii="仿宋" w:hAnsi="仿宋" w:eastAsia="仿宋" w:cs="仿宋"/>
          <w:sz w:val="30"/>
          <w:szCs w:val="30"/>
          <w:lang w:eastAsia="zh-CN"/>
        </w:rPr>
        <w:t>待做好</w:t>
      </w:r>
      <w:r>
        <w:rPr>
          <w:rFonts w:hint="eastAsia" w:ascii="仿宋" w:hAnsi="仿宋" w:eastAsia="仿宋" w:cs="仿宋"/>
          <w:sz w:val="30"/>
          <w:szCs w:val="30"/>
        </w:rPr>
        <w:t>细化和量化</w:t>
      </w:r>
      <w:r>
        <w:rPr>
          <w:rFonts w:hint="eastAsia" w:ascii="仿宋" w:hAnsi="仿宋" w:eastAsia="仿宋" w:cs="仿宋"/>
          <w:sz w:val="30"/>
          <w:szCs w:val="30"/>
          <w:lang w:eastAsia="zh-CN"/>
        </w:rPr>
        <w:t>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（三）、</w:t>
      </w:r>
      <w:r>
        <w:rPr>
          <w:rFonts w:hint="eastAsia" w:ascii="仿宋" w:hAnsi="仿宋" w:eastAsia="仿宋" w:cs="仿宋"/>
          <w:sz w:val="30"/>
          <w:szCs w:val="30"/>
        </w:rPr>
        <w:t>公用经费和三公经费控制有一定难度，基本为刚性支出。</w:t>
      </w:r>
    </w:p>
    <w:p>
      <w:pPr>
        <w:pStyle w:val="5"/>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lang w:eastAsia="zh-CN"/>
        </w:rPr>
        <w:t>六、</w:t>
      </w:r>
      <w:r>
        <w:rPr>
          <w:rFonts w:hint="eastAsia" w:ascii="仿宋" w:hAnsi="仿宋" w:eastAsia="仿宋" w:cs="仿宋"/>
          <w:b/>
          <w:bCs/>
          <w:sz w:val="30"/>
          <w:szCs w:val="30"/>
        </w:rPr>
        <w:t>下一步改进措施</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（一）、</w:t>
      </w:r>
      <w:r>
        <w:rPr>
          <w:rFonts w:hint="eastAsia" w:ascii="仿宋" w:hAnsi="仿宋" w:eastAsia="仿宋" w:cs="仿宋"/>
          <w:sz w:val="30"/>
          <w:szCs w:val="30"/>
        </w:rPr>
        <w:t>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二</w:t>
      </w:r>
      <w:r>
        <w:rPr>
          <w:rFonts w:hint="eastAsia" w:ascii="仿宋" w:hAnsi="仿宋" w:eastAsia="仿宋" w:cs="仿宋"/>
          <w:sz w:val="30"/>
          <w:szCs w:val="30"/>
          <w:lang w:eastAsia="zh-CN"/>
        </w:rPr>
        <w:t>）、</w:t>
      </w:r>
      <w:r>
        <w:rPr>
          <w:rFonts w:hint="eastAsia" w:ascii="仿宋" w:hAnsi="仿宋" w:eastAsia="仿宋" w:cs="仿宋"/>
          <w:sz w:val="30"/>
          <w:szCs w:val="30"/>
        </w:rPr>
        <w:t>加强财务管理，严格财务审核。加强单位财务管理，健全单位财务管理制度体系，规范单位财务行为。在费用报账支付时，按照预算规定的费用项目和用途进行资金使用审核、列报支付、财务核算，杜绝超支现象的发生。</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（三）、</w:t>
      </w:r>
      <w:r>
        <w:rPr>
          <w:rFonts w:hint="eastAsia" w:ascii="仿宋" w:hAnsi="仿宋" w:eastAsia="仿宋" w:cs="仿宋"/>
          <w:sz w:val="30"/>
          <w:szCs w:val="30"/>
        </w:rPr>
        <w:t>完善资产管理，抓好“三公”经费控制。严格编制政府采购年初预算和计划，规范各类资产的购置审批制度、资产出租出借和收入管理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4、对相关人员加强培训，特别是针对《预算法》《行政事业单位会计制度》等学习培训，规范部门预算收支核算，切实提高部门预算收支管理水平。</w:t>
      </w:r>
    </w:p>
    <w:p>
      <w:pPr>
        <w:pStyle w:val="5"/>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lang w:eastAsia="zh-CN"/>
        </w:rPr>
        <w:t>七、</w:t>
      </w:r>
      <w:r>
        <w:rPr>
          <w:rFonts w:hint="eastAsia" w:ascii="仿宋" w:hAnsi="仿宋" w:eastAsia="仿宋" w:cs="仿宋"/>
          <w:b/>
          <w:bCs/>
          <w:sz w:val="30"/>
          <w:szCs w:val="30"/>
        </w:rPr>
        <w:t>其他需要说明的情况</w:t>
      </w:r>
    </w:p>
    <w:p>
      <w:pPr>
        <w:keepNext w:val="0"/>
        <w:keepLines w:val="0"/>
        <w:pageBreakBefore w:val="0"/>
        <w:numPr>
          <w:ilvl w:val="0"/>
          <w:numId w:val="0"/>
        </w:numPr>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无</w:t>
      </w:r>
    </w:p>
    <w:p>
      <w:pPr>
        <w:keepNext w:val="0"/>
        <w:keepLines w:val="0"/>
        <w:pageBreakBefore w:val="0"/>
        <w:widowControl/>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sz w:val="30"/>
          <w:szCs w:val="30"/>
          <w:lang w:eastAsia="zh-CN"/>
        </w:rPr>
      </w:pPr>
    </w:p>
    <w:p>
      <w:pPr>
        <w:keepNext w:val="0"/>
        <w:keepLines w:val="0"/>
        <w:pageBreakBefore w:val="0"/>
        <w:widowControl/>
        <w:kinsoku/>
        <w:wordWrap/>
        <w:overflowPunct/>
        <w:topLinePunct w:val="0"/>
        <w:autoSpaceDE/>
        <w:autoSpaceDN/>
        <w:bidi w:val="0"/>
        <w:adjustRightInd/>
        <w:snapToGrid/>
        <w:spacing w:line="500" w:lineRule="exact"/>
        <w:ind w:firstLine="5100" w:firstLineChars="1700"/>
        <w:jc w:val="both"/>
        <w:textAlignment w:val="auto"/>
        <w:rPr>
          <w:rFonts w:hint="eastAsia" w:ascii="仿宋" w:hAnsi="仿宋" w:eastAsia="仿宋" w:cs="仿宋"/>
          <w:sz w:val="30"/>
          <w:szCs w:val="30"/>
          <w:lang w:eastAsia="zh-CN"/>
        </w:rPr>
      </w:pPr>
      <w:r>
        <w:rPr>
          <w:rFonts w:hint="eastAsia" w:ascii="仿宋" w:hAnsi="仿宋" w:eastAsia="仿宋" w:cs="仿宋"/>
          <w:sz w:val="30"/>
          <w:szCs w:val="30"/>
          <w:lang w:eastAsia="zh-CN"/>
        </w:rPr>
        <w:t>辰溪县科学技术局</w:t>
      </w:r>
    </w:p>
    <w:p>
      <w:pPr>
        <w:keepNext w:val="0"/>
        <w:keepLines w:val="0"/>
        <w:pageBreakBefore w:val="0"/>
        <w:widowControl/>
        <w:kinsoku/>
        <w:wordWrap/>
        <w:overflowPunct/>
        <w:topLinePunct w:val="0"/>
        <w:autoSpaceDE/>
        <w:autoSpaceDN/>
        <w:bidi w:val="0"/>
        <w:adjustRightInd/>
        <w:snapToGrid/>
        <w:spacing w:line="500" w:lineRule="exact"/>
        <w:ind w:firstLine="5100" w:firstLineChars="17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2023年4月12日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0DD43A"/>
    <w:multiLevelType w:val="singleLevel"/>
    <w:tmpl w:val="0C0DD43A"/>
    <w:lvl w:ilvl="0" w:tentative="0">
      <w:start w:val="1"/>
      <w:numFmt w:val="chineseCounting"/>
      <w:suff w:val="nothing"/>
      <w:lvlText w:val="（%1）"/>
      <w:lvlJc w:val="left"/>
      <w:pPr>
        <w:ind w:left="340"/>
      </w:pPr>
      <w:rPr>
        <w:rFonts w:hint="eastAsia"/>
      </w:rPr>
    </w:lvl>
  </w:abstractNum>
  <w:abstractNum w:abstractNumId="1">
    <w:nsid w:val="1B9E3271"/>
    <w:multiLevelType w:val="singleLevel"/>
    <w:tmpl w:val="1B9E3271"/>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4MDY3Yzk0MzA0ZmY0ZWVlZTM2ODczZTAyNTM1Y2YifQ=="/>
    <w:docVar w:name="KSO_WPS_MARK_KEY" w:val="c256c6b3-8f97-4bfa-90df-2f4ff1be6bbe"/>
  </w:docVars>
  <w:rsids>
    <w:rsidRoot w:val="00000000"/>
    <w:rsid w:val="0C5F06E6"/>
    <w:rsid w:val="19EE520A"/>
    <w:rsid w:val="1C636DD9"/>
    <w:rsid w:val="1CDEB96E"/>
    <w:rsid w:val="2DA30082"/>
    <w:rsid w:val="34546415"/>
    <w:rsid w:val="41341D99"/>
    <w:rsid w:val="5CB60520"/>
    <w:rsid w:val="60B47972"/>
    <w:rsid w:val="6AA01F70"/>
    <w:rsid w:val="6F7C4FDF"/>
    <w:rsid w:val="77E36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kern w:val="0"/>
      <w:sz w:val="24"/>
      <w:lang w:val="en-US" w:eastAsia="zh-CN" w:bidi="ar"/>
    </w:rPr>
  </w:style>
  <w:style w:type="paragraph" w:styleId="5">
    <w:name w:val="List Paragraph"/>
    <w:basedOn w:val="1"/>
    <w:qFormat/>
    <w:uiPriority w:val="99"/>
    <w:pPr>
      <w:ind w:firstLine="420" w:firstLineChars="200"/>
    </w:pPr>
    <w:rPr>
      <w:rFonts w:ascii="Calibri" w:hAnsi="Calibri"/>
      <w:szCs w:val="22"/>
    </w:rPr>
  </w:style>
  <w:style w:type="paragraph" w:customStyle="1" w:styleId="6">
    <w:name w:val="p48"/>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3426</Words>
  <Characters>3501</Characters>
  <Lines>0</Lines>
  <Paragraphs>0</Paragraphs>
  <TotalTime>18</TotalTime>
  <ScaleCrop>false</ScaleCrop>
  <LinksUpToDate>false</LinksUpToDate>
  <CharactersWithSpaces>3507</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2022-04-01T23:22:00Z</dcterms:created>
  <dc:creator>Administrator</dc:creator>
  <cp:lastModifiedBy>KT002</cp:lastModifiedBy>
  <dcterms:modified xsi:type="dcterms:W3CDTF">2024-09-26T17:23:51Z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E99190C80D4B492D955973398E3A77DD</vt:lpwstr>
  </property>
</Properties>
</file>