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sz w:val="44"/>
          <w:szCs w:val="44"/>
        </w:rPr>
      </w:pPr>
      <w:r>
        <w:rPr>
          <w:rFonts w:hint="eastAsia" w:ascii="黑体" w:hAnsi="黑体" w:eastAsia="黑体" w:cs="黑体"/>
          <w:b/>
          <w:bCs w:val="0"/>
          <w:sz w:val="44"/>
          <w:szCs w:val="44"/>
        </w:rPr>
        <w:t>202</w:t>
      </w:r>
      <w:r>
        <w:rPr>
          <w:rFonts w:hint="eastAsia" w:ascii="黑体" w:hAnsi="黑体" w:eastAsia="黑体" w:cs="黑体"/>
          <w:b/>
          <w:bCs w:val="0"/>
          <w:sz w:val="44"/>
          <w:szCs w:val="44"/>
          <w:lang w:val="en-US" w:eastAsia="zh-CN"/>
        </w:rPr>
        <w:t>2</w:t>
      </w:r>
      <w:r>
        <w:rPr>
          <w:rFonts w:hint="eastAsia" w:ascii="黑体" w:hAnsi="黑体" w:eastAsia="黑体" w:cs="黑体"/>
          <w:b/>
          <w:bCs w:val="0"/>
          <w:sz w:val="44"/>
          <w:szCs w:val="44"/>
        </w:rPr>
        <w:t>年辰溪县</w:t>
      </w:r>
      <w:r>
        <w:rPr>
          <w:rFonts w:hint="eastAsia" w:ascii="黑体" w:hAnsi="黑体" w:eastAsia="黑体" w:cs="黑体"/>
          <w:b/>
          <w:bCs w:val="0"/>
          <w:sz w:val="44"/>
          <w:szCs w:val="44"/>
          <w:lang w:eastAsia="zh-CN"/>
        </w:rPr>
        <w:t>农业农村局</w:t>
      </w:r>
      <w:r>
        <w:rPr>
          <w:rFonts w:hint="eastAsia" w:ascii="黑体" w:hAnsi="黑体" w:eastAsia="黑体" w:cs="黑体"/>
          <w:b/>
          <w:bCs w:val="0"/>
          <w:sz w:val="44"/>
          <w:szCs w:val="44"/>
        </w:rPr>
        <w:t>部门整体</w:t>
      </w:r>
    </w:p>
    <w:p>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kern w:val="0"/>
          <w:sz w:val="44"/>
          <w:szCs w:val="44"/>
        </w:rPr>
      </w:pPr>
      <w:r>
        <w:rPr>
          <w:rFonts w:hint="eastAsia" w:ascii="黑体" w:hAnsi="黑体" w:eastAsia="黑体" w:cs="黑体"/>
          <w:b/>
          <w:bCs w:val="0"/>
          <w:sz w:val="44"/>
          <w:szCs w:val="44"/>
        </w:rPr>
        <w:t>支</w:t>
      </w:r>
      <w:r>
        <w:rPr>
          <w:rFonts w:hint="eastAsia" w:ascii="黑体" w:hAnsi="黑体" w:eastAsia="黑体" w:cs="黑体"/>
          <w:b/>
          <w:bCs w:val="0"/>
          <w:sz w:val="44"/>
          <w:szCs w:val="44"/>
          <w:lang w:eastAsia="zh-CN"/>
        </w:rPr>
        <w:t>出</w:t>
      </w:r>
      <w:r>
        <w:rPr>
          <w:rFonts w:hint="eastAsia" w:ascii="黑体" w:hAnsi="黑体" w:eastAsia="黑体" w:cs="黑体"/>
          <w:b/>
          <w:bCs w:val="0"/>
          <w:kern w:val="0"/>
          <w:sz w:val="44"/>
          <w:szCs w:val="44"/>
        </w:rPr>
        <w:t>绩效评价报告</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30" w:leftChars="0" w:firstLine="883" w:firstLineChars="200"/>
        <w:jc w:val="both"/>
        <w:textAlignment w:val="auto"/>
        <w:rPr>
          <w:rFonts w:hint="eastAsia" w:ascii="黑体" w:hAnsi="黑体" w:eastAsia="黑体" w:cs="黑体"/>
          <w:b/>
          <w:bCs/>
          <w:sz w:val="44"/>
          <w:szCs w:val="44"/>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200"/>
        <w:jc w:val="both"/>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一、部门概况</w:t>
      </w:r>
    </w:p>
    <w:p>
      <w:pPr>
        <w:pStyle w:val="2"/>
        <w:keepNext w:val="0"/>
        <w:keepLines w:val="0"/>
        <w:pageBreakBefore w:val="0"/>
        <w:numPr>
          <w:ilvl w:val="0"/>
          <w:numId w:val="0"/>
        </w:numPr>
        <w:kinsoku/>
        <w:wordWrap/>
        <w:overflowPunct/>
        <w:topLinePunct w:val="0"/>
        <w:autoSpaceDE/>
        <w:autoSpaceDN/>
        <w:bidi w:val="0"/>
        <w:ind w:left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（一）部门基本情况</w:t>
      </w:r>
    </w:p>
    <w:p>
      <w:pPr>
        <w:pStyle w:val="3"/>
        <w:keepNext w:val="0"/>
        <w:keepLines w:val="0"/>
        <w:pageBreakBefore w:val="0"/>
        <w:numPr>
          <w:ilvl w:val="0"/>
          <w:numId w:val="0"/>
        </w:numPr>
        <w:kinsoku/>
        <w:wordWrap/>
        <w:overflowPunct/>
        <w:topLinePunct w:val="0"/>
        <w:autoSpaceDE/>
        <w:autoSpaceDN/>
        <w:bidi w:val="0"/>
        <w:ind w:left="305"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1、在职人员情况：辰溪县农业村局2022年末，在职人员138人，其中行政人员33人，全额事业人员100人，自收自支人员5人。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 xml:space="preserve">   2、 机构设置：</w:t>
      </w:r>
      <w:r>
        <w:rPr>
          <w:rFonts w:hint="eastAsia" w:ascii="仿宋" w:hAnsi="仿宋" w:eastAsia="仿宋" w:cs="仿宋"/>
          <w:spacing w:val="-6"/>
          <w:sz w:val="32"/>
          <w:szCs w:val="32"/>
          <w:lang w:eastAsia="zh-CN"/>
        </w:rPr>
        <w:t>辰溪县农业农村局作为一级部门预算单位，内设科室为：</w:t>
      </w:r>
      <w:r>
        <w:rPr>
          <w:rFonts w:hint="eastAsia" w:ascii="仿宋" w:hAnsi="仿宋" w:eastAsia="仿宋" w:cs="仿宋"/>
          <w:b w:val="0"/>
          <w:bCs w:val="0"/>
          <w:sz w:val="32"/>
          <w:szCs w:val="32"/>
          <w:lang w:val="en-US" w:eastAsia="zh-CN"/>
        </w:rPr>
        <w:t>办公室（人事财务股）、改革与发展规划股、乡村产业发展股、农村社会事业促进股、科技教育股、法规与农产品质量安全监管股、农业综合管理股、农业资源保护与农田建设股。</w:t>
      </w:r>
    </w:p>
    <w:p>
      <w:pPr>
        <w:pStyle w:val="2"/>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3、主要职能</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⑴筹研究和组织实施“三农”工作的发展中长期规划、重大政策。指导农业综合执法。参与涉农的价格、收储、金融保险、进出口等政策制定。</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⑵统筹推动发展农村社会事业、农村公共服务、农村文化、农村基础设施和乡村治理。牵头组织改善农村人居环境。指导农村精神文明和优秀农耕文化建设。指导农业行业安全生产工作。</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⑶研究提出深化农村经济体制改革和巩固完善农村基本经营制度的政策建议。负责农民承包地、农村宅基地改革和管理有关工作。负责农村集体产权制度改革，指导农村集体经济组织发展和集体资产管理工作。指导农民合作经济组织、农业社会化服务体系、新型农业经营主体建设与发展。</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⑷指导乡村特色产业、农产品加工业、休闲农业和乡镇企业发展工作。提出促进大宗农产品流通的建议，培育、保护农业品牌。统计综合农业农村经济信息，监测分析农业农村经济运行。承担农业统计和农业农村信息化有关工作。</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⑸负责种植业、畜牧业、渔业、农垦、农业机械化等农业各产业的监督管理。指导粮食等农产品生产。组织构建现代农业产业体系、生产体系、经营体系，指导农业标准化生产。负责渔政监督管理。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⑹负责农产品质量安全监督管理。组织开展农产品质量安全监测、追溯、风险评估，统计综合农产品质量安全有关信息。贯彻执行农产品质量安全国家和省级标准，参与制定农产品质量安全地方标准并会同有关部门组织实施。指导农业检验检测体系建设。</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⑺组织农业资源区划工作。指导农用地、渔业水域以及农业生物物种资源的保护与管理，负责水生野生动植物保护、耕地及永久基本农田质量保护工作。指导农产品产地环境管理和农业清洁生产。指导设施农业、生态循环农业、节水农业发展以及农村可再生能源综合开发利用、农业生物质产业发展。牵头管理外来物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⑻负责有关农业生产资料和农业投入品的监督管理。组织农业生产资料市场体系建设。贯彻执行农业生产资料、兽药质量、兽药残留限量和残留检测方法国家标准并监督实施、组织兽医医政、兽药药政药检工作，负责执业兽医和畜禽屠宰行业管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⑼负责农业减灾、农作物重大病虫害防控和动植物重大疫病防治工作。指导动植物防疫检疫体系建设，组织、监督县内动植物防疫检疫工作，协助发布并组织扑灭疫情。</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⑽负责农业投资管理。编制农业投资项目建设规划，提出农业投资规模和方向、扶持农业农村发展财政项目的建议，按规定权限审批农业投资项目，负责农业投资项目资金安排和监督管理。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⑾推动农业科技体制改革和农业科技创新体系建设。指导农业产业技术体系和农技推广体系建设，参与开展农业领域的高新技术和应用技术研究、科技成果转化和技术推广。负责农业转基因生物安全监督管理和农业植物新品种保护。</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⑿指导农业农村人才工作。拟订农业农村人才队伍建设规划并组织实施，指导农业教育和农业职业技能开发，指导新型职业农民培育、农业科技人才培养和农村实用人才培训工作。</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⒀组织参与农业对外合作工作。承办有关农业涉外事务，组织开展农业贸易促进和有关对外交流合作，具体执行有关农业援外项目。</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⒁贯彻执行上级有关农业综合开发的方针政策，提出农田建设项目需求建议，承担耕地质量管理相关工作，开展永久基本农田保护。承担农业综合开发项目、农田整治项目、农田水利建设项目管理工作。</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⒂完成县委、县政府及农村工作领导小组交办的其他任务。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4、重点工作计划</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lang w:eastAsia="zh-CN"/>
        </w:rPr>
        <w:t>⑴</w:t>
      </w:r>
      <w:r>
        <w:rPr>
          <w:rFonts w:hint="eastAsia" w:ascii="仿宋_GB2312" w:hAnsi="仿宋_GB2312" w:eastAsia="仿宋_GB2312" w:cs="仿宋_GB2312"/>
          <w:b/>
          <w:bCs/>
          <w:sz w:val="32"/>
          <w:szCs w:val="32"/>
        </w:rPr>
        <w:t>坚决扛牢粮食安全政治责任</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坚持稳字当头、稳中求进，不断夯实三农“压舱石”，围绕“国之大者”抓主抓重，严格落实粮食安全党政同责要求，实施“藏粮于地，藏粮于技”战略，持续开展耕地荒地治理、挖掘间作套种潜力，多种一亩是一亩，多种一季是一季，挽回一斤是一斤，确保粮食种植面积48.5万亩以上，粮食总产量2</w:t>
      </w:r>
      <w:r>
        <w:rPr>
          <w:rFonts w:hint="eastAsia" w:ascii="仿宋_GB2312" w:hAnsi="仿宋_GB2312" w:eastAsia="仿宋_GB2312" w:cs="仿宋_GB2312"/>
          <w:sz w:val="32"/>
          <w:szCs w:val="32"/>
          <w:lang w:val="en-US" w:eastAsia="zh-CN"/>
        </w:rPr>
        <w:t>0.6</w:t>
      </w:r>
      <w:r>
        <w:rPr>
          <w:rFonts w:hint="eastAsia" w:ascii="仿宋_GB2312" w:hAnsi="仿宋_GB2312" w:eastAsia="仿宋_GB2312" w:cs="仿宋_GB2312"/>
          <w:sz w:val="32"/>
          <w:szCs w:val="32"/>
          <w:lang w:eastAsia="zh-CN"/>
        </w:rPr>
        <w:t>万吨以上。</w:t>
      </w:r>
      <w:r>
        <w:rPr>
          <w:rFonts w:hint="eastAsia" w:ascii="仿宋_GB2312" w:hAnsi="仿宋_GB2312" w:eastAsia="仿宋_GB2312" w:cs="仿宋_GB2312"/>
          <w:sz w:val="32"/>
          <w:szCs w:val="32"/>
        </w:rPr>
        <w:t>积极发展大豆、油菜生产，完成大豆种植面积</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万亩</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，确保油菜种植面积稳定在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30</w:t>
      </w:r>
      <w:r>
        <w:rPr>
          <w:rFonts w:hint="eastAsia" w:ascii="仿宋_GB2312" w:hAnsi="仿宋_GB2312" w:eastAsia="仿宋_GB2312" w:cs="仿宋_GB2312"/>
          <w:color w:val="000000" w:themeColor="text1"/>
          <w:sz w:val="32"/>
          <w:szCs w:val="32"/>
          <w14:textFill>
            <w14:solidFill>
              <w14:schemeClr w14:val="tx1"/>
            </w14:solidFill>
          </w14:textFill>
        </w:rPr>
        <w:t>万</w:t>
      </w:r>
      <w:r>
        <w:rPr>
          <w:rFonts w:hint="eastAsia" w:ascii="仿宋_GB2312" w:hAnsi="仿宋_GB2312" w:eastAsia="仿宋_GB2312" w:cs="仿宋_GB2312"/>
          <w:sz w:val="32"/>
          <w:szCs w:val="32"/>
        </w:rPr>
        <w:t>亩以上。加快推进稻油生产全程机械化，确保水稻、油菜耕种收综合机械化水平均提升1%以上。坚决遏制耕地“非农化”、防止“非粮化”</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lang w:eastAsia="zh-CN"/>
        </w:rPr>
        <w:t>力争全县建成杂交水稻制</w:t>
      </w:r>
      <w:r>
        <w:rPr>
          <w:rFonts w:hint="eastAsia" w:ascii="仿宋_GB2312" w:hAnsi="仿宋_GB2312" w:eastAsia="仿宋_GB2312" w:cs="仿宋_GB2312"/>
          <w:color w:val="auto"/>
          <w:sz w:val="32"/>
          <w:szCs w:val="32"/>
          <w:lang w:eastAsia="zh-CN"/>
        </w:rPr>
        <w:t>种面积</w:t>
      </w:r>
      <w:r>
        <w:rPr>
          <w:rFonts w:hint="eastAsia" w:ascii="仿宋_GB2312" w:hAnsi="仿宋_GB2312" w:eastAsia="仿宋_GB2312" w:cs="仿宋_GB2312"/>
          <w:color w:val="auto"/>
          <w:sz w:val="32"/>
          <w:szCs w:val="32"/>
          <w:lang w:val="en-US" w:eastAsia="zh-CN"/>
        </w:rPr>
        <w:t>0.6万亩，</w:t>
      </w:r>
      <w:r>
        <w:rPr>
          <w:rFonts w:hint="eastAsia" w:ascii="仿宋_GB2312" w:hAnsi="仿宋_GB2312" w:eastAsia="仿宋_GB2312" w:cs="仿宋_GB2312"/>
          <w:color w:val="auto"/>
          <w:sz w:val="32"/>
          <w:szCs w:val="32"/>
        </w:rPr>
        <w:t>新建高标准农田</w:t>
      </w:r>
      <w:r>
        <w:rPr>
          <w:rFonts w:hint="eastAsia" w:ascii="仿宋_GB2312" w:hAnsi="仿宋_GB2312" w:eastAsia="仿宋_GB2312" w:cs="仿宋_GB2312"/>
          <w:color w:val="auto"/>
          <w:sz w:val="32"/>
          <w:szCs w:val="32"/>
          <w:lang w:val="en-US" w:eastAsia="zh-CN"/>
        </w:rPr>
        <w:t>3.22</w:t>
      </w:r>
      <w:r>
        <w:rPr>
          <w:rFonts w:hint="eastAsia" w:ascii="仿宋_GB2312" w:hAnsi="仿宋_GB2312" w:eastAsia="仿宋_GB2312" w:cs="仿宋_GB2312"/>
          <w:color w:val="auto"/>
          <w:sz w:val="32"/>
          <w:szCs w:val="32"/>
        </w:rPr>
        <w:t>万亩。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⑵全面实施乡村振兴。</w:t>
      </w:r>
      <w:r>
        <w:rPr>
          <w:rFonts w:hint="eastAsia" w:ascii="仿宋_GB2312" w:hAnsi="仿宋_GB2312" w:eastAsia="仿宋_GB2312" w:cs="仿宋_GB2312"/>
          <w:sz w:val="32"/>
          <w:szCs w:val="32"/>
        </w:rPr>
        <w:t>全面推进产业、人才、文化、生态、组织“五个振兴”，统筹部署、协同推进，抓住重点、补齐短板</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sz w:val="32"/>
          <w:szCs w:val="32"/>
          <w:lang w:eastAsia="zh-CN"/>
        </w:rPr>
        <w:t>⑶</w:t>
      </w:r>
      <w:r>
        <w:rPr>
          <w:rFonts w:hint="eastAsia" w:ascii="仿宋_GB2312" w:hAnsi="仿宋_GB2312" w:eastAsia="仿宋_GB2312" w:cs="仿宋_GB2312"/>
          <w:b/>
          <w:bCs/>
          <w:sz w:val="32"/>
          <w:szCs w:val="32"/>
          <w:lang w:val="en-US" w:eastAsia="zh-CN"/>
        </w:rPr>
        <w:t>推动农业强县建设。</w:t>
      </w:r>
      <w:r>
        <w:rPr>
          <w:rFonts w:hint="eastAsia" w:ascii="仿宋_GB2312" w:hAnsi="仿宋_GB2312" w:eastAsia="仿宋_GB2312" w:cs="仿宋_GB2312"/>
          <w:b w:val="0"/>
          <w:bCs w:val="0"/>
          <w:sz w:val="32"/>
          <w:szCs w:val="32"/>
          <w:lang w:val="en-US" w:eastAsia="zh-CN"/>
        </w:rPr>
        <w:t>站</w:t>
      </w:r>
      <w:r>
        <w:rPr>
          <w:rFonts w:hint="eastAsia" w:ascii="仿宋_GB2312" w:hAnsi="仿宋_GB2312" w:eastAsia="仿宋_GB2312" w:cs="仿宋_GB2312"/>
          <w:b w:val="0"/>
          <w:bCs w:val="0"/>
          <w:sz w:val="32"/>
          <w:szCs w:val="32"/>
        </w:rPr>
        <w:t>在建设农业强国、农业强省的高度来谋划和推</w:t>
      </w:r>
      <w:r>
        <w:rPr>
          <w:rFonts w:hint="eastAsia" w:ascii="仿宋_GB2312" w:hAnsi="仿宋_GB2312" w:eastAsia="仿宋_GB2312" w:cs="仿宋_GB2312"/>
          <w:b w:val="0"/>
          <w:bCs w:val="0"/>
          <w:sz w:val="32"/>
          <w:szCs w:val="32"/>
          <w:lang w:eastAsia="zh-CN"/>
        </w:rPr>
        <w:t>进我县</w:t>
      </w:r>
      <w:r>
        <w:rPr>
          <w:rFonts w:hint="eastAsia" w:ascii="仿宋_GB2312" w:hAnsi="仿宋_GB2312" w:eastAsia="仿宋_GB2312" w:cs="仿宋_GB2312"/>
          <w:b w:val="0"/>
          <w:bCs w:val="0"/>
          <w:sz w:val="32"/>
          <w:szCs w:val="32"/>
        </w:rPr>
        <w:t>三农工作，坚持把粮食生产作为“三农”工作的首要任务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以新一轮千亿斤粮食产能提升行动为抓手，坚决完成省</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下达的任务指标，全力保持粮食稳产增产好势头；</w:t>
      </w:r>
      <w:r>
        <w:rPr>
          <w:rFonts w:hint="eastAsia" w:ascii="仿宋_GB2312" w:hAnsi="仿宋_GB2312" w:eastAsia="仿宋_GB2312" w:cs="仿宋_GB2312"/>
          <w:sz w:val="32"/>
          <w:szCs w:val="32"/>
          <w:lang w:val="en-US" w:eastAsia="zh-CN"/>
        </w:rPr>
        <w:t>大力发展中药材、柑橘、经作、畜牧产业。</w:t>
      </w:r>
      <w:r>
        <w:rPr>
          <w:rFonts w:hint="eastAsia" w:ascii="仿宋_GB2312" w:hAnsi="仿宋_GB2312" w:eastAsia="仿宋_GB2312" w:cs="仿宋_GB2312"/>
          <w:b/>
          <w:bCs/>
          <w:sz w:val="32"/>
          <w:szCs w:val="32"/>
          <w:lang w:val="en-US" w:eastAsia="zh-CN"/>
        </w:rPr>
        <w:t>进一步提升我县农业科技水平</w:t>
      </w:r>
      <w:r>
        <w:rPr>
          <w:rFonts w:hint="eastAsia" w:ascii="仿宋_GB2312" w:hAnsi="仿宋_GB2312" w:eastAsia="仿宋_GB2312" w:cs="仿宋_GB2312"/>
          <w:sz w:val="32"/>
          <w:szCs w:val="32"/>
          <w:lang w:val="en-US" w:eastAsia="zh-CN"/>
        </w:rPr>
        <w:t>，大力引进农业科技人才，发挥农业科技人员作用，积极培育高素质农民，持续推动智慧农机建设。</w:t>
      </w:r>
      <w:r>
        <w:rPr>
          <w:rFonts w:hint="eastAsia" w:ascii="仿宋_GB2312" w:hAnsi="仿宋_GB2312" w:eastAsia="仿宋_GB2312" w:cs="仿宋_GB2312"/>
          <w:b/>
          <w:bCs/>
          <w:sz w:val="32"/>
          <w:szCs w:val="32"/>
          <w:lang w:eastAsia="zh-CN"/>
        </w:rPr>
        <w:t>积极培育农业经营主体，</w:t>
      </w:r>
      <w:r>
        <w:rPr>
          <w:rFonts w:hint="eastAsia" w:ascii="仿宋_GB2312" w:hAnsi="仿宋_GB2312" w:eastAsia="仿宋_GB2312" w:cs="仿宋_GB2312"/>
          <w:sz w:val="32"/>
          <w:szCs w:val="32"/>
          <w:lang w:eastAsia="zh-CN"/>
        </w:rPr>
        <w:t>力争新申报省级龙头企业1个、市级龙</w:t>
      </w:r>
      <w:r>
        <w:rPr>
          <w:rFonts w:hint="eastAsia" w:ascii="仿宋_GB2312" w:hAnsi="仿宋_GB2312" w:eastAsia="仿宋_GB2312" w:cs="仿宋_GB2312"/>
          <w:sz w:val="32"/>
          <w:szCs w:val="32"/>
        </w:rPr>
        <w:t>头企业</w:t>
      </w:r>
      <w:r>
        <w:rPr>
          <w:rFonts w:hint="eastAsia" w:ascii="仿宋_GB2312" w:hAnsi="仿宋_GB2312" w:eastAsia="仿宋_GB2312" w:cs="仿宋_GB2312"/>
          <w:sz w:val="32"/>
          <w:szCs w:val="32"/>
          <w:lang w:eastAsia="zh-CN"/>
        </w:rPr>
        <w:t>2～3个、</w:t>
      </w:r>
      <w:r>
        <w:rPr>
          <w:rFonts w:hint="eastAsia" w:ascii="仿宋_GB2312" w:hAnsi="仿宋_GB2312" w:eastAsia="仿宋_GB2312" w:cs="仿宋_GB2312"/>
          <w:color w:val="auto"/>
          <w:sz w:val="32"/>
          <w:szCs w:val="32"/>
        </w:rPr>
        <w:t>农民专业合作社</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家以上、家庭农场</w:t>
      </w:r>
      <w:r>
        <w:rPr>
          <w:rFonts w:hint="eastAsia" w:ascii="仿宋_GB2312" w:hAnsi="仿宋_GB2312" w:eastAsia="仿宋_GB2312" w:cs="仿宋_GB2312"/>
          <w:color w:val="auto"/>
          <w:sz w:val="32"/>
          <w:szCs w:val="32"/>
          <w:lang w:val="en-US" w:eastAsia="zh-CN"/>
        </w:rPr>
        <w:t xml:space="preserve">10 </w:t>
      </w:r>
      <w:r>
        <w:rPr>
          <w:rFonts w:hint="eastAsia" w:ascii="仿宋_GB2312" w:hAnsi="仿宋_GB2312" w:eastAsia="仿宋_GB2312" w:cs="仿宋_GB2312"/>
          <w:color w:val="auto"/>
          <w:sz w:val="32"/>
          <w:szCs w:val="32"/>
        </w:rPr>
        <w:t>家以上</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积极培育农业</w:t>
      </w:r>
      <w:r>
        <w:rPr>
          <w:rFonts w:hint="eastAsia" w:ascii="仿宋_GB2312" w:hAnsi="仿宋_GB2312" w:eastAsia="仿宋_GB2312" w:cs="仿宋_GB2312"/>
          <w:sz w:val="32"/>
          <w:szCs w:val="32"/>
        </w:rPr>
        <w:t>产业强镇、特色农业小镇。</w:t>
      </w:r>
      <w:r>
        <w:rPr>
          <w:rFonts w:hint="eastAsia" w:ascii="仿宋_GB2312" w:hAnsi="仿宋_GB2312" w:eastAsia="仿宋_GB2312" w:cs="仿宋_GB2312"/>
          <w:b/>
          <w:bCs/>
          <w:sz w:val="32"/>
          <w:szCs w:val="32"/>
          <w:lang w:eastAsia="zh-CN"/>
        </w:rPr>
        <w:t>继续推进“治违禁、控药残、促提升”三年行动</w:t>
      </w:r>
      <w:r>
        <w:rPr>
          <w:rFonts w:hint="eastAsia" w:ascii="仿宋_GB2312" w:hAnsi="仿宋_GB2312" w:eastAsia="仿宋_GB2312" w:cs="仿宋_GB2312"/>
          <w:sz w:val="32"/>
          <w:szCs w:val="32"/>
          <w:lang w:eastAsia="zh-CN"/>
        </w:rPr>
        <w:t>，全面推进农业标准化生产，持续推进承诺达标合格证管理制度，加大品牌创建力度，进一步完善和推动网格化管理工作，加强监管能力建设，检测中心争取通过双认证，省级安全县创建成功，强化监管，加大抽样检测力度，确保农产品质量安全水平稳步提升，合格率保持98%以上，全年农产品质量安全事件0发生。</w:t>
      </w:r>
      <w:r>
        <w:rPr>
          <w:rFonts w:hint="eastAsia" w:ascii="仿宋_GB2312" w:hAnsi="仿宋_GB2312" w:eastAsia="仿宋_GB2312" w:cs="仿宋_GB2312"/>
          <w:b/>
          <w:bCs/>
          <w:sz w:val="32"/>
          <w:szCs w:val="32"/>
          <w:lang w:val="en-US" w:eastAsia="zh-CN"/>
        </w:rPr>
        <w:t>继续加强农民负担监管工作</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lang w:val="en-US" w:eastAsia="zh-CN"/>
        </w:rPr>
        <w:t>加强对各项惠农补贴政策落实情况的监督检查，加强对涉农乱收费乱摊派的专项整治，规范一事一议筹资筹劳财政奖补，构建农民负担监督管理长效机制，不断巩固农民负担监管工作成效。</w:t>
      </w:r>
      <w:r>
        <w:rPr>
          <w:rFonts w:hint="eastAsia" w:ascii="仿宋_GB2312" w:hAnsi="仿宋_GB2312" w:eastAsia="仿宋_GB2312" w:cs="仿宋_GB2312"/>
          <w:b/>
          <w:bCs/>
          <w:sz w:val="32"/>
          <w:szCs w:val="32"/>
          <w:lang w:val="en-US" w:eastAsia="zh-CN"/>
        </w:rPr>
        <w:t>认真完成土地确权颁证后续各项工作，</w:t>
      </w:r>
      <w:r>
        <w:rPr>
          <w:rFonts w:hint="eastAsia" w:ascii="仿宋_GB2312" w:hAnsi="仿宋_GB2312" w:eastAsia="仿宋_GB2312" w:cs="仿宋_GB2312"/>
          <w:sz w:val="32"/>
          <w:szCs w:val="32"/>
          <w:lang w:val="en-US" w:eastAsia="zh-CN"/>
        </w:rPr>
        <w:t>按要求完成全县农村土地确权登记颁证档案入馆及纠错工作，实现农村土地确权登记颁证信息平台的运行。依托县农村产权交易平台规范土地流转、盘活农村资产资源；积极发展壮大村集体经济。扎实做好承包期再延长30年的各项工作，确保大多数农户原有承包权保持稳定、顺利延包。</w:t>
      </w:r>
      <w:r>
        <w:rPr>
          <w:rFonts w:hint="eastAsia" w:ascii="仿宋_GB2312" w:hAnsi="仿宋_GB2312" w:eastAsia="仿宋_GB2312" w:cs="仿宋_GB2312"/>
          <w:b/>
          <w:bCs/>
          <w:sz w:val="32"/>
          <w:szCs w:val="32"/>
          <w:lang w:val="en-US" w:eastAsia="zh-CN"/>
        </w:rPr>
        <w:t>加强新型农业经营主体规范管理，</w:t>
      </w:r>
      <w:r>
        <w:rPr>
          <w:rFonts w:hint="eastAsia" w:ascii="仿宋_GB2312" w:hAnsi="仿宋_GB2312" w:eastAsia="仿宋_GB2312" w:cs="仿宋_GB2312"/>
          <w:sz w:val="32"/>
          <w:szCs w:val="32"/>
          <w:lang w:val="en-US" w:eastAsia="zh-CN"/>
        </w:rPr>
        <w:t>组织全县开展农民专业合作社、家庭农场等新型经营主体的业务培训，对合作社、家庭农场实行分类定级管理，积极推介专业合作社、家庭农场的典型，落实扶持政策，促进新型农业经营主体健康快速发展，进一步提升农业社会化服务能力。</w:t>
      </w:r>
      <w:r>
        <w:rPr>
          <w:rFonts w:hint="eastAsia" w:ascii="仿宋_GB2312" w:hAnsi="仿宋_GB2312" w:eastAsia="仿宋_GB2312" w:cs="仿宋_GB2312"/>
          <w:b/>
          <w:bCs/>
          <w:sz w:val="32"/>
          <w:szCs w:val="32"/>
          <w:lang w:val="en-US" w:eastAsia="zh-CN"/>
        </w:rPr>
        <w:t>进一步完善农村宅基地管理与改革工作各项机制，</w:t>
      </w:r>
      <w:r>
        <w:rPr>
          <w:rFonts w:hint="eastAsia" w:ascii="仿宋_GB2312" w:hAnsi="仿宋_GB2312" w:eastAsia="仿宋_GB2312" w:cs="仿宋_GB2312"/>
          <w:sz w:val="32"/>
          <w:szCs w:val="32"/>
          <w:lang w:val="en-US" w:eastAsia="zh-CN"/>
        </w:rPr>
        <w:t>严格规范农村宅基地管理审批和操作流程，强化政策宣传，加大督查指导及违法案件巡查，坚持每季度召开一次专门业务培训会议。</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⑷坚持党对“三农”工作的领导。</w:t>
      </w:r>
      <w:r>
        <w:rPr>
          <w:rFonts w:hint="eastAsia" w:ascii="仿宋_GB2312" w:hAnsi="仿宋_GB2312" w:eastAsia="仿宋_GB2312" w:cs="仿宋_GB2312"/>
          <w:sz w:val="32"/>
          <w:szCs w:val="32"/>
          <w:lang w:val="en-US" w:eastAsia="zh-CN"/>
        </w:rPr>
        <w:t>坚持五级书记抓乡村振兴，加大对涉农干部的培训力度，提高“三农”工作本领，改进工作作风，打造一支政治过硬、适应新时代要求、具有领导农业强国建设能力的“三农”干部队伍；坚持本土培养和外部引进相结合，重点加强村党组织书记和新型农业经营主体带头人培训，全面提升农民素质素养，育好用好乡土人才；引进一批人才，有序引导大学毕业生到乡、能人回乡、农民工返乡、企业家入乡，帮助他们解决后顾之忧，让其留得下、能创业。</w:t>
      </w:r>
    </w:p>
    <w:p>
      <w:pPr>
        <w:pStyle w:val="2"/>
        <w:rPr>
          <w:rFonts w:hint="default"/>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（二）部门整体支出管理及使用情况</w:t>
      </w:r>
    </w:p>
    <w:p>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（一）基本支出</w:t>
      </w:r>
      <w:r>
        <w:rPr>
          <w:rFonts w:hint="eastAsia" w:ascii="仿宋" w:hAnsi="仿宋" w:eastAsia="仿宋" w:cs="仿宋"/>
          <w:sz w:val="32"/>
          <w:szCs w:val="32"/>
          <w:lang w:val="en-US" w:eastAsia="zh-CN"/>
        </w:rPr>
        <w:t>2084.22万元，其中：工资福利支出1395.38万元、商品和服务支出641.44万元、对个人和家庭补助支出42.74万元、办公设备购置支出4.66万元。</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eastAsia="仿宋_GB2312"/>
          <w:sz w:val="32"/>
          <w:szCs w:val="32"/>
          <w:lang w:val="en-US" w:eastAsia="zh-CN"/>
        </w:rPr>
      </w:pPr>
      <w:r>
        <w:rPr>
          <w:rFonts w:hint="eastAsia" w:eastAsia="仿宋_GB2312"/>
          <w:sz w:val="32"/>
          <w:szCs w:val="32"/>
          <w:lang w:val="en-US" w:eastAsia="zh-CN"/>
        </w:rPr>
        <w:t xml:space="preserve"> 2022年“三公”经费决算数为16.45万元，其中，公务接待费10.5万元，公务用车购置及运行费5.95万元（公务用车运行5.95万元、公务用车购置0万元），因公出国（境）费0万元。</w:t>
      </w:r>
    </w:p>
    <w:p>
      <w:pPr>
        <w:pStyle w:val="2"/>
        <w:rPr>
          <w:rFonts w:hint="default"/>
          <w:lang w:val="en-US"/>
        </w:rPr>
      </w:pPr>
      <w:r>
        <w:rPr>
          <w:rFonts w:hint="eastAsia" w:eastAsia="仿宋_GB2312"/>
          <w:sz w:val="32"/>
          <w:szCs w:val="32"/>
          <w:lang w:val="en-US" w:eastAsia="zh-CN"/>
        </w:rPr>
        <w:t xml:space="preserve">      （二）专项支出</w:t>
      </w:r>
    </w:p>
    <w:p>
      <w:pPr>
        <w:pStyle w:val="2"/>
        <w:rPr>
          <w:rFonts w:hint="eastAsia"/>
          <w:lang w:val="en-US" w:eastAsia="zh-CN"/>
        </w:rPr>
      </w:pPr>
      <w:r>
        <w:rPr>
          <w:rFonts w:hint="eastAsia"/>
          <w:lang w:val="en-US" w:eastAsia="zh-CN"/>
        </w:rPr>
        <w:t xml:space="preserve">        1、专项资金总投入情况：</w:t>
      </w:r>
    </w:p>
    <w:p>
      <w:pPr>
        <w:pStyle w:val="3"/>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项目资金总投入10965.88万元，均为财政资金投入。</w:t>
      </w:r>
    </w:p>
    <w:p>
      <w:pPr>
        <w:pStyle w:val="3"/>
        <w:numPr>
          <w:ilvl w:val="0"/>
          <w:numId w:val="1"/>
        </w:num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专项资金实使用情况：</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项目支出：10965.88万元，主要用于2120814农业生产发支出579.46万元、2130101行政运行181.99万元、2130105农垦运行25万元、2130106科技转化与推广服务3863.75万元、2130505生产发展5993.68万元、2210105农村危房改造322万元。</w:t>
      </w:r>
    </w:p>
    <w:p>
      <w:pPr>
        <w:numPr>
          <w:ilvl w:val="0"/>
          <w:numId w:val="1"/>
        </w:num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专项资金管理情况：</w:t>
      </w:r>
    </w:p>
    <w:p>
      <w:pPr>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严格按照财政资金管理要求，统筹合理使用和管理资金，按照实际需要先制定方案再按方案使用资金。资金的拨付有完整的审批程序和手续，资金使用无截流、挤占、挪用、虚列支出等情况。</w:t>
      </w:r>
    </w:p>
    <w:p>
      <w:pPr>
        <w:pStyle w:val="2"/>
        <w:numPr>
          <w:ilvl w:val="0"/>
          <w:numId w:val="0"/>
        </w:numPr>
        <w:ind w:leftChars="0"/>
        <w:rPr>
          <w:rFonts w:hint="eastAsia"/>
          <w:lang w:val="en-US" w:eastAsia="zh-CN"/>
        </w:rPr>
      </w:pPr>
    </w:p>
    <w:p>
      <w:pPr>
        <w:pStyle w:val="2"/>
        <w:rPr>
          <w:rFonts w:hint="eastAsia" w:ascii="仿宋" w:hAnsi="仿宋" w:cs="仿宋"/>
          <w:sz w:val="32"/>
          <w:szCs w:val="32"/>
          <w:lang w:val="en-US" w:eastAsia="zh-CN"/>
        </w:rPr>
      </w:pPr>
      <w:r>
        <w:rPr>
          <w:rFonts w:hint="eastAsia" w:ascii="仿宋" w:hAnsi="仿宋" w:cs="仿宋"/>
          <w:sz w:val="32"/>
          <w:szCs w:val="32"/>
          <w:lang w:val="en-US" w:eastAsia="zh-CN"/>
        </w:rPr>
        <w:t xml:space="preserve">       三、部门专项组织实施情况</w:t>
      </w:r>
    </w:p>
    <w:p>
      <w:pPr>
        <w:pStyle w:val="3"/>
        <w:ind w:left="0" w:leftChars="0" w:firstLine="0" w:firstLineChars="0"/>
        <w:rPr>
          <w:rFonts w:hint="eastAsia" w:ascii="仿宋" w:hAnsi="仿宋" w:cs="仿宋"/>
          <w:sz w:val="32"/>
          <w:szCs w:val="32"/>
          <w:lang w:val="en-US" w:eastAsia="zh-CN"/>
        </w:rPr>
      </w:pPr>
      <w:r>
        <w:rPr>
          <w:rFonts w:hint="eastAsia" w:ascii="仿宋" w:hAnsi="仿宋" w:cs="仿宋"/>
          <w:sz w:val="32"/>
          <w:szCs w:val="32"/>
          <w:lang w:val="en-US" w:eastAsia="zh-CN"/>
        </w:rPr>
        <w:t>（一）专项组织分析</w:t>
      </w:r>
    </w:p>
    <w:p>
      <w:pPr>
        <w:keepNext w:val="0"/>
        <w:keepLines w:val="0"/>
        <w:pageBreakBefore w:val="0"/>
        <w:numPr>
          <w:ilvl w:val="0"/>
          <w:numId w:val="0"/>
        </w:numPr>
        <w:wordWrap/>
        <w:overflowPunct/>
        <w:topLinePunct w:val="0"/>
        <w:bidi w:val="0"/>
        <w:spacing w:line="360" w:lineRule="auto"/>
        <w:ind w:firstLine="648" w:firstLineChars="200"/>
        <w:rPr>
          <w:rFonts w:hint="eastAsia"/>
          <w:lang w:val="en-US" w:eastAsia="zh-CN"/>
        </w:rPr>
      </w:pPr>
      <w:r>
        <w:rPr>
          <w:rFonts w:hint="eastAsia" w:ascii="仿宋" w:hAnsi="仿宋" w:eastAsia="仿宋" w:cs="仿宋"/>
          <w:spacing w:val="7"/>
          <w:position w:val="2"/>
          <w:sz w:val="31"/>
          <w:szCs w:val="31"/>
          <w:lang w:val="en-US" w:eastAsia="zh-CN"/>
        </w:rPr>
        <w:t>项目实行“上报入项目库、县农业农村局审核、县乡村振兴局批复、项目主体实施”的组织形式。</w:t>
      </w:r>
    </w:p>
    <w:p>
      <w:pPr>
        <w:numPr>
          <w:ilvl w:val="0"/>
          <w:numId w:val="2"/>
        </w:numPr>
        <w:rPr>
          <w:rFonts w:hint="eastAsia" w:ascii="仿宋" w:hAnsi="仿宋" w:cs="仿宋"/>
          <w:sz w:val="32"/>
          <w:szCs w:val="32"/>
          <w:lang w:val="en-US" w:eastAsia="zh-CN"/>
        </w:rPr>
      </w:pPr>
      <w:r>
        <w:rPr>
          <w:rFonts w:hint="eastAsia" w:ascii="仿宋" w:hAnsi="仿宋" w:cs="仿宋"/>
          <w:sz w:val="32"/>
          <w:szCs w:val="32"/>
          <w:lang w:val="en-US" w:eastAsia="zh-CN"/>
        </w:rPr>
        <w:t>专项管理情况分析，</w:t>
      </w:r>
    </w:p>
    <w:p>
      <w:pPr>
        <w:keepNext w:val="0"/>
        <w:keepLines w:val="0"/>
        <w:pageBreakBefore w:val="0"/>
        <w:numPr>
          <w:ilvl w:val="0"/>
          <w:numId w:val="0"/>
        </w:numPr>
        <w:wordWrap/>
        <w:overflowPunct/>
        <w:topLinePunct w:val="0"/>
        <w:bidi w:val="0"/>
        <w:spacing w:line="360" w:lineRule="auto"/>
        <w:ind w:firstLine="648" w:firstLineChars="200"/>
        <w:rPr>
          <w:rFonts w:hint="eastAsia" w:ascii="仿宋" w:hAnsi="仿宋" w:eastAsia="仿宋" w:cs="仿宋"/>
          <w:spacing w:val="7"/>
          <w:position w:val="2"/>
          <w:sz w:val="31"/>
          <w:szCs w:val="31"/>
          <w:lang w:val="en-US" w:eastAsia="zh-CN"/>
        </w:rPr>
      </w:pPr>
      <w:r>
        <w:rPr>
          <w:rFonts w:hint="eastAsia" w:ascii="仿宋" w:hAnsi="仿宋" w:eastAsia="仿宋" w:cs="仿宋"/>
          <w:spacing w:val="7"/>
          <w:position w:val="2"/>
          <w:sz w:val="31"/>
          <w:szCs w:val="31"/>
          <w:lang w:val="zh-CN" w:eastAsia="zh-CN"/>
        </w:rPr>
        <w:t>项目实施主体进行</w:t>
      </w:r>
      <w:r>
        <w:rPr>
          <w:rFonts w:hint="eastAsia" w:ascii="仿宋" w:hAnsi="仿宋" w:eastAsia="仿宋" w:cs="仿宋"/>
          <w:spacing w:val="7"/>
          <w:position w:val="2"/>
          <w:sz w:val="31"/>
          <w:szCs w:val="31"/>
          <w:lang w:val="en-US" w:eastAsia="zh-CN"/>
        </w:rPr>
        <w:t>项目申报；县农业农村局负责项目审核、监督和指导：县乡村振兴局负责项目批复：县财政局负责项目资金筹措与拨付；项目实施主体负责项目组织实施。</w:t>
      </w:r>
    </w:p>
    <w:p>
      <w:pPr>
        <w:pStyle w:val="2"/>
        <w:numPr>
          <w:ilvl w:val="0"/>
          <w:numId w:val="0"/>
        </w:numPr>
        <w:rPr>
          <w:rFonts w:hint="eastAsia"/>
          <w:lang w:val="en-US" w:eastAsia="zh-CN"/>
        </w:rPr>
      </w:pPr>
    </w:p>
    <w:p>
      <w:pPr>
        <w:pStyle w:val="2"/>
        <w:rPr>
          <w:rFonts w:hint="eastAsia" w:ascii="仿宋" w:hAnsi="仿宋" w:cs="仿宋"/>
          <w:sz w:val="32"/>
          <w:szCs w:val="32"/>
          <w:lang w:val="en-US" w:eastAsia="zh-CN"/>
        </w:rPr>
      </w:pPr>
      <w:r>
        <w:rPr>
          <w:rFonts w:hint="eastAsia" w:ascii="仿宋" w:hAnsi="仿宋" w:cs="仿宋"/>
          <w:sz w:val="32"/>
          <w:szCs w:val="32"/>
          <w:lang w:val="en-US" w:eastAsia="zh-CN"/>
        </w:rPr>
        <w:t xml:space="preserve">        四、资产管理情况</w:t>
      </w:r>
    </w:p>
    <w:p>
      <w:pPr>
        <w:widowControl/>
        <w:numPr>
          <w:ilvl w:val="0"/>
          <w:numId w:val="0"/>
        </w:numPr>
        <w:spacing w:line="560" w:lineRule="exact"/>
        <w:ind w:firstLine="640" w:firstLineChars="200"/>
        <w:jc w:val="both"/>
        <w:rPr>
          <w:rFonts w:hint="eastAsia" w:ascii="仿宋" w:hAnsi="仿宋" w:eastAsia="仿宋" w:cs="仿宋"/>
          <w:b w:val="0"/>
          <w:bCs w:val="0"/>
          <w:sz w:val="32"/>
          <w:szCs w:val="32"/>
          <w:lang w:val="en-US" w:eastAsia="zh-CN"/>
        </w:rPr>
      </w:pPr>
      <w:r>
        <w:rPr>
          <w:rFonts w:hint="eastAsia" w:eastAsia="仿宋_GB2312"/>
          <w:sz w:val="32"/>
          <w:szCs w:val="32"/>
          <w:lang w:val="en-US" w:eastAsia="zh-CN"/>
        </w:rPr>
        <w:t>国有资产占用情况说明。我单位现有固定资产原值1219.19万元，其中房屋构筑物670.26万元、通用设备506.02万元、专用设备36.51万元、家具用具6.4万元。</w:t>
      </w:r>
    </w:p>
    <w:p>
      <w:pPr>
        <w:pStyle w:val="3"/>
        <w:rPr>
          <w:rFonts w:hint="eastAsia"/>
          <w:lang w:val="en-US" w:eastAsia="zh-CN"/>
        </w:rPr>
      </w:pPr>
    </w:p>
    <w:p>
      <w:pPr>
        <w:pStyle w:val="3"/>
        <w:numPr>
          <w:ilvl w:val="0"/>
          <w:numId w:val="3"/>
        </w:numPr>
        <w:ind w:left="0" w:leftChars="0" w:firstLine="0" w:firstLineChars="0"/>
        <w:jc w:val="left"/>
        <w:rPr>
          <w:rFonts w:hint="eastAsia" w:ascii="仿宋" w:hAnsi="仿宋" w:cs="仿宋"/>
          <w:sz w:val="32"/>
          <w:szCs w:val="32"/>
          <w:lang w:val="en-US" w:eastAsia="zh-CN"/>
        </w:rPr>
      </w:pPr>
      <w:r>
        <w:rPr>
          <w:rFonts w:hint="eastAsia" w:ascii="仿宋" w:hAnsi="仿宋" w:cs="仿宋"/>
          <w:sz w:val="32"/>
          <w:szCs w:val="32"/>
          <w:lang w:val="en-US" w:eastAsia="zh-CN"/>
        </w:rPr>
        <w:t>部门整体支出绩效情况</w:t>
      </w:r>
    </w:p>
    <w:p>
      <w:pPr>
        <w:keepNext w:val="0"/>
        <w:keepLines w:val="0"/>
        <w:pageBreakBefore w:val="0"/>
        <w:widowControl/>
        <w:shd w:val="clear" w:color="auto" w:fill="FFFFFF"/>
        <w:kinsoku/>
        <w:wordWrap/>
        <w:overflowPunct/>
        <w:topLinePunct w:val="0"/>
        <w:autoSpaceDE/>
        <w:autoSpaceDN/>
        <w:bidi w:val="0"/>
        <w:spacing w:before="125" w:after="125" w:line="520" w:lineRule="exact"/>
        <w:ind w:firstLine="643" w:firstLineChars="200"/>
        <w:textAlignment w:val="auto"/>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rPr>
        <w:t>（一）投入情况分析，包括预算编制、目标设定分析等</w:t>
      </w:r>
      <w:r>
        <w:rPr>
          <w:rFonts w:hint="eastAsia" w:ascii="仿宋_GB2312" w:hAnsi="仿宋_GB2312" w:eastAsia="仿宋_GB2312" w:cs="仿宋_GB2312"/>
          <w:b/>
          <w:bCs/>
          <w:kern w:val="0"/>
          <w:sz w:val="32"/>
          <w:szCs w:val="32"/>
          <w:lang w:eastAsia="zh-CN"/>
        </w:rPr>
        <w:t>。</w:t>
      </w:r>
    </w:p>
    <w:p>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1、预算编制：</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本部门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pPr>
        <w:keepNext w:val="0"/>
        <w:keepLines w:val="0"/>
        <w:pageBreakBefore w:val="0"/>
        <w:widowControl/>
        <w:shd w:val="clear" w:color="auto" w:fill="FFFFFF"/>
        <w:kinsoku/>
        <w:wordWrap/>
        <w:overflowPunct/>
        <w:topLinePunct w:val="0"/>
        <w:autoSpaceDE/>
        <w:autoSpaceDN/>
        <w:bidi w:val="0"/>
        <w:spacing w:before="125" w:after="125" w:line="52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财政供养人员控制率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部门202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年度实际在职人员数</w:t>
      </w:r>
      <w:r>
        <w:rPr>
          <w:rFonts w:hint="eastAsia" w:ascii="仿宋_GB2312" w:hAnsi="仿宋_GB2312" w:eastAsia="仿宋_GB2312" w:cs="仿宋_GB2312"/>
          <w:sz w:val="32"/>
          <w:szCs w:val="32"/>
          <w:lang w:val="en-US" w:eastAsia="zh-CN"/>
        </w:rPr>
        <w:t>138</w:t>
      </w:r>
      <w:r>
        <w:rPr>
          <w:rFonts w:hint="eastAsia" w:ascii="仿宋_GB2312" w:hAnsi="仿宋_GB2312" w:eastAsia="仿宋_GB2312" w:cs="仿宋_GB2312"/>
          <w:sz w:val="32"/>
          <w:szCs w:val="32"/>
        </w:rPr>
        <w:t>人，编</w:t>
      </w:r>
      <w:r>
        <w:rPr>
          <w:rFonts w:hint="eastAsia" w:ascii="仿宋_GB2312" w:hAnsi="仿宋_GB2312" w:eastAsia="仿宋_GB2312" w:cs="仿宋_GB2312"/>
          <w:sz w:val="32"/>
          <w:szCs w:val="32"/>
          <w:lang w:val="en-US" w:eastAsia="zh-CN"/>
        </w:rPr>
        <w:t>118</w:t>
      </w:r>
      <w:r>
        <w:rPr>
          <w:rFonts w:hint="eastAsia" w:ascii="仿宋_GB2312" w:hAnsi="仿宋_GB2312" w:eastAsia="仿宋_GB2312" w:cs="仿宋_GB2312"/>
          <w:sz w:val="32"/>
          <w:szCs w:val="32"/>
        </w:rPr>
        <w:t>制数人，在职人员控制率为</w:t>
      </w:r>
      <w:r>
        <w:rPr>
          <w:rFonts w:hint="eastAsia" w:ascii="仿宋_GB2312" w:hAnsi="仿宋_GB2312" w:eastAsia="仿宋_GB2312" w:cs="仿宋_GB2312"/>
          <w:sz w:val="32"/>
          <w:szCs w:val="32"/>
          <w:lang w:val="en-US" w:eastAsia="zh-CN"/>
        </w:rPr>
        <w:t>116.95</w:t>
      </w:r>
      <w:r>
        <w:rPr>
          <w:rFonts w:hint="eastAsia" w:ascii="仿宋_GB2312" w:hAnsi="仿宋_GB2312" w:eastAsia="仿宋_GB2312" w:cs="仿宋_GB2312"/>
          <w:sz w:val="32"/>
          <w:szCs w:val="32"/>
        </w:rPr>
        <w:t>%。部门实际在职人数，以财政部门确定的部门决算编制口径为准。部门编制数，是机构编制部门核定批复的部门人员编制数。</w:t>
      </w:r>
      <w:bookmarkStart w:id="0" w:name="_GoBack"/>
      <w:bookmarkEnd w:id="0"/>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eastAsia="仿宋_GB2312"/>
          <w:sz w:val="32"/>
          <w:szCs w:val="32"/>
          <w:lang w:val="en-US" w:eastAsia="zh-CN"/>
        </w:rPr>
      </w:pPr>
      <w:r>
        <w:rPr>
          <w:rFonts w:hint="eastAsia" w:ascii="仿宋_GB2312" w:hAnsi="仿宋_GB2312" w:eastAsia="仿宋_GB2312" w:cs="仿宋_GB2312"/>
          <w:b/>
          <w:bCs/>
          <w:sz w:val="32"/>
          <w:szCs w:val="32"/>
        </w:rPr>
        <w:t>“三公经费”</w:t>
      </w:r>
      <w:r>
        <w:rPr>
          <w:rFonts w:hint="eastAsia" w:ascii="仿宋_GB2312" w:hAnsi="仿宋_GB2312" w:eastAsia="仿宋_GB2312" w:cs="仿宋_GB2312"/>
          <w:b/>
          <w:bCs/>
          <w:sz w:val="32"/>
          <w:szCs w:val="32"/>
          <w:lang w:eastAsia="zh-CN"/>
        </w:rPr>
        <w:t>控制情况：</w:t>
      </w:r>
      <w:r>
        <w:rPr>
          <w:rFonts w:hint="eastAsia" w:ascii="仿宋_GB2312" w:hAnsi="仿宋_GB2312" w:eastAsia="仿宋_GB2312" w:cs="仿宋_GB2312"/>
          <w:b w:val="0"/>
          <w:bCs w:val="0"/>
          <w:sz w:val="32"/>
          <w:szCs w:val="32"/>
          <w:lang w:eastAsia="zh-CN"/>
        </w:rPr>
        <w:t>本</w:t>
      </w:r>
      <w:r>
        <w:rPr>
          <w:rFonts w:hint="eastAsia" w:ascii="仿宋_GB2312" w:hAnsi="仿宋_GB2312" w:eastAsia="仿宋_GB2312" w:cs="仿宋_GB2312"/>
          <w:sz w:val="32"/>
          <w:szCs w:val="32"/>
        </w:rPr>
        <w:t>部门202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年度“三公经费”预算数</w:t>
      </w:r>
      <w:r>
        <w:rPr>
          <w:rFonts w:hint="eastAsia" w:ascii="仿宋_GB2312" w:hAnsi="仿宋_GB2312" w:eastAsia="仿宋_GB2312" w:cs="仿宋_GB2312"/>
          <w:sz w:val="32"/>
          <w:szCs w:val="32"/>
          <w:lang w:val="en-US" w:eastAsia="zh-CN"/>
        </w:rPr>
        <w:t>23.7</w:t>
      </w:r>
      <w:r>
        <w:rPr>
          <w:rFonts w:hint="eastAsia" w:ascii="仿宋_GB2312" w:hAnsi="仿宋_GB2312" w:eastAsia="仿宋_GB2312" w:cs="仿宋_GB2312"/>
          <w:sz w:val="32"/>
          <w:szCs w:val="32"/>
        </w:rPr>
        <w:t>万元，</w:t>
      </w:r>
      <w:r>
        <w:rPr>
          <w:rFonts w:hint="eastAsia" w:eastAsia="仿宋_GB2312"/>
          <w:sz w:val="32"/>
          <w:szCs w:val="32"/>
          <w:lang w:val="en-US" w:eastAsia="zh-CN"/>
        </w:rPr>
        <w:t>2022年“三公经费”决算数为16.45万元，其中，公务接待费10.5万元，公务用车购置及运行费5.95万元（公务用车运行5.95万元、公务用车购置0万元），因公出国（境）费0万元。</w:t>
      </w:r>
    </w:p>
    <w:p>
      <w:pPr>
        <w:keepNext w:val="0"/>
        <w:keepLines w:val="0"/>
        <w:pageBreakBefore w:val="0"/>
        <w:widowControl/>
        <w:shd w:val="clear" w:color="auto" w:fill="FFFFFF"/>
        <w:kinsoku/>
        <w:wordWrap/>
        <w:overflowPunct/>
        <w:topLinePunct w:val="0"/>
        <w:autoSpaceDE/>
        <w:autoSpaceDN/>
        <w:bidi w:val="0"/>
        <w:spacing w:before="125" w:after="125" w:line="52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重点支出安排率，</w:t>
      </w:r>
      <w:r>
        <w:rPr>
          <w:rFonts w:hint="eastAsia" w:ascii="仿宋_GB2312" w:hAnsi="仿宋_GB2312" w:eastAsia="仿宋_GB2312" w:cs="仿宋_GB2312"/>
          <w:sz w:val="32"/>
          <w:szCs w:val="32"/>
        </w:rPr>
        <w:t>本年度预算安排的重点支出，用以部门对履行主要职责或完成重点任务的保障程度。</w:t>
      </w:r>
    </w:p>
    <w:p>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本年度预算安排的，与本部门履职和发展密切相关、具有明显社会和经济影响。</w:t>
      </w:r>
    </w:p>
    <w:p>
      <w:pPr>
        <w:keepNext w:val="0"/>
        <w:keepLines w:val="0"/>
        <w:pageBreakBefore w:val="0"/>
        <w:kinsoku/>
        <w:wordWrap/>
        <w:overflowPunct/>
        <w:topLinePunct w:val="0"/>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（二）执行管理情况分析，包括资金执行进度、调整情况、成本控制情况分析及项目完成进度情况等。</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1、资金执行进度，本部门按照县财政的要求，及时分月、分季度上报相应计划，待县财政审核通过后，严格按计划执行，各季度执行情况良好。</w:t>
      </w:r>
    </w:p>
    <w:p>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年按月进行申报，其中日常公用经费按月进行申报并支付，</w:t>
      </w:r>
      <w:r>
        <w:rPr>
          <w:rFonts w:hint="eastAsia" w:ascii="仿宋_GB2312" w:hAnsi="仿宋_GB2312" w:eastAsia="仿宋_GB2312" w:cs="仿宋_GB2312"/>
          <w:sz w:val="32"/>
          <w:szCs w:val="32"/>
          <w:lang w:eastAsia="zh-CN"/>
        </w:rPr>
        <w:t>本年度</w:t>
      </w:r>
      <w:r>
        <w:rPr>
          <w:rFonts w:hint="eastAsia" w:ascii="仿宋_GB2312" w:hAnsi="仿宋_GB2312" w:eastAsia="仿宋_GB2312" w:cs="仿宋_GB2312"/>
          <w:sz w:val="32"/>
          <w:szCs w:val="32"/>
        </w:rPr>
        <w:t>执行进度100%。</w:t>
      </w:r>
    </w:p>
    <w:p>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本年度预算完成数</w:t>
      </w:r>
      <w:r>
        <w:rPr>
          <w:rFonts w:hint="eastAsia" w:ascii="仿宋_GB2312" w:hAnsi="仿宋_GB2312" w:eastAsia="仿宋_GB2312" w:cs="仿宋_GB2312"/>
          <w:sz w:val="32"/>
          <w:szCs w:val="32"/>
          <w:lang w:val="en-US" w:eastAsia="zh-CN"/>
        </w:rPr>
        <w:t>12457.14</w:t>
      </w:r>
      <w:r>
        <w:rPr>
          <w:rFonts w:hint="eastAsia" w:ascii="仿宋_GB2312" w:hAnsi="仿宋_GB2312" w:eastAsia="仿宋_GB2312" w:cs="仿宋_GB2312"/>
          <w:sz w:val="32"/>
          <w:szCs w:val="32"/>
        </w:rPr>
        <w:t>万元，预算调整数</w:t>
      </w:r>
      <w:r>
        <w:rPr>
          <w:rFonts w:hint="eastAsia" w:ascii="仿宋_GB2312" w:hAnsi="仿宋_GB2312" w:eastAsia="仿宋_GB2312" w:cs="仿宋_GB2312"/>
          <w:sz w:val="32"/>
          <w:szCs w:val="32"/>
          <w:lang w:val="en-US" w:eastAsia="zh-CN"/>
        </w:rPr>
        <w:t>12457.14</w:t>
      </w:r>
      <w:r>
        <w:rPr>
          <w:rFonts w:hint="eastAsia" w:ascii="仿宋_GB2312" w:hAnsi="仿宋_GB2312" w:eastAsia="仿宋_GB2312" w:cs="仿宋_GB2312"/>
          <w:sz w:val="32"/>
          <w:szCs w:val="32"/>
        </w:rPr>
        <w:t>万元，预算</w:t>
      </w:r>
      <w:r>
        <w:rPr>
          <w:rFonts w:hint="eastAsia" w:ascii="仿宋_GB2312" w:hAnsi="仿宋_GB2312" w:eastAsia="仿宋_GB2312" w:cs="仿宋_GB2312"/>
          <w:sz w:val="32"/>
          <w:szCs w:val="32"/>
          <w:lang w:eastAsia="zh-CN"/>
        </w:rPr>
        <w:t>执行</w:t>
      </w:r>
      <w:r>
        <w:rPr>
          <w:rFonts w:hint="eastAsia" w:ascii="仿宋_GB2312" w:hAnsi="仿宋_GB2312" w:eastAsia="仿宋_GB2312" w:cs="仿宋_GB2312"/>
          <w:sz w:val="32"/>
          <w:szCs w:val="32"/>
        </w:rPr>
        <w:t>率为</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、成本控制情况，本年度实际支出的公用经费总额</w:t>
      </w:r>
      <w:r>
        <w:rPr>
          <w:rFonts w:hint="eastAsia" w:ascii="仿宋_GB2312" w:hAnsi="仿宋_GB2312" w:eastAsia="仿宋_GB2312" w:cs="仿宋_GB2312"/>
          <w:sz w:val="32"/>
          <w:szCs w:val="32"/>
          <w:lang w:val="en-US" w:eastAsia="zh-CN"/>
        </w:rPr>
        <w:t>641.44</w:t>
      </w:r>
      <w:r>
        <w:rPr>
          <w:rFonts w:hint="eastAsia" w:ascii="仿宋_GB2312" w:hAnsi="仿宋_GB2312" w:eastAsia="仿宋_GB2312" w:cs="仿宋_GB2312"/>
          <w:sz w:val="32"/>
          <w:szCs w:val="32"/>
        </w:rPr>
        <w:t>万元，预算调整数安排的公用经费总额</w:t>
      </w:r>
      <w:r>
        <w:rPr>
          <w:rFonts w:hint="eastAsia" w:ascii="仿宋_GB2312" w:hAnsi="仿宋_GB2312" w:eastAsia="仿宋_GB2312" w:cs="仿宋_GB2312"/>
          <w:sz w:val="32"/>
          <w:szCs w:val="32"/>
          <w:lang w:val="en-US" w:eastAsia="zh-CN"/>
        </w:rPr>
        <w:t>641.44</w:t>
      </w:r>
      <w:r>
        <w:rPr>
          <w:rFonts w:hint="eastAsia" w:ascii="仿宋_GB2312" w:hAnsi="仿宋_GB2312" w:eastAsia="仿宋_GB2312" w:cs="仿宋_GB2312"/>
          <w:sz w:val="32"/>
          <w:szCs w:val="32"/>
        </w:rPr>
        <w:t>万元，公用经费控制率为</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rPr>
        <w:t>项目完成进度情况</w:t>
      </w:r>
      <w:r>
        <w:rPr>
          <w:rFonts w:hint="eastAsia" w:ascii="仿宋_GB2312" w:hAnsi="仿宋_GB2312" w:eastAsia="仿宋_GB2312" w:cs="仿宋_GB2312"/>
          <w:kern w:val="0"/>
          <w:sz w:val="32"/>
          <w:szCs w:val="32"/>
          <w:lang w:eastAsia="zh-CN"/>
        </w:rPr>
        <w:t>，本年度项目工作按期、有序进行，完成进度</w:t>
      </w:r>
      <w:r>
        <w:rPr>
          <w:rFonts w:hint="eastAsia" w:ascii="仿宋_GB2312" w:hAnsi="仿宋_GB2312" w:eastAsia="仿宋_GB2312" w:cs="仿宋_GB2312"/>
          <w:kern w:val="0"/>
          <w:sz w:val="32"/>
          <w:szCs w:val="32"/>
          <w:lang w:val="en-US" w:eastAsia="zh-CN"/>
        </w:rPr>
        <w:t>100%。</w:t>
      </w:r>
    </w:p>
    <w:p>
      <w:pPr>
        <w:numPr>
          <w:ilvl w:val="0"/>
          <w:numId w:val="0"/>
        </w:numPr>
        <w:adjustRightInd w:val="0"/>
        <w:snapToGrid w:val="0"/>
        <w:spacing w:line="52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支出绩效情况分析，包括基本支出和项目支出的运行效果情况等。</w:t>
      </w:r>
    </w:p>
    <w:p>
      <w:pPr>
        <w:numPr>
          <w:ilvl w:val="0"/>
          <w:numId w:val="0"/>
        </w:numPr>
        <w:adjustRightInd w:val="0"/>
        <w:snapToGrid w:val="0"/>
        <w:spacing w:line="520" w:lineRule="exact"/>
        <w:ind w:leftChars="200" w:firstLine="320" w:firstLineChars="1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sz w:val="32"/>
          <w:szCs w:val="32"/>
        </w:rPr>
        <w:t>基本支出的运行效果情况</w:t>
      </w: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行政运转保障。202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年度，本部门基本支出运行经费支出</w:t>
      </w:r>
      <w:r>
        <w:rPr>
          <w:rFonts w:hint="eastAsia" w:ascii="仿宋_GB2312" w:hAnsi="仿宋_GB2312" w:eastAsia="仿宋_GB2312" w:cs="仿宋_GB2312"/>
          <w:sz w:val="32"/>
          <w:szCs w:val="32"/>
          <w:lang w:val="en-US" w:eastAsia="zh-CN"/>
        </w:rPr>
        <w:t>2084.23万元，1763.95万</w:t>
      </w:r>
      <w:r>
        <w:rPr>
          <w:rFonts w:hint="eastAsia" w:ascii="仿宋_GB2312" w:hAnsi="仿宋_GB2312" w:eastAsia="仿宋_GB2312" w:cs="仿宋_GB2312"/>
          <w:sz w:val="32"/>
          <w:szCs w:val="32"/>
        </w:rPr>
        <w:t>元，比</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320.28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18.16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，主要是公用经费增加。</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财政拨款支出主要用于保障本部门机构正常运转、完成日常工作任务以及承担本部门事业发展相关工作。</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基本支出，是用于保障行政机关、事业单位等机构正常运转的日常支出，包括基本工资、津贴补贴等人员经费以及办公费、印刷费、水电费、委托业务费等日常公用经费。</w:t>
      </w:r>
    </w:p>
    <w:p>
      <w:pPr>
        <w:numPr>
          <w:ilvl w:val="0"/>
          <w:numId w:val="4"/>
        </w:numPr>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项目支出的运行效果情况</w:t>
      </w:r>
      <w:r>
        <w:rPr>
          <w:rFonts w:hint="eastAsia" w:ascii="仿宋_GB2312" w:hAnsi="仿宋_GB2312" w:eastAsia="仿宋_GB2312" w:cs="仿宋_GB2312"/>
          <w:sz w:val="32"/>
          <w:szCs w:val="32"/>
          <w:lang w:val="en-US" w:eastAsia="zh-CN"/>
        </w:rPr>
        <w:t xml:space="preserve">  </w:t>
      </w:r>
    </w:p>
    <w:p>
      <w:pPr>
        <w:pStyle w:val="20"/>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严守财经制度，做到专款专用，确保依法依规操作。按照项目相关方责任划分，签订并完善了项目实施协议书，明确了项目管理主体、监督主体以及项目建设内容、建设规模、资金使用方向、利益联结机制和违约责任机制，确保项目高效有序运行和资金安全有效使用。</w:t>
      </w:r>
    </w:p>
    <w:p>
      <w:pPr>
        <w:numPr>
          <w:ilvl w:val="0"/>
          <w:numId w:val="0"/>
        </w:numPr>
        <w:rPr>
          <w:rFonts w:hint="eastAsia"/>
          <w:lang w:val="en-US" w:eastAsia="zh-CN"/>
        </w:rPr>
      </w:pPr>
    </w:p>
    <w:p>
      <w:pPr>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严格按照财政资金管理要求，统筹合理使用和管理资金，按照实际需要先制定方案再按方案使用资金。资金的拨付有完整的审批程序和手续，资金使用无截流、挤占、挪用、虚列支出等情况。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lang w:val="en-US" w:eastAsia="zh-CN"/>
        </w:rPr>
      </w:pPr>
      <w:r>
        <w:rPr>
          <w:rFonts w:hint="eastAsia" w:ascii="仿宋_GB2312" w:hAnsi="仿宋_GB2312" w:eastAsia="仿宋_GB2312" w:cs="仿宋_GB2312"/>
          <w:sz w:val="32"/>
          <w:szCs w:val="32"/>
          <w:lang w:val="en-US" w:eastAsia="zh-CN"/>
        </w:rPr>
        <w:t>2022年，我局扎实推动党的建设和各项业务工作，先后</w:t>
      </w:r>
      <w:r>
        <w:rPr>
          <w:rFonts w:hint="eastAsia" w:ascii="仿宋_GB2312" w:hAnsi="仿宋_GB2312" w:eastAsia="仿宋_GB2312" w:cs="仿宋_GB2312"/>
          <w:sz w:val="32"/>
          <w:szCs w:val="32"/>
          <w:lang w:eastAsia="zh-CN"/>
        </w:rPr>
        <w:t>荣获省政府真抓实干督查激励表扬和省政府综合大督查发现的典型经验做法通报表扬（禁捕退捕）</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全市农业农村工作先进县、全市粮食生产先进县、全市农村人居环境整治提升先进县；柿溪乡溪口村村级集体经济发展模式入选《湖南集体经济百村案例》；岳麓山水产种业创新中心怀化分中心挂牌落户辰溪</w:t>
      </w:r>
      <w:r>
        <w:rPr>
          <w:rFonts w:hint="eastAsia" w:ascii="仿宋_GB2312" w:hAnsi="仿宋_GB2312" w:eastAsia="仿宋_GB2312" w:cs="仿宋_GB2312"/>
          <w:sz w:val="32"/>
          <w:szCs w:val="32"/>
          <w:lang w:val="en-US" w:eastAsia="zh-CN"/>
        </w:rPr>
        <w:t>；组织</w:t>
      </w:r>
      <w:r>
        <w:rPr>
          <w:rFonts w:hint="eastAsia" w:ascii="仿宋_GB2312" w:hAnsi="仿宋_GB2312" w:eastAsia="仿宋_GB2312" w:cs="仿宋_GB2312"/>
          <w:sz w:val="32"/>
          <w:szCs w:val="32"/>
          <w:lang w:eastAsia="zh-CN"/>
        </w:rPr>
        <w:t>全市粮食生产、农业减灾补损暨农机合作建设工作现场推进会。</w:t>
      </w:r>
      <w:r>
        <w:rPr>
          <w:rFonts w:hint="eastAsia" w:ascii="Nimbus Roman No9 L" w:hAnsi="Nimbus Roman No9 L" w:eastAsia="仿宋_GB2312" w:cs="Nimbus Roman No9 L"/>
          <w:color w:val="000000"/>
          <w:sz w:val="32"/>
          <w:szCs w:val="32"/>
          <w:lang w:val="en-US" w:eastAsia="zh-CN" w:bidi="ar-SA"/>
        </w:rPr>
        <w:t>2022</w:t>
      </w:r>
      <w:r>
        <w:rPr>
          <w:rFonts w:hint="default" w:ascii="Nimbus Roman No9 L" w:hAnsi="Nimbus Roman No9 L" w:eastAsia="仿宋_GB2312" w:cs="Nimbus Roman No9 L"/>
          <w:color w:val="000000"/>
          <w:sz w:val="32"/>
          <w:szCs w:val="32"/>
          <w:lang w:eastAsia="zh-CN" w:bidi="ar-SA"/>
        </w:rPr>
        <w:t>年</w:t>
      </w:r>
      <w:r>
        <w:rPr>
          <w:rFonts w:hint="default" w:ascii="Nimbus Roman No9 L" w:hAnsi="Nimbus Roman No9 L" w:eastAsia="仿宋_GB2312" w:cs="Nimbus Roman No9 L"/>
          <w:color w:val="000000"/>
          <w:sz w:val="32"/>
          <w:szCs w:val="32"/>
          <w:lang w:bidi="ar-SA"/>
        </w:rPr>
        <w:t>地区生产总值增</w:t>
      </w:r>
      <w:r>
        <w:rPr>
          <w:rFonts w:hint="default" w:ascii="Nimbus Roman No9 L" w:hAnsi="Nimbus Roman No9 L" w:eastAsia="仿宋_GB2312" w:cs="Nimbus Roman No9 L"/>
          <w:color w:val="000000"/>
          <w:sz w:val="32"/>
          <w:szCs w:val="32"/>
          <w:lang w:val="en-US" w:eastAsia="zh-CN" w:bidi="ar-SA"/>
        </w:rPr>
        <w:t>长</w:t>
      </w:r>
      <w:r>
        <w:rPr>
          <w:rFonts w:hint="eastAsia" w:ascii="Nimbus Roman No9 L" w:hAnsi="Nimbus Roman No9 L" w:eastAsia="仿宋_GB2312" w:cs="Nimbus Roman No9 L"/>
          <w:color w:val="000000"/>
          <w:sz w:val="32"/>
          <w:szCs w:val="32"/>
          <w:lang w:val="en-US" w:eastAsia="zh-CN" w:bidi="ar-SA"/>
        </w:rPr>
        <w:t>5.2</w:t>
      </w:r>
      <w:r>
        <w:rPr>
          <w:rFonts w:hint="default" w:ascii="Nimbus Roman No9 L" w:hAnsi="Nimbus Roman No9 L" w:eastAsia="仿宋_GB2312" w:cs="Nimbus Roman No9 L"/>
          <w:color w:val="000000"/>
          <w:sz w:val="32"/>
          <w:szCs w:val="32"/>
          <w:lang w:val="en-US" w:eastAsia="zh-CN" w:bidi="ar-SA"/>
        </w:rPr>
        <w:t>%，规模工业增加值增长</w:t>
      </w:r>
      <w:r>
        <w:rPr>
          <w:rFonts w:hint="eastAsia" w:ascii="Nimbus Roman No9 L" w:hAnsi="Nimbus Roman No9 L" w:eastAsia="仿宋_GB2312" w:cs="Nimbus Roman No9 L"/>
          <w:color w:val="000000"/>
          <w:sz w:val="32"/>
          <w:szCs w:val="32"/>
          <w:lang w:val="en-US" w:eastAsia="zh-CN" w:bidi="ar-SA"/>
        </w:rPr>
        <w:t>35.9</w:t>
      </w:r>
      <w:r>
        <w:rPr>
          <w:rFonts w:hint="default" w:ascii="Nimbus Roman No9 L" w:hAnsi="Nimbus Roman No9 L" w:eastAsia="仿宋_GB2312" w:cs="Nimbus Roman No9 L"/>
          <w:color w:val="000000"/>
          <w:sz w:val="32"/>
          <w:szCs w:val="32"/>
          <w:lang w:val="en-US" w:eastAsia="zh-CN" w:bidi="ar-SA"/>
        </w:rPr>
        <w:t>%，固定资产投资增长13</w:t>
      </w:r>
      <w:r>
        <w:rPr>
          <w:rFonts w:hint="eastAsia" w:ascii="Nimbus Roman No9 L" w:hAnsi="Nimbus Roman No9 L" w:eastAsia="仿宋_GB2312" w:cs="Nimbus Roman No9 L"/>
          <w:color w:val="000000"/>
          <w:sz w:val="32"/>
          <w:szCs w:val="32"/>
          <w:lang w:val="en-US" w:eastAsia="zh-CN" w:bidi="ar-SA"/>
        </w:rPr>
        <w:t>.5</w:t>
      </w:r>
      <w:r>
        <w:rPr>
          <w:rFonts w:hint="default" w:ascii="Nimbus Roman No9 L" w:hAnsi="Nimbus Roman No9 L" w:eastAsia="仿宋_GB2312" w:cs="Nimbus Roman No9 L"/>
          <w:color w:val="000000"/>
          <w:sz w:val="32"/>
          <w:szCs w:val="32"/>
          <w:lang w:val="en-US" w:eastAsia="zh-CN" w:bidi="ar-SA"/>
        </w:rPr>
        <w:t>%，社会消费品零售总额增长</w:t>
      </w:r>
      <w:r>
        <w:rPr>
          <w:rFonts w:hint="eastAsia" w:ascii="Nimbus Roman No9 L" w:hAnsi="Nimbus Roman No9 L" w:eastAsia="仿宋_GB2312" w:cs="Nimbus Roman No9 L"/>
          <w:color w:val="000000"/>
          <w:sz w:val="32"/>
          <w:szCs w:val="32"/>
          <w:lang w:val="en-US" w:eastAsia="zh-CN" w:bidi="ar-SA"/>
        </w:rPr>
        <w:t>2.5</w:t>
      </w:r>
      <w:r>
        <w:rPr>
          <w:rFonts w:hint="default" w:ascii="Nimbus Roman No9 L" w:hAnsi="Nimbus Roman No9 L" w:eastAsia="仿宋_GB2312" w:cs="Nimbus Roman No9 L"/>
          <w:color w:val="000000"/>
          <w:sz w:val="32"/>
          <w:szCs w:val="32"/>
          <w:lang w:val="en-US" w:eastAsia="zh-CN" w:bidi="ar-SA"/>
        </w:rPr>
        <w:t>%，地方财政收入增长</w:t>
      </w:r>
      <w:r>
        <w:rPr>
          <w:rFonts w:hint="eastAsia" w:ascii="Nimbus Roman No9 L" w:hAnsi="Nimbus Roman No9 L" w:eastAsia="仿宋_GB2312" w:cs="Nimbus Roman No9 L"/>
          <w:color w:val="000000"/>
          <w:sz w:val="32"/>
          <w:szCs w:val="32"/>
          <w:lang w:val="en-US" w:eastAsia="zh-CN" w:bidi="ar-SA"/>
        </w:rPr>
        <w:t>28.1</w:t>
      </w:r>
      <w:r>
        <w:rPr>
          <w:rFonts w:hint="default" w:ascii="Nimbus Roman No9 L" w:hAnsi="Nimbus Roman No9 L" w:eastAsia="仿宋_GB2312" w:cs="Nimbus Roman No9 L"/>
          <w:color w:val="000000"/>
          <w:sz w:val="32"/>
          <w:szCs w:val="32"/>
          <w:lang w:val="en-US" w:eastAsia="zh-CN" w:bidi="ar-SA"/>
        </w:rPr>
        <w:t>%，地方税收增长</w:t>
      </w:r>
      <w:r>
        <w:rPr>
          <w:rFonts w:hint="eastAsia" w:ascii="Nimbus Roman No9 L" w:hAnsi="Nimbus Roman No9 L" w:eastAsia="仿宋_GB2312" w:cs="Nimbus Roman No9 L"/>
          <w:color w:val="000000"/>
          <w:sz w:val="32"/>
          <w:szCs w:val="32"/>
          <w:lang w:val="en-US" w:eastAsia="zh-CN" w:bidi="ar-SA"/>
        </w:rPr>
        <w:t>28.8</w:t>
      </w:r>
      <w:r>
        <w:rPr>
          <w:rFonts w:hint="default" w:ascii="Nimbus Roman No9 L" w:hAnsi="Nimbus Roman No9 L" w:eastAsia="仿宋_GB2312" w:cs="Nimbus Roman No9 L"/>
          <w:color w:val="000000"/>
          <w:sz w:val="32"/>
          <w:szCs w:val="32"/>
          <w:lang w:val="en-US" w:eastAsia="zh-CN" w:bidi="ar-SA"/>
        </w:rPr>
        <w:t>%，城、乡居民人均可支配收入增长</w:t>
      </w:r>
      <w:r>
        <w:rPr>
          <w:rFonts w:hint="eastAsia" w:ascii="Nimbus Roman No9 L" w:hAnsi="Nimbus Roman No9 L" w:eastAsia="仿宋_GB2312" w:cs="Nimbus Roman No9 L"/>
          <w:color w:val="000000"/>
          <w:sz w:val="32"/>
          <w:szCs w:val="32"/>
          <w:lang w:val="en-US" w:eastAsia="zh-CN" w:bidi="ar-SA"/>
        </w:rPr>
        <w:t>6.9%</w:t>
      </w:r>
      <w:r>
        <w:rPr>
          <w:rFonts w:hint="default" w:ascii="Nimbus Roman No9 L" w:hAnsi="Nimbus Roman No9 L" w:eastAsia="仿宋_GB2312" w:cs="Nimbus Roman No9 L"/>
          <w:color w:val="000000"/>
          <w:sz w:val="32"/>
          <w:szCs w:val="32"/>
          <w:lang w:val="en-US" w:eastAsia="zh-CN" w:bidi="ar-SA"/>
        </w:rPr>
        <w:t>。外贸进出口总额首次突破2亿元，增长</w:t>
      </w:r>
      <w:r>
        <w:rPr>
          <w:rFonts w:hint="eastAsia" w:ascii="Nimbus Roman No9 L" w:hAnsi="Nimbus Roman No9 L" w:eastAsia="仿宋_GB2312" w:cs="Nimbus Roman No9 L"/>
          <w:color w:val="000000"/>
          <w:sz w:val="32"/>
          <w:szCs w:val="32"/>
          <w:lang w:val="en-US" w:eastAsia="zh-CN" w:bidi="ar-SA"/>
        </w:rPr>
        <w:t>485.43</w:t>
      </w:r>
      <w:r>
        <w:rPr>
          <w:rFonts w:hint="default" w:ascii="Nimbus Roman No9 L" w:hAnsi="Nimbus Roman No9 L" w:eastAsia="仿宋_GB2312" w:cs="Nimbus Roman No9 L"/>
          <w:color w:val="000000"/>
          <w:sz w:val="32"/>
          <w:szCs w:val="32"/>
          <w:lang w:val="en-US" w:eastAsia="zh-CN" w:bidi="ar-SA"/>
        </w:rPr>
        <w:t>%，创历史新高</w:t>
      </w:r>
      <w:r>
        <w:rPr>
          <w:rFonts w:hint="eastAsia" w:ascii="Nimbus Roman No9 L" w:hAnsi="Nimbus Roman No9 L" w:eastAsia="仿宋_GB2312" w:cs="Nimbus Roman No9 L"/>
          <w:color w:val="000000"/>
          <w:sz w:val="32"/>
          <w:szCs w:val="32"/>
          <w:lang w:val="en-US" w:eastAsia="zh-CN" w:bidi="ar-SA"/>
        </w:rPr>
        <w:t>，全</w:t>
      </w:r>
      <w:r>
        <w:rPr>
          <w:rFonts w:hint="eastAsia" w:ascii="仿宋_GB2312" w:hAnsi="仿宋_GB2312" w:eastAsia="仿宋_GB2312" w:cs="仿宋_GB2312"/>
          <w:spacing w:val="0"/>
          <w:sz w:val="32"/>
          <w:szCs w:val="32"/>
          <w:lang w:eastAsia="zh-CN"/>
        </w:rPr>
        <w:t>县农业生产总产值同比增长</w:t>
      </w:r>
      <w:r>
        <w:rPr>
          <w:rFonts w:hint="eastAsia" w:ascii="Nimbus Roman No9 L" w:hAnsi="Nimbus Roman No9 L" w:eastAsia="仿宋_GB2312" w:cs="Nimbus Roman No9 L"/>
          <w:color w:val="000000"/>
          <w:sz w:val="32"/>
          <w:szCs w:val="32"/>
          <w:lang w:val="en-US" w:eastAsia="zh-CN" w:bidi="ar-SA"/>
        </w:rPr>
        <w:t>3.8%</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我县县域经济发展有望进入全省“十快县”</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40" w:lineRule="exact"/>
        <w:ind w:firstLine="640" w:firstLineChars="200"/>
        <w:textAlignment w:val="auto"/>
        <w:rPr>
          <w:rFonts w:hint="eastAsia" w:ascii="仿宋" w:hAnsi="仿宋" w:cs="仿宋"/>
          <w:sz w:val="32"/>
          <w:szCs w:val="32"/>
          <w:lang w:val="en-US" w:eastAsia="zh-CN"/>
        </w:rPr>
      </w:pPr>
      <w:r>
        <w:rPr>
          <w:rFonts w:hint="eastAsia" w:ascii="仿宋" w:hAnsi="仿宋" w:cs="仿宋"/>
          <w:sz w:val="32"/>
          <w:szCs w:val="32"/>
          <w:lang w:val="en-US" w:eastAsia="zh-CN"/>
        </w:rPr>
        <w:t>存在的主要问题</w:t>
      </w:r>
    </w:p>
    <w:p>
      <w:pPr>
        <w:pStyle w:val="6"/>
        <w:widowControl/>
        <w:numPr>
          <w:ilvl w:val="0"/>
          <w:numId w:val="0"/>
        </w:numPr>
        <w:shd w:val="clear" w:color="auto" w:fill="FFFFFF"/>
        <w:spacing w:beforeAutospacing="0" w:afterAutospacing="0" w:line="520" w:lineRule="exact"/>
        <w:ind w:firstLine="640" w:firstLineChars="200"/>
        <w:jc w:val="both"/>
        <w:rPr>
          <w:rFonts w:hint="eastAsia" w:ascii="仿宋_GB2312" w:hAnsi="仿宋_GB2312" w:eastAsia="仿宋_GB2312" w:cs="仿宋_GB2312"/>
          <w:kern w:val="2"/>
          <w:sz w:val="32"/>
          <w:szCs w:val="32"/>
          <w:u w:val="none"/>
        </w:rPr>
      </w:pPr>
      <w:r>
        <w:rPr>
          <w:rFonts w:hint="eastAsia" w:ascii="仿宋_GB2312" w:hAnsi="仿宋_GB2312" w:eastAsia="仿宋_GB2312" w:cs="仿宋_GB2312"/>
          <w:kern w:val="2"/>
          <w:sz w:val="32"/>
          <w:szCs w:val="32"/>
          <w:u w:val="none"/>
        </w:rPr>
        <w:t>1、绩效评价管理制度尚不健全。办公室还尚未制定相关的管理办法和实施细则，无与实际相结合并具有指导意义的绩效管理工作机制和流程，绩效评价开展缺乏强有力的制度保障。</w:t>
      </w:r>
    </w:p>
    <w:p>
      <w:pPr>
        <w:pStyle w:val="6"/>
        <w:widowControl/>
        <w:shd w:val="clear" w:color="auto" w:fill="FFFFFF"/>
        <w:spacing w:beforeAutospacing="0" w:afterAutospacing="0" w:line="520" w:lineRule="exact"/>
        <w:ind w:firstLine="616" w:firstLineChars="200"/>
        <w:jc w:val="both"/>
        <w:rPr>
          <w:rFonts w:hint="eastAsia" w:ascii="仿宋_GB2312" w:hAnsi="仿宋_GB2312" w:eastAsia="仿宋_GB2312" w:cs="仿宋_GB2312"/>
          <w:spacing w:val="-6"/>
          <w:kern w:val="2"/>
          <w:sz w:val="32"/>
          <w:szCs w:val="32"/>
          <w:u w:val="none"/>
        </w:rPr>
      </w:pPr>
      <w:r>
        <w:rPr>
          <w:rFonts w:hint="eastAsia" w:ascii="仿宋_GB2312" w:hAnsi="仿宋_GB2312" w:eastAsia="仿宋_GB2312" w:cs="仿宋_GB2312"/>
          <w:spacing w:val="-6"/>
          <w:kern w:val="2"/>
          <w:sz w:val="32"/>
          <w:szCs w:val="32"/>
          <w:u w:val="none"/>
        </w:rPr>
        <w:t>2、绩效评价指标体系还不够完善、合理。财政支出的评价对象涉及行业多，项目之间差异性大，真正能体现项目效果的个性指标，在标准设计上存在难度，导致评价内容不够全面，评价数据采集缺少充分的调查分析和严密的逻辑关系，难以满足不同层面和不同性质的绩效评价需求。</w:t>
      </w:r>
    </w:p>
    <w:p>
      <w:pPr>
        <w:pStyle w:val="6"/>
        <w:widowControl/>
        <w:shd w:val="clear" w:color="auto" w:fill="FFFFFF"/>
        <w:spacing w:beforeAutospacing="0" w:afterAutospacing="0" w:line="520" w:lineRule="exact"/>
        <w:ind w:firstLine="640" w:firstLineChars="200"/>
        <w:jc w:val="both"/>
        <w:rPr>
          <w:rFonts w:hint="eastAsia" w:ascii="仿宋_GB2312" w:hAnsi="仿宋_GB2312" w:eastAsia="仿宋_GB2312" w:cs="仿宋_GB2312"/>
          <w:kern w:val="2"/>
          <w:sz w:val="32"/>
          <w:szCs w:val="32"/>
          <w:u w:val="none"/>
        </w:rPr>
      </w:pPr>
      <w:r>
        <w:rPr>
          <w:rFonts w:hint="eastAsia" w:ascii="仿宋_GB2312" w:hAnsi="仿宋_GB2312" w:eastAsia="仿宋_GB2312" w:cs="仿宋_GB2312"/>
          <w:kern w:val="2"/>
          <w:sz w:val="32"/>
          <w:szCs w:val="32"/>
          <w:u w:val="none"/>
        </w:rPr>
        <w:t>3、对绩效评价工作的认识不够。单位对财务绩效不重视，认为绩效评价只是财务部门的事情，相关项目职责部门配合不够，往往只能提供有限的财经资料或简单的工作计划、工作总结，绩效评价工作资料非常有限，内容粗浅。大多数时候只能借用工作计划，工作总结等做为绩效自评报告的主要内容。</w:t>
      </w:r>
    </w:p>
    <w:p>
      <w:pPr>
        <w:pStyle w:val="6"/>
        <w:widowControl/>
        <w:shd w:val="clear" w:color="auto" w:fill="FFFFFF"/>
        <w:spacing w:beforeAutospacing="0" w:afterAutospacing="0" w:line="520" w:lineRule="exact"/>
        <w:ind w:firstLine="640" w:firstLineChars="200"/>
        <w:jc w:val="both"/>
        <w:rPr>
          <w:rFonts w:hint="eastAsia" w:ascii="仿宋_GB2312" w:hAnsi="仿宋_GB2312" w:eastAsia="仿宋_GB2312" w:cs="仿宋_GB2312"/>
          <w:kern w:val="2"/>
          <w:sz w:val="32"/>
          <w:szCs w:val="32"/>
          <w:u w:val="none"/>
        </w:rPr>
      </w:pPr>
      <w:r>
        <w:rPr>
          <w:rFonts w:hint="eastAsia" w:ascii="仿宋_GB2312" w:hAnsi="仿宋_GB2312" w:eastAsia="仿宋_GB2312" w:cs="仿宋_GB2312"/>
          <w:kern w:val="2"/>
          <w:sz w:val="32"/>
          <w:szCs w:val="32"/>
          <w:u w:val="none"/>
        </w:rPr>
        <w:t>4、人员素质有待进一步提高。由于预算绩效管理工作开展时间短，涉及面广，专业性强，加上缺乏系统的培训，单位对预算绩效管理理解不充分，对预算绩效管理业务不精通，在一定程度上影响了绩效评价工作质量。</w:t>
      </w:r>
    </w:p>
    <w:p>
      <w:pPr>
        <w:pStyle w:val="2"/>
        <w:numPr>
          <w:ilvl w:val="0"/>
          <w:numId w:val="0"/>
        </w:numPr>
        <w:ind w:firstLine="640" w:firstLineChars="200"/>
        <w:rPr>
          <w:rFonts w:hint="eastAsia" w:ascii="仿宋" w:hAnsi="仿宋" w:cs="仿宋"/>
          <w:sz w:val="32"/>
          <w:szCs w:val="32"/>
          <w:lang w:val="en-US" w:eastAsia="zh-CN"/>
        </w:rPr>
      </w:pPr>
      <w:r>
        <w:rPr>
          <w:rFonts w:hint="eastAsia" w:ascii="仿宋" w:hAnsi="仿宋" w:cs="仿宋"/>
          <w:sz w:val="32"/>
          <w:szCs w:val="32"/>
          <w:lang w:val="en-US" w:eastAsia="zh-CN"/>
        </w:rPr>
        <w:t>七、改进措施和有关建议</w:t>
      </w:r>
    </w:p>
    <w:p>
      <w:pPr>
        <w:numPr>
          <w:ilvl w:val="0"/>
          <w:numId w:val="0"/>
        </w:numPr>
        <w:adjustRightInd w:val="0"/>
        <w:snapToGrid w:val="0"/>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加大财务绩效评价工作的宣传和培训力度。</w:t>
      </w:r>
    </w:p>
    <w:p>
      <w:pPr>
        <w:pStyle w:val="2"/>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辰溪县农业农村局</w:t>
      </w:r>
    </w:p>
    <w:p>
      <w:pPr>
        <w:pStyle w:val="2"/>
        <w:jc w:val="right"/>
        <w:rPr>
          <w:rFonts w:hint="default"/>
          <w:lang w:val="en-US" w:eastAsia="zh-CN"/>
        </w:rPr>
      </w:pPr>
      <w:r>
        <w:rPr>
          <w:rFonts w:hint="eastAsia" w:ascii="仿宋_GB2312" w:hAnsi="仿宋_GB2312" w:eastAsia="仿宋_GB2312" w:cs="仿宋_GB2312"/>
          <w:sz w:val="32"/>
          <w:szCs w:val="32"/>
          <w:lang w:val="en-US" w:eastAsia="zh-CN"/>
        </w:rPr>
        <w:t>2023年3月20日</w:t>
      </w:r>
    </w:p>
    <w:p>
      <w:pPr>
        <w:pStyle w:val="2"/>
        <w:rPr>
          <w:rFonts w:hint="eastAsia"/>
          <w:lang w:eastAsia="zh-CN"/>
        </w:rPr>
      </w:pPr>
    </w:p>
    <w:p>
      <w:pPr>
        <w:pStyle w:val="3"/>
        <w:numPr>
          <w:ilvl w:val="0"/>
          <w:numId w:val="0"/>
        </w:numPr>
        <w:ind w:leftChars="200"/>
        <w:rPr>
          <w:rFonts w:hint="default"/>
          <w:lang w:val="en-US" w:eastAsia="zh-CN"/>
        </w:rPr>
      </w:pPr>
    </w:p>
    <w:p>
      <w:pPr>
        <w:rPr>
          <w:rFonts w:hint="default"/>
          <w:lang w:val="en-US" w:eastAsia="zh-CN"/>
        </w:rPr>
      </w:pPr>
    </w:p>
    <w:p>
      <w:pPr>
        <w:pStyle w:val="2"/>
        <w:rPr>
          <w:rFonts w:hint="default"/>
          <w:lang w:val="en-US" w:eastAsia="zh-CN"/>
        </w:rPr>
      </w:pPr>
    </w:p>
    <w:p>
      <w:pPr>
        <w:pStyle w:val="3"/>
        <w:rPr>
          <w:rFonts w:hint="default"/>
          <w:lang w:val="en-US" w:eastAsia="zh-CN"/>
        </w:rPr>
      </w:pPr>
    </w:p>
    <w:p>
      <w:pPr>
        <w:jc w:val="left"/>
        <w:rPr>
          <w:rFonts w:hint="eastAsia" w:ascii="Arial" w:hAnsi="Arial" w:cs="Arial"/>
          <w:i w:val="0"/>
          <w:iCs w:val="0"/>
          <w:color w:val="000000"/>
          <w:sz w:val="22"/>
          <w:szCs w:val="22"/>
          <w:u w:val="none"/>
        </w:rPr>
      </w:pPr>
    </w:p>
    <w:p>
      <w:pPr>
        <w:jc w:val="left"/>
        <w:rPr>
          <w:rFonts w:hint="eastAsia" w:ascii="Arial" w:hAnsi="Arial" w:cs="Arial"/>
          <w:i w:val="0"/>
          <w:iCs w:val="0"/>
          <w:color w:val="000000"/>
          <w:sz w:val="22"/>
          <w:szCs w:val="22"/>
          <w:u w:val="none"/>
        </w:rPr>
      </w:pPr>
    </w:p>
    <w:p>
      <w:pPr>
        <w:jc w:val="left"/>
        <w:rPr>
          <w:rFonts w:hint="eastAsia" w:ascii="Arial" w:hAnsi="Arial" w:cs="Arial"/>
          <w:i w:val="0"/>
          <w:iCs w:val="0"/>
          <w:color w:val="000000"/>
          <w:sz w:val="22"/>
          <w:szCs w:val="22"/>
          <w:u w:val="none"/>
        </w:rPr>
      </w:pPr>
    </w:p>
    <w:p>
      <w:pPr>
        <w:jc w:val="left"/>
        <w:rPr>
          <w:rFonts w:hint="eastAsia" w:ascii="Arial" w:hAnsi="Arial" w:cs="Arial"/>
          <w:i w:val="0"/>
          <w:iCs w:val="0"/>
          <w:color w:val="000000"/>
          <w:sz w:val="22"/>
          <w:szCs w:val="22"/>
          <w:u w:val="none"/>
        </w:rPr>
      </w:pPr>
    </w:p>
    <w:tbl>
      <w:tblPr>
        <w:tblStyle w:val="7"/>
        <w:tblW w:w="91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442"/>
        <w:gridCol w:w="288"/>
        <w:gridCol w:w="467"/>
        <w:gridCol w:w="438"/>
        <w:gridCol w:w="696"/>
        <w:gridCol w:w="527"/>
        <w:gridCol w:w="2757"/>
        <w:gridCol w:w="3037"/>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9" w:hRule="atLeast"/>
        </w:trPr>
        <w:tc>
          <w:tcPr>
            <w:tcW w:w="730" w:type="dxa"/>
            <w:gridSpan w:val="2"/>
            <w:tcBorders>
              <w:top w:val="nil"/>
              <w:left w:val="nil"/>
              <w:bottom w:val="nil"/>
              <w:right w:val="nil"/>
            </w:tcBorders>
            <w:shd w:val="clear" w:color="auto" w:fill="auto"/>
            <w:tcMar>
              <w:top w:w="15" w:type="dxa"/>
              <w:left w:w="15" w:type="dxa"/>
              <w:right w:w="15" w:type="dxa"/>
            </w:tcMar>
            <w:vAlign w:val="top"/>
          </w:tcPr>
          <w:p>
            <w:pPr>
              <w:jc w:val="left"/>
              <w:rPr>
                <w:rFonts w:hint="eastAsia" w:ascii="Arial" w:hAnsi="Arial" w:cs="Arial"/>
                <w:i w:val="0"/>
                <w:iCs w:val="0"/>
                <w:color w:val="000000"/>
                <w:sz w:val="22"/>
                <w:szCs w:val="22"/>
                <w:u w:val="none"/>
              </w:rPr>
            </w:pPr>
          </w:p>
        </w:tc>
        <w:tc>
          <w:tcPr>
            <w:tcW w:w="905" w:type="dxa"/>
            <w:gridSpan w:val="2"/>
            <w:tcBorders>
              <w:top w:val="nil"/>
              <w:left w:val="nil"/>
              <w:bottom w:val="nil"/>
              <w:right w:val="nil"/>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default" w:ascii="Arial" w:hAnsi="Arial" w:cs="Arial"/>
                <w:i w:val="0"/>
                <w:iCs w:val="0"/>
                <w:color w:val="000000"/>
                <w:sz w:val="22"/>
                <w:szCs w:val="22"/>
                <w:u w:val="none"/>
              </w:rPr>
            </w:pPr>
            <w:r>
              <w:rPr>
                <w:rFonts w:ascii="仿宋" w:hAnsi="仿宋" w:eastAsia="仿宋" w:cs="仿宋"/>
                <w:i w:val="0"/>
                <w:iCs w:val="0"/>
                <w:color w:val="000000"/>
                <w:kern w:val="0"/>
                <w:sz w:val="28"/>
                <w:szCs w:val="28"/>
                <w:u w:val="none"/>
                <w:lang w:val="en-US" w:eastAsia="zh-CN" w:bidi="ar"/>
              </w:rPr>
              <w:t>附件</w:t>
            </w:r>
            <w:r>
              <w:rPr>
                <w:rFonts w:hint="eastAsia" w:ascii="仿宋" w:hAnsi="仿宋" w:eastAsia="仿宋" w:cs="仿宋"/>
                <w:i w:val="0"/>
                <w:iCs w:val="0"/>
                <w:color w:val="000000"/>
                <w:kern w:val="0"/>
                <w:sz w:val="28"/>
                <w:szCs w:val="28"/>
                <w:u w:val="none"/>
                <w:lang w:val="en-US" w:eastAsia="zh-CN" w:bidi="ar"/>
              </w:rPr>
              <w:t> 1</w:t>
            </w:r>
          </w:p>
        </w:tc>
        <w:tc>
          <w:tcPr>
            <w:tcW w:w="7557" w:type="dxa"/>
            <w:gridSpan w:val="5"/>
            <w:tcBorders>
              <w:top w:val="nil"/>
              <w:left w:val="nil"/>
              <w:bottom w:val="nil"/>
              <w:right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802" w:hRule="atLeast"/>
        </w:trPr>
        <w:tc>
          <w:tcPr>
            <w:tcW w:w="1635" w:type="dxa"/>
            <w:gridSpan w:val="4"/>
            <w:tcBorders>
              <w:top w:val="nil"/>
              <w:left w:val="nil"/>
              <w:bottom w:val="single" w:color="auto" w:sz="4" w:space="0"/>
              <w:right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7557" w:type="dxa"/>
            <w:gridSpan w:val="5"/>
            <w:tcBorders>
              <w:top w:val="nil"/>
              <w:left w:val="nil"/>
              <w:bottom w:val="single" w:color="auto" w:sz="4" w:space="0"/>
              <w:right w:val="nil"/>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default" w:ascii="Arial" w:hAnsi="Arial" w:cs="Arial"/>
                <w:i w:val="0"/>
                <w:iCs w:val="0"/>
                <w:color w:val="000000"/>
                <w:sz w:val="22"/>
                <w:szCs w:val="22"/>
                <w:u w:val="none"/>
              </w:rPr>
            </w:pPr>
            <w:r>
              <w:rPr>
                <w:rFonts w:ascii="微软雅黑" w:hAnsi="微软雅黑" w:eastAsia="微软雅黑" w:cs="微软雅黑"/>
                <w:i w:val="0"/>
                <w:iCs w:val="0"/>
                <w:color w:val="000000"/>
                <w:kern w:val="0"/>
                <w:sz w:val="42"/>
                <w:szCs w:val="42"/>
                <w:u w:val="none"/>
                <w:lang w:val="en-US" w:eastAsia="zh-CN" w:bidi="ar"/>
              </w:rPr>
              <w:t>部门整体支出绩效评价共性指标表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024" w:hRule="atLeast"/>
        </w:trPr>
        <w:tc>
          <w:tcPr>
            <w:tcW w:w="442" w:type="dxa"/>
            <w:tcBorders>
              <w:top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一级</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指标</w:t>
            </w:r>
          </w:p>
        </w:tc>
        <w:tc>
          <w:tcPr>
            <w:tcW w:w="288" w:type="dxa"/>
            <w:tcBorders>
              <w:top w:val="single" w:color="auto"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分值</w:t>
            </w:r>
          </w:p>
        </w:tc>
        <w:tc>
          <w:tcPr>
            <w:tcW w:w="467" w:type="dxa"/>
            <w:tcBorders>
              <w:top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二级</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指标</w:t>
            </w:r>
          </w:p>
        </w:tc>
        <w:tc>
          <w:tcPr>
            <w:tcW w:w="438" w:type="dxa"/>
            <w:tcBorders>
              <w:top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分值</w:t>
            </w:r>
          </w:p>
        </w:tc>
        <w:tc>
          <w:tcPr>
            <w:tcW w:w="696" w:type="dxa"/>
            <w:tcBorders>
              <w:top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三级</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指标</w:t>
            </w:r>
          </w:p>
        </w:tc>
        <w:tc>
          <w:tcPr>
            <w:tcW w:w="527" w:type="dxa"/>
            <w:tcBorders>
              <w:top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分值</w:t>
            </w:r>
          </w:p>
        </w:tc>
        <w:tc>
          <w:tcPr>
            <w:tcW w:w="2757" w:type="dxa"/>
            <w:tcBorders>
              <w:top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评价标准</w:t>
            </w:r>
          </w:p>
        </w:tc>
        <w:tc>
          <w:tcPr>
            <w:tcW w:w="3037" w:type="dxa"/>
            <w:tcBorders>
              <w:top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指标说明</w:t>
            </w:r>
          </w:p>
        </w:tc>
        <w:tc>
          <w:tcPr>
            <w:tcW w:w="540" w:type="dxa"/>
            <w:tcBorders>
              <w:top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600" w:hRule="atLeast"/>
        </w:trPr>
        <w:tc>
          <w:tcPr>
            <w:tcW w:w="442"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投入</w:t>
            </w:r>
          </w:p>
        </w:tc>
        <w:tc>
          <w:tcPr>
            <w:tcW w:w="288"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0</w:t>
            </w:r>
          </w:p>
        </w:tc>
        <w:tc>
          <w:tcPr>
            <w:tcW w:w="467"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预算</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配置</w:t>
            </w:r>
          </w:p>
        </w:tc>
        <w:tc>
          <w:tcPr>
            <w:tcW w:w="438"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10分值</w:t>
            </w: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在职人</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员控制</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以 100%为标准。在职人员控制率</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100%，计 5 分；每超过一个百</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分点扣 0.5 分，扣完为止。</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在职人员控制率=（在职人员数/编制</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数） ×100%，在职人员数：部门（单</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位） 实际在职人数， 以财政确定的部门决算编制口径为准。</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编制数：机构编制部门核定批复的部</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门（单位） 的人员编制数。</w:t>
            </w:r>
          </w:p>
        </w:tc>
        <w:tc>
          <w:tcPr>
            <w:tcW w:w="540" w:type="dxa"/>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p>
            <w:pPr>
              <w:bidi w:val="0"/>
              <w:jc w:val="center"/>
              <w:rPr>
                <w:rFonts w:hint="default" w:asciiTheme="minorHAnsi" w:hAnsiTheme="minorHAnsi" w:eastAsiaTheme="minorEastAsia" w:cstheme="minorBidi"/>
                <w:kern w:val="2"/>
                <w:sz w:val="21"/>
                <w:szCs w:val="24"/>
                <w:lang w:val="en-US" w:eastAsia="zh-CN" w:bidi="ar-SA"/>
              </w:rPr>
            </w:pPr>
          </w:p>
          <w:p>
            <w:pPr>
              <w:bidi w:val="0"/>
              <w:jc w:val="center"/>
              <w:rPr>
                <w:rFonts w:hint="default"/>
                <w:lang w:val="en-US" w:eastAsia="zh-CN"/>
              </w:rPr>
            </w:pPr>
          </w:p>
          <w:p>
            <w:pPr>
              <w:bidi w:val="0"/>
              <w:jc w:val="center"/>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074" w:hRule="atLeast"/>
        </w:trPr>
        <w:tc>
          <w:tcPr>
            <w:tcW w:w="442"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438" w:type="dxa"/>
            <w:vMerge w:val="continue"/>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三公</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经费”变</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动率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三公经费”变动率</w:t>
            </w:r>
            <w:r>
              <w:rPr>
                <w:rFonts w:ascii="宋体" w:hAnsi="宋体" w:eastAsia="宋体" w:cs="宋体"/>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0,计 5 分；</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三公经费”＞0，每超过一个百</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分点扣 0.5 分，扣完为止。</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 三公经费” 变动率=[（本年度 “ 三公经费”预算数-上年度 “ 三公经费”预算数）/上年度“ 三公经费”预算数]×100%</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888" w:hRule="atLeast"/>
        </w:trPr>
        <w:tc>
          <w:tcPr>
            <w:tcW w:w="442"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过程</w:t>
            </w:r>
          </w:p>
        </w:tc>
        <w:tc>
          <w:tcPr>
            <w:tcW w:w="288"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6</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0</w:t>
            </w:r>
          </w:p>
        </w:tc>
        <w:tc>
          <w:tcPr>
            <w:tcW w:w="467"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预算</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执行</w:t>
            </w:r>
          </w:p>
        </w:tc>
        <w:tc>
          <w:tcPr>
            <w:tcW w:w="438"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预算完</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成率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100%计满分，每低于 5%扣 2 分，</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扣完为止。</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预算完成率=（上年结转+年初预算+本年追加预算-年末结余）/（上年结转+年初预算+本年追加预算） ×100%。</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178" w:hRule="atLeast"/>
        </w:trPr>
        <w:tc>
          <w:tcPr>
            <w:tcW w:w="442"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438" w:type="dxa"/>
            <w:vMerge w:val="continue"/>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预算控</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制率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预算控制率=0，计 5 分； 0-10%</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（含），计 4 分；10-20%（含），</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计 3 分；20-30%（含），计 2 分；</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大于 30%不得分。</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预算控制率=（本年追加预算/年初预</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算） ×100%。</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074" w:hRule="atLeast"/>
        </w:trPr>
        <w:tc>
          <w:tcPr>
            <w:tcW w:w="442"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438" w:type="dxa"/>
            <w:vMerge w:val="continue"/>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新建楼</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堂馆所</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面积控</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制率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100%以下（含）计满分，每超出</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5%扣 2 分，扣完为止。 没有楼堂</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馆所项目的部门按满分计算。</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楼堂馆所面积控制率=实际建设面积/批准建设面积×100% 。</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该指标以 2022 年完工的新建楼堂馆所为评价内容。</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337" w:hRule="atLeast"/>
        </w:trPr>
        <w:tc>
          <w:tcPr>
            <w:tcW w:w="442"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438" w:type="dxa"/>
            <w:vMerge w:val="continue"/>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新建楼</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堂馆所</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投资概</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算控制</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100%以下（含）计满分，每超出</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5%扣 2 分，扣完为止。</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楼堂馆所投资预算控制率=实际投资</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金额/批准投资金额×100% 。</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该指标以 2022 年完工的新建楼堂馆所为评价内容。</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150" w:hRule="atLeast"/>
        </w:trPr>
        <w:tc>
          <w:tcPr>
            <w:tcW w:w="442"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预算</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管理</w:t>
            </w:r>
          </w:p>
        </w:tc>
        <w:tc>
          <w:tcPr>
            <w:tcW w:w="438"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公用经</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费控制</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100%以下（含）计满分，每超出</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1%扣 1 分，扣完为止。</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公用经费控制率=（实际支出公用经费</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总额/预算安排公用经费总额） ×100%。公用经费支出是指部门基本支出中的</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一般商品和服务支出。</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924" w:hRule="atLeast"/>
        </w:trPr>
        <w:tc>
          <w:tcPr>
            <w:tcW w:w="442"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438" w:type="dxa"/>
            <w:vMerge w:val="continue"/>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三公</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经费”控</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制率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100%以下（含）计满分，每超出</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1%扣 1 分，扣完为止。</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三公经费”控制率-（ “ 三公经费”</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实际支出数/“三公经费”预算安排数）</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×100%。</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848" w:hRule="atLeast"/>
        </w:trPr>
        <w:tc>
          <w:tcPr>
            <w:tcW w:w="442"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438" w:type="dxa"/>
            <w:vMerge w:val="continue"/>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政府采</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购执行</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100%计满分，每超过（降低） 5%</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扣 2 分。 扣完为止。</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政府采购执行率=（实际政府采购金额</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/政府采购预算数） ×100%</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770" w:hRule="atLeast"/>
        </w:trPr>
        <w:tc>
          <w:tcPr>
            <w:tcW w:w="442"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一级</w:t>
            </w:r>
          </w:p>
          <w:p>
            <w:pPr>
              <w:keepNext w:val="0"/>
              <w:keepLines w:val="0"/>
              <w:widowControl/>
              <w:suppressLineNumbers w:val="0"/>
              <w:jc w:val="left"/>
              <w:textAlignment w:val="center"/>
              <w:rPr>
                <w:rFonts w:hint="eastAsia" w:ascii="Arial" w:hAnsi="Arial" w:cs="Arial" w:eastAsiaTheme="minorEastAsia"/>
                <w:i w:val="0"/>
                <w:iCs w:val="0"/>
                <w:color w:val="000000"/>
                <w:kern w:val="2"/>
                <w:sz w:val="22"/>
                <w:szCs w:val="22"/>
                <w:u w:val="none"/>
                <w:lang w:val="en-US" w:eastAsia="zh-CN" w:bidi="ar-SA"/>
              </w:rPr>
            </w:pPr>
            <w:r>
              <w:rPr>
                <w:rFonts w:hint="eastAsia" w:ascii="仿宋" w:hAnsi="仿宋" w:eastAsia="仿宋" w:cs="仿宋"/>
                <w:i w:val="0"/>
                <w:iCs w:val="0"/>
                <w:color w:val="000000"/>
                <w:kern w:val="0"/>
                <w:sz w:val="18"/>
                <w:szCs w:val="18"/>
                <w:u w:val="none"/>
                <w:lang w:val="en-US" w:eastAsia="zh-CN" w:bidi="ar"/>
              </w:rPr>
              <w:t>指标</w:t>
            </w:r>
          </w:p>
        </w:tc>
        <w:tc>
          <w:tcPr>
            <w:tcW w:w="288"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default" w:ascii="Arial" w:hAnsi="Arial" w:cs="Arial" w:eastAsiaTheme="minorEastAsia"/>
                <w:i w:val="0"/>
                <w:iCs w:val="0"/>
                <w:color w:val="000000"/>
                <w:kern w:val="2"/>
                <w:sz w:val="22"/>
                <w:szCs w:val="22"/>
                <w:u w:val="none"/>
                <w:lang w:val="en-US" w:eastAsia="zh-CN" w:bidi="ar-SA"/>
              </w:rPr>
            </w:pPr>
            <w:r>
              <w:rPr>
                <w:rFonts w:hint="eastAsia" w:ascii="仿宋" w:hAnsi="仿宋" w:eastAsia="仿宋" w:cs="仿宋"/>
                <w:i w:val="0"/>
                <w:iCs w:val="0"/>
                <w:color w:val="000000"/>
                <w:kern w:val="0"/>
                <w:sz w:val="18"/>
                <w:szCs w:val="18"/>
                <w:u w:val="none"/>
                <w:lang w:val="en-US" w:eastAsia="zh-CN" w:bidi="ar"/>
              </w:rPr>
              <w:t>分值</w:t>
            </w:r>
          </w:p>
        </w:tc>
        <w:tc>
          <w:tcPr>
            <w:tcW w:w="46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二级</w:t>
            </w:r>
          </w:p>
          <w:p>
            <w:pPr>
              <w:keepNext w:val="0"/>
              <w:keepLines w:val="0"/>
              <w:widowControl/>
              <w:suppressLineNumbers w:val="0"/>
              <w:jc w:val="center"/>
              <w:textAlignment w:val="center"/>
              <w:rPr>
                <w:rFonts w:hint="eastAsia" w:ascii="Arial" w:hAnsi="Arial" w:cs="Arial" w:eastAsiaTheme="minorEastAsia"/>
                <w:i w:val="0"/>
                <w:iCs w:val="0"/>
                <w:color w:val="000000"/>
                <w:kern w:val="2"/>
                <w:sz w:val="22"/>
                <w:szCs w:val="22"/>
                <w:u w:val="none"/>
                <w:lang w:val="en-US" w:eastAsia="zh-CN" w:bidi="ar-SA"/>
              </w:rPr>
            </w:pPr>
            <w:r>
              <w:rPr>
                <w:rFonts w:hint="eastAsia" w:ascii="仿宋" w:hAnsi="仿宋" w:eastAsia="仿宋" w:cs="仿宋"/>
                <w:i w:val="0"/>
                <w:iCs w:val="0"/>
                <w:color w:val="000000"/>
                <w:kern w:val="0"/>
                <w:sz w:val="18"/>
                <w:szCs w:val="18"/>
                <w:u w:val="none"/>
                <w:lang w:val="en-US" w:eastAsia="zh-CN" w:bidi="ar"/>
              </w:rPr>
              <w:t>指标</w:t>
            </w:r>
          </w:p>
        </w:tc>
        <w:tc>
          <w:tcPr>
            <w:tcW w:w="438" w:type="dxa"/>
            <w:vMerge w:val="continue"/>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Arial" w:hAnsi="Arial" w:cs="Arial" w:eastAsiaTheme="minorEastAsia"/>
                <w:i w:val="0"/>
                <w:iCs w:val="0"/>
                <w:color w:val="000000"/>
                <w:kern w:val="2"/>
                <w:sz w:val="22"/>
                <w:szCs w:val="22"/>
                <w:u w:val="none"/>
                <w:lang w:val="en-US" w:eastAsia="zh-CN" w:bidi="ar-SA"/>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三级</w:t>
            </w:r>
          </w:p>
          <w:p>
            <w:pPr>
              <w:keepNext w:val="0"/>
              <w:keepLines w:val="0"/>
              <w:widowControl/>
              <w:suppressLineNumbers w:val="0"/>
              <w:jc w:val="center"/>
              <w:textAlignment w:val="center"/>
              <w:rPr>
                <w:rFonts w:hint="eastAsia" w:ascii="Arial" w:hAnsi="Arial" w:cs="Arial" w:eastAsiaTheme="minorEastAsia"/>
                <w:i w:val="0"/>
                <w:iCs w:val="0"/>
                <w:color w:val="000000"/>
                <w:kern w:val="2"/>
                <w:sz w:val="22"/>
                <w:szCs w:val="22"/>
                <w:u w:val="none"/>
                <w:lang w:val="en-US" w:eastAsia="zh-CN" w:bidi="ar-SA"/>
              </w:rPr>
            </w:pPr>
            <w:r>
              <w:rPr>
                <w:rFonts w:hint="eastAsia" w:ascii="仿宋" w:hAnsi="仿宋" w:eastAsia="仿宋" w:cs="仿宋"/>
                <w:i w:val="0"/>
                <w:iCs w:val="0"/>
                <w:color w:val="000000"/>
                <w:kern w:val="0"/>
                <w:sz w:val="18"/>
                <w:szCs w:val="18"/>
                <w:u w:val="none"/>
                <w:lang w:val="en-US" w:eastAsia="zh-CN" w:bidi="ar"/>
              </w:rPr>
              <w:t>指标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Arial" w:hAnsi="Arial" w:cs="Arial" w:eastAsiaTheme="minorEastAsia"/>
                <w:i w:val="0"/>
                <w:iCs w:val="0"/>
                <w:color w:val="000000"/>
                <w:kern w:val="2"/>
                <w:sz w:val="22"/>
                <w:szCs w:val="22"/>
                <w:u w:val="none"/>
                <w:lang w:val="en-US" w:eastAsia="zh-CN" w:bidi="ar-SA"/>
              </w:rPr>
            </w:pPr>
            <w:r>
              <w:rPr>
                <w:rFonts w:hint="eastAsia" w:ascii="仿宋" w:hAnsi="仿宋" w:eastAsia="仿宋" w:cs="仿宋"/>
                <w:i w:val="0"/>
                <w:iCs w:val="0"/>
                <w:color w:val="000000"/>
                <w:kern w:val="0"/>
                <w:sz w:val="18"/>
                <w:szCs w:val="18"/>
                <w:u w:val="none"/>
                <w:lang w:val="en-US" w:eastAsia="zh-CN" w:bidi="ar"/>
              </w:rPr>
              <w:t>分值</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Arial" w:hAnsi="Arial" w:cs="Arial" w:eastAsiaTheme="minorEastAsia"/>
                <w:i w:val="0"/>
                <w:iCs w:val="0"/>
                <w:color w:val="000000"/>
                <w:kern w:val="2"/>
                <w:sz w:val="22"/>
                <w:szCs w:val="22"/>
                <w:u w:val="none"/>
                <w:lang w:val="en-US" w:eastAsia="zh-CN" w:bidi="ar-SA"/>
              </w:rPr>
            </w:pPr>
            <w:r>
              <w:rPr>
                <w:rFonts w:hint="eastAsia" w:ascii="仿宋" w:hAnsi="仿宋" w:eastAsia="仿宋" w:cs="仿宋"/>
                <w:i w:val="0"/>
                <w:iCs w:val="0"/>
                <w:color w:val="000000"/>
                <w:kern w:val="0"/>
                <w:sz w:val="18"/>
                <w:szCs w:val="18"/>
                <w:u w:val="none"/>
                <w:lang w:val="en-US" w:eastAsia="zh-CN" w:bidi="ar"/>
              </w:rPr>
              <w:t>评价标准</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cs="Arial" w:eastAsiaTheme="minorEastAsia"/>
                <w:i w:val="0"/>
                <w:iCs w:val="0"/>
                <w:color w:val="000000"/>
                <w:kern w:val="2"/>
                <w:sz w:val="22"/>
                <w:szCs w:val="22"/>
                <w:u w:val="none"/>
                <w:lang w:val="en-US" w:eastAsia="zh-CN" w:bidi="ar-SA"/>
              </w:rPr>
            </w:pPr>
            <w:r>
              <w:rPr>
                <w:rFonts w:hint="eastAsia" w:ascii="仿宋" w:hAnsi="仿宋" w:eastAsia="仿宋" w:cs="仿宋"/>
                <w:i w:val="0"/>
                <w:iCs w:val="0"/>
                <w:color w:val="000000"/>
                <w:kern w:val="0"/>
                <w:sz w:val="18"/>
                <w:szCs w:val="18"/>
                <w:u w:val="none"/>
                <w:lang w:val="en-US" w:eastAsia="zh-CN" w:bidi="ar"/>
              </w:rPr>
              <w:t>指标说明</w:t>
            </w:r>
          </w:p>
        </w:tc>
        <w:tc>
          <w:tcPr>
            <w:tcW w:w="54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cs="Arial" w:eastAsiaTheme="minorEastAsia"/>
                <w:i w:val="0"/>
                <w:iCs w:val="0"/>
                <w:color w:val="000000"/>
                <w:kern w:val="2"/>
                <w:sz w:val="22"/>
                <w:szCs w:val="22"/>
                <w:u w:val="none"/>
                <w:lang w:val="en-US" w:eastAsia="zh-CN" w:bidi="ar-SA"/>
              </w:rPr>
            </w:pPr>
            <w:r>
              <w:rPr>
                <w:rFonts w:hint="eastAsia" w:ascii="仿宋" w:hAnsi="仿宋" w:eastAsia="仿宋" w:cs="仿宋"/>
                <w:i w:val="0"/>
                <w:iCs w:val="0"/>
                <w:color w:val="000000"/>
                <w:kern w:val="0"/>
                <w:sz w:val="18"/>
                <w:szCs w:val="18"/>
                <w:u w:val="none"/>
                <w:lang w:val="en-US" w:eastAsia="zh-CN" w:bidi="ar"/>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90" w:hRule="atLeast"/>
        </w:trPr>
        <w:tc>
          <w:tcPr>
            <w:tcW w:w="442"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过</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程</w:t>
            </w:r>
          </w:p>
        </w:tc>
        <w:tc>
          <w:tcPr>
            <w:tcW w:w="288"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p>
          <w:p>
            <w:pPr>
              <w:keepNext w:val="0"/>
              <w:keepLines w:val="0"/>
              <w:widowControl/>
              <w:suppressLineNumbers w:val="0"/>
              <w:jc w:val="center"/>
              <w:textAlignment w:val="top"/>
              <w:rPr>
                <w:rFonts w:hint="default" w:ascii="Arial" w:hAnsi="Arial" w:cs="Arial" w:eastAsiaTheme="minorEastAsia"/>
                <w:i w:val="0"/>
                <w:iCs w:val="0"/>
                <w:color w:val="000000"/>
                <w:kern w:val="2"/>
                <w:sz w:val="22"/>
                <w:szCs w:val="22"/>
                <w:u w:val="none"/>
                <w:lang w:val="en-US" w:eastAsia="zh-CN" w:bidi="ar-SA"/>
              </w:rPr>
            </w:pPr>
          </w:p>
        </w:tc>
        <w:tc>
          <w:tcPr>
            <w:tcW w:w="467"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预算</w:t>
            </w:r>
          </w:p>
          <w:p>
            <w:pPr>
              <w:keepNext w:val="0"/>
              <w:keepLines w:val="0"/>
              <w:widowControl/>
              <w:suppressLineNumbers w:val="0"/>
              <w:jc w:val="center"/>
              <w:textAlignment w:val="top"/>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管理</w:t>
            </w:r>
          </w:p>
        </w:tc>
        <w:tc>
          <w:tcPr>
            <w:tcW w:w="438" w:type="dxa"/>
            <w:vMerge w:val="continue"/>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p>
        </w:tc>
        <w:tc>
          <w:tcPr>
            <w:tcW w:w="696"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管理制</w:t>
            </w:r>
          </w:p>
          <w:p>
            <w:pPr>
              <w:keepNext w:val="0"/>
              <w:keepLines w:val="0"/>
              <w:widowControl/>
              <w:suppressLineNumbers w:val="0"/>
              <w:jc w:val="left"/>
              <w:textAlignment w:val="top"/>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度健全</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性</w:t>
            </w:r>
          </w:p>
        </w:tc>
        <w:tc>
          <w:tcPr>
            <w:tcW w:w="527"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①有内部财务管理制度、会计核</w:t>
            </w:r>
          </w:p>
        </w:tc>
        <w:tc>
          <w:tcPr>
            <w:tcW w:w="3037" w:type="dxa"/>
            <w:vMerge w:val="restart"/>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540" w:type="dxa"/>
            <w:vMerge w:val="restart"/>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337" w:hRule="atLeast"/>
        </w:trPr>
        <w:tc>
          <w:tcPr>
            <w:tcW w:w="442" w:type="dxa"/>
            <w:vMerge w:val="continue"/>
            <w:tcBorders>
              <w:tl2br w:val="nil"/>
              <w:tr2bl w:val="nil"/>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Arial" w:hAnsi="Arial" w:cs="Arial" w:eastAsiaTheme="minorEastAsia"/>
                <w:i w:val="0"/>
                <w:iCs w:val="0"/>
                <w:color w:val="000000"/>
                <w:kern w:val="2"/>
                <w:sz w:val="22"/>
                <w:szCs w:val="22"/>
                <w:u w:val="none"/>
                <w:lang w:val="en-US" w:eastAsia="zh-CN" w:bidi="ar-SA"/>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仿宋" w:hAnsi="仿宋" w:eastAsia="仿宋" w:cs="仿宋"/>
                <w:i w:val="0"/>
                <w:iCs w:val="0"/>
                <w:color w:val="000000"/>
                <w:kern w:val="2"/>
                <w:sz w:val="18"/>
                <w:szCs w:val="18"/>
                <w:u w:val="none"/>
                <w:lang w:val="en-US" w:eastAsia="zh-CN" w:bidi="ar-SA"/>
              </w:rPr>
            </w:pPr>
          </w:p>
        </w:tc>
        <w:tc>
          <w:tcPr>
            <w:tcW w:w="438" w:type="dxa"/>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696" w:type="dxa"/>
            <w:vMerge w:val="continue"/>
            <w:tcBorders>
              <w:tl2br w:val="nil"/>
              <w:tr2bl w:val="nil"/>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default" w:ascii="Arial" w:hAnsi="Arial" w:cs="Arial"/>
                <w:i w:val="0"/>
                <w:iCs w:val="0"/>
                <w:color w:val="000000"/>
                <w:sz w:val="22"/>
                <w:szCs w:val="22"/>
                <w:u w:val="none"/>
              </w:rPr>
            </w:pPr>
          </w:p>
        </w:tc>
        <w:tc>
          <w:tcPr>
            <w:tcW w:w="527" w:type="dxa"/>
            <w:vMerge w:val="continue"/>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2757" w:type="dxa"/>
            <w:tcBorders>
              <w:tl2br w:val="nil"/>
              <w:tr2bl w:val="nil"/>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算制度等管理制度，2 分；</w:t>
            </w:r>
          </w:p>
          <w:p>
            <w:pPr>
              <w:keepNext w:val="0"/>
              <w:keepLines w:val="0"/>
              <w:widowControl/>
              <w:suppressLineNumbers w:val="0"/>
              <w:jc w:val="left"/>
              <w:textAlignment w:val="top"/>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②有本部门厉行节约制度,2 分；</w:t>
            </w:r>
          </w:p>
          <w:p>
            <w:pPr>
              <w:keepNext w:val="0"/>
              <w:keepLines w:val="0"/>
              <w:widowControl/>
              <w:suppressLineNumbers w:val="0"/>
              <w:jc w:val="left"/>
              <w:textAlignment w:val="top"/>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③相关管理制度合法、合规、 完</w:t>
            </w:r>
          </w:p>
          <w:p>
            <w:pPr>
              <w:keepNext w:val="0"/>
              <w:keepLines w:val="0"/>
              <w:widowControl/>
              <w:suppressLineNumbers w:val="0"/>
              <w:jc w:val="left"/>
              <w:textAlignment w:val="top"/>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整，2 分； ④相关管理制度得到</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有效执行，2 分。</w:t>
            </w:r>
          </w:p>
        </w:tc>
        <w:tc>
          <w:tcPr>
            <w:tcW w:w="3037" w:type="dxa"/>
            <w:vMerge w:val="continue"/>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540" w:type="dxa"/>
            <w:vMerge w:val="continue"/>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652" w:hRule="atLeast"/>
        </w:trPr>
        <w:tc>
          <w:tcPr>
            <w:tcW w:w="442" w:type="dxa"/>
            <w:vMerge w:val="restart"/>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288" w:type="dxa"/>
            <w:tcBorders>
              <w:tl2br w:val="nil"/>
              <w:tr2bl w:val="nil"/>
            </w:tcBorders>
            <w:shd w:val="clear" w:color="auto" w:fill="auto"/>
            <w:tcMar>
              <w:top w:w="15" w:type="dxa"/>
              <w:left w:w="15" w:type="dxa"/>
              <w:right w:w="15" w:type="dxa"/>
            </w:tcMar>
            <w:vAlign w:val="top"/>
          </w:tcPr>
          <w:p>
            <w:pPr>
              <w:jc w:val="left"/>
              <w:rPr>
                <w:rFonts w:hint="eastAsia" w:ascii="仿宋" w:hAnsi="仿宋" w:eastAsia="仿宋" w:cs="仿宋"/>
                <w:i w:val="0"/>
                <w:iCs w:val="0"/>
                <w:color w:val="000000"/>
                <w:sz w:val="18"/>
                <w:szCs w:val="18"/>
                <w:u w:val="none"/>
              </w:rPr>
            </w:pPr>
          </w:p>
        </w:tc>
        <w:tc>
          <w:tcPr>
            <w:tcW w:w="467" w:type="dxa"/>
            <w:tcBorders>
              <w:tl2br w:val="nil"/>
              <w:tr2bl w:val="nil"/>
            </w:tcBorders>
            <w:shd w:val="clear" w:color="auto" w:fill="auto"/>
            <w:tcMar>
              <w:top w:w="15" w:type="dxa"/>
              <w:left w:w="15" w:type="dxa"/>
              <w:right w:w="15" w:type="dxa"/>
            </w:tcMar>
            <w:vAlign w:val="top"/>
          </w:tcPr>
          <w:p>
            <w:pPr>
              <w:jc w:val="left"/>
              <w:rPr>
                <w:rFonts w:hint="default" w:ascii="Arial" w:hAnsi="Arial" w:cs="Arial" w:eastAsiaTheme="minorEastAsia"/>
                <w:i w:val="0"/>
                <w:iCs w:val="0"/>
                <w:color w:val="000000"/>
                <w:kern w:val="2"/>
                <w:sz w:val="22"/>
                <w:szCs w:val="22"/>
                <w:u w:val="none"/>
                <w:lang w:val="en-US" w:eastAsia="zh-CN" w:bidi="ar-SA"/>
              </w:rPr>
            </w:pPr>
          </w:p>
        </w:tc>
        <w:tc>
          <w:tcPr>
            <w:tcW w:w="438" w:type="dxa"/>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资金使</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用合规</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性</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6</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①支出符合国家财经法规和财务</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管理制度规定以及有关专项资金</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管理办法的规定； ②资金拨付有</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完整的审批程序和手续； ③项目</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支出按规定经过评估论证； ④支</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出符合部门预算批复的用途； ⑤</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资金使用无截留、挤占、挪用、</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虚列支出等情况。</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以上情况每出现一例不符合要求</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的扣 1 分，扣完为止。</w:t>
            </w:r>
          </w:p>
        </w:tc>
        <w:tc>
          <w:tcPr>
            <w:tcW w:w="3037" w:type="dxa"/>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863" w:hRule="atLeast"/>
        </w:trPr>
        <w:tc>
          <w:tcPr>
            <w:tcW w:w="442" w:type="dxa"/>
            <w:vMerge w:val="continue"/>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288" w:type="dxa"/>
            <w:tcBorders>
              <w:tl2br w:val="nil"/>
              <w:tr2bl w:val="nil"/>
            </w:tcBorders>
            <w:shd w:val="clear" w:color="auto" w:fill="auto"/>
            <w:tcMar>
              <w:top w:w="15" w:type="dxa"/>
              <w:left w:w="15" w:type="dxa"/>
              <w:right w:w="15" w:type="dxa"/>
            </w:tcMar>
            <w:vAlign w:val="top"/>
          </w:tcPr>
          <w:p>
            <w:pPr>
              <w:jc w:val="left"/>
              <w:rPr>
                <w:rFonts w:hint="eastAsia" w:ascii="仿宋" w:hAnsi="仿宋" w:eastAsia="仿宋" w:cs="仿宋"/>
                <w:i w:val="0"/>
                <w:iCs w:val="0"/>
                <w:color w:val="000000"/>
                <w:sz w:val="18"/>
                <w:szCs w:val="18"/>
                <w:u w:val="none"/>
              </w:rPr>
            </w:pPr>
          </w:p>
        </w:tc>
        <w:tc>
          <w:tcPr>
            <w:tcW w:w="467" w:type="dxa"/>
            <w:tcBorders>
              <w:tl2br w:val="nil"/>
              <w:tr2bl w:val="nil"/>
            </w:tcBorders>
            <w:shd w:val="clear" w:color="auto" w:fill="auto"/>
            <w:tcMar>
              <w:top w:w="15" w:type="dxa"/>
              <w:left w:w="15" w:type="dxa"/>
              <w:right w:w="15" w:type="dxa"/>
            </w:tcMar>
            <w:vAlign w:val="top"/>
          </w:tcPr>
          <w:p>
            <w:pPr>
              <w:jc w:val="center"/>
              <w:rPr>
                <w:rFonts w:hint="default" w:ascii="Arial" w:hAnsi="Arial" w:cs="Arial"/>
                <w:i w:val="0"/>
                <w:iCs w:val="0"/>
                <w:color w:val="000000"/>
                <w:sz w:val="22"/>
                <w:szCs w:val="22"/>
                <w:u w:val="none"/>
              </w:rPr>
            </w:pPr>
          </w:p>
        </w:tc>
        <w:tc>
          <w:tcPr>
            <w:tcW w:w="438" w:type="dxa"/>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预决算</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信息公</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开性</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①按规定内容公开预决算信息，1</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分； ②按规定时限公开预决算信</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息， 1 分； ③基础数据信息和会</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计信息资料真实， 1 分； ④基础</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数据信息和会计信息资料完整，1</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分； ⑤基础数据信息和汇集信息</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资料准确， 1 分。</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预决算信息是指与部门预算、执行、</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决算、监督、绩效等管理相关的信息。</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413" w:hRule="atLeast"/>
        </w:trPr>
        <w:tc>
          <w:tcPr>
            <w:tcW w:w="442"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Arial" w:hAnsi="Arial" w:cs="Arial" w:eastAsiaTheme="minorEastAsia"/>
                <w:i w:val="0"/>
                <w:iCs w:val="0"/>
                <w:color w:val="000000"/>
                <w:sz w:val="22"/>
                <w:szCs w:val="22"/>
                <w:u w:val="none"/>
                <w:lang w:eastAsia="zh-CN"/>
              </w:rPr>
            </w:pPr>
            <w:r>
              <w:rPr>
                <w:rFonts w:hint="eastAsia" w:ascii="Arial" w:hAnsi="Arial" w:cs="Arial"/>
                <w:i w:val="0"/>
                <w:iCs w:val="0"/>
                <w:color w:val="000000"/>
                <w:sz w:val="22"/>
                <w:szCs w:val="22"/>
                <w:u w:val="none"/>
                <w:lang w:eastAsia="zh-CN"/>
              </w:rPr>
              <w:t>产出及效率</w:t>
            </w:r>
          </w:p>
        </w:tc>
        <w:tc>
          <w:tcPr>
            <w:tcW w:w="288"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30</w:t>
            </w:r>
          </w:p>
        </w:tc>
        <w:tc>
          <w:tcPr>
            <w:tcW w:w="46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职责</w:t>
            </w:r>
          </w:p>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履职</w:t>
            </w:r>
          </w:p>
          <w:p>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p>
        </w:tc>
        <w:tc>
          <w:tcPr>
            <w:tcW w:w="438"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8</w:t>
            </w: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重点工</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作实际</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完成率</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根据绩效办 2022 年对各部门为</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民办实事和部门重点工程与重点</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工作考核分数折算。</w:t>
            </w:r>
          </w:p>
          <w:p>
            <w:pPr>
              <w:keepNext w:val="0"/>
              <w:keepLines w:val="0"/>
              <w:widowControl/>
              <w:suppressLineNumbers w:val="0"/>
              <w:jc w:val="left"/>
              <w:textAlignment w:val="center"/>
              <w:rPr>
                <w:rFonts w:hint="eastAsia" w:ascii="仿宋" w:hAnsi="仿宋" w:eastAsia="仿宋" w:cs="仿宋"/>
                <w:i w:val="0"/>
                <w:iCs w:val="0"/>
                <w:color w:val="FF0000"/>
                <w:kern w:val="0"/>
                <w:sz w:val="18"/>
                <w:szCs w:val="18"/>
                <w:u w:val="none"/>
                <w:lang w:val="en-US" w:eastAsia="zh-CN" w:bidi="ar"/>
              </w:rPr>
            </w:pPr>
            <w:r>
              <w:rPr>
                <w:rFonts w:hint="eastAsia" w:ascii="仿宋" w:hAnsi="仿宋" w:eastAsia="仿宋" w:cs="仿宋"/>
                <w:i w:val="0"/>
                <w:iCs w:val="0"/>
                <w:color w:val="FF0000"/>
                <w:kern w:val="0"/>
                <w:sz w:val="18"/>
                <w:szCs w:val="18"/>
                <w:u w:val="none"/>
                <w:lang w:val="en-US" w:eastAsia="zh-CN" w:bidi="ar"/>
              </w:rPr>
              <w:t>该项得分=（绩效办对应部分考核</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FF0000"/>
                <w:kern w:val="0"/>
                <w:sz w:val="18"/>
                <w:szCs w:val="18"/>
                <w:u w:val="none"/>
                <w:lang w:val="en-US" w:eastAsia="zh-CN" w:bidi="ar"/>
              </w:rPr>
              <w:t>得分/该部分总分） *8</w:t>
            </w:r>
          </w:p>
        </w:tc>
        <w:tc>
          <w:tcPr>
            <w:tcW w:w="3037" w:type="dxa"/>
            <w:tcBorders>
              <w:tl2br w:val="nil"/>
              <w:tr2bl w:val="nil"/>
            </w:tcBorders>
            <w:shd w:val="clear" w:color="auto" w:fill="auto"/>
            <w:tcMar>
              <w:top w:w="15" w:type="dxa"/>
              <w:left w:w="15" w:type="dxa"/>
              <w:right w:w="15" w:type="dxa"/>
            </w:tcMar>
            <w:vAlign w:val="top"/>
          </w:tcPr>
          <w:p>
            <w:pPr>
              <w:jc w:val="left"/>
              <w:rPr>
                <w:rFonts w:hint="default" w:ascii="Arial" w:hAnsi="Arial" w:cs="Arial"/>
                <w:i w:val="0"/>
                <w:iCs w:val="0"/>
                <w:color w:val="000000"/>
                <w:sz w:val="22"/>
                <w:szCs w:val="22"/>
                <w:u w:val="none"/>
              </w:rPr>
            </w:pP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914" w:hRule="atLeast"/>
        </w:trPr>
        <w:tc>
          <w:tcPr>
            <w:tcW w:w="442"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履职</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效益</w:t>
            </w:r>
          </w:p>
        </w:tc>
        <w:tc>
          <w:tcPr>
            <w:tcW w:w="438"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经济效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益</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5794" w:type="dxa"/>
            <w:gridSpan w:val="2"/>
            <w:tcBorders>
              <w:tl2br w:val="nil"/>
              <w:tr2bl w:val="nil"/>
            </w:tcBorders>
            <w:shd w:val="clear" w:color="auto" w:fill="auto"/>
            <w:tcMar>
              <w:top w:w="15" w:type="dxa"/>
              <w:left w:w="15" w:type="dxa"/>
              <w:right w:w="15" w:type="dxa"/>
            </w:tcMar>
            <w:vAlign w:val="center"/>
          </w:tcPr>
          <w:p>
            <w:pPr>
              <w:jc w:val="left"/>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此两项指标为设置部门整体支出绩效评价指标时必须考虑的共性要素，</w:t>
            </w:r>
          </w:p>
          <w:p>
            <w:pPr>
              <w:jc w:val="left"/>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可根据部门实际情况有选择的进行设置，并将其细化为相应的个性化指</w:t>
            </w:r>
          </w:p>
          <w:p>
            <w:pPr>
              <w:jc w:val="left"/>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标。</w:t>
            </w:r>
          </w:p>
        </w:tc>
        <w:tc>
          <w:tcPr>
            <w:tcW w:w="540" w:type="dxa"/>
            <w:tcBorders>
              <w:tl2br w:val="nil"/>
              <w:tr2bl w:val="nil"/>
            </w:tcBorders>
            <w:shd w:val="clear" w:color="auto" w:fill="auto"/>
            <w:tcMar>
              <w:top w:w="15" w:type="dxa"/>
              <w:left w:w="15" w:type="dxa"/>
              <w:right w:w="15" w:type="dxa"/>
            </w:tcMar>
            <w:vAlign w:val="center"/>
          </w:tcPr>
          <w:p>
            <w:pPr>
              <w:jc w:val="center"/>
              <w:rPr>
                <w:rFonts w:hint="default"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80" w:hRule="atLeast"/>
        </w:trPr>
        <w:tc>
          <w:tcPr>
            <w:tcW w:w="442"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438" w:type="dxa"/>
            <w:vMerge w:val="restart"/>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社会效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益</w:t>
            </w:r>
          </w:p>
        </w:tc>
        <w:tc>
          <w:tcPr>
            <w:tcW w:w="527" w:type="dxa"/>
            <w:vMerge w:val="restart"/>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5794" w:type="dxa"/>
            <w:gridSpan w:val="2"/>
            <w:vMerge w:val="restart"/>
            <w:tcBorders>
              <w:tl2br w:val="nil"/>
              <w:tr2bl w:val="nil"/>
            </w:tcBorders>
            <w:shd w:val="clear" w:color="auto" w:fill="auto"/>
            <w:tcMar>
              <w:top w:w="15" w:type="dxa"/>
              <w:left w:w="15" w:type="dxa"/>
              <w:right w:w="15" w:type="dxa"/>
            </w:tcMar>
            <w:vAlign w:val="center"/>
          </w:tcPr>
          <w:p>
            <w:pPr>
              <w:jc w:val="left"/>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促进部门改进文风会风，加强经</w:t>
            </w:r>
          </w:p>
          <w:p>
            <w:pPr>
              <w:jc w:val="left"/>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费及资产管理，推动网上办事，</w:t>
            </w:r>
          </w:p>
          <w:p>
            <w:pPr>
              <w:jc w:val="left"/>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提高行政效率， 降低行政成本效</w:t>
            </w:r>
          </w:p>
          <w:p>
            <w:pPr>
              <w:jc w:val="left"/>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果较好的计 6 分； 一般 3 分； 无</w:t>
            </w:r>
          </w:p>
          <w:p>
            <w:pPr>
              <w:jc w:val="left"/>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效果或者效果不明显 0 分。</w:t>
            </w:r>
          </w:p>
        </w:tc>
        <w:tc>
          <w:tcPr>
            <w:tcW w:w="540" w:type="dxa"/>
            <w:vMerge w:val="restart"/>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105" w:hRule="atLeast"/>
        </w:trPr>
        <w:tc>
          <w:tcPr>
            <w:tcW w:w="442"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438" w:type="dxa"/>
            <w:vMerge w:val="continue"/>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行政效</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能</w:t>
            </w:r>
          </w:p>
        </w:tc>
        <w:tc>
          <w:tcPr>
            <w:tcW w:w="527" w:type="dxa"/>
            <w:vMerge w:val="continue"/>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5794" w:type="dxa"/>
            <w:gridSpan w:val="2"/>
            <w:vMerge w:val="continue"/>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p>
        </w:tc>
        <w:tc>
          <w:tcPr>
            <w:tcW w:w="540"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36" w:hRule="atLeast"/>
        </w:trPr>
        <w:tc>
          <w:tcPr>
            <w:tcW w:w="442"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288" w:type="dxa"/>
            <w:vMerge w:val="continue"/>
            <w:tcBorders>
              <w:tl2br w:val="nil"/>
              <w:tr2bl w:val="nil"/>
            </w:tcBorders>
            <w:shd w:val="clear" w:color="auto" w:fill="auto"/>
            <w:tcMar>
              <w:top w:w="15" w:type="dxa"/>
              <w:left w:w="15" w:type="dxa"/>
              <w:right w:w="15" w:type="dxa"/>
            </w:tcMar>
            <w:vAlign w:val="center"/>
          </w:tcPr>
          <w:p>
            <w:pPr>
              <w:jc w:val="left"/>
              <w:rPr>
                <w:rFonts w:hint="default" w:ascii="Arial" w:hAnsi="Arial" w:cs="Arial"/>
                <w:i w:val="0"/>
                <w:iCs w:val="0"/>
                <w:color w:val="000000"/>
                <w:sz w:val="22"/>
                <w:szCs w:val="22"/>
                <w:u w:val="none"/>
              </w:rPr>
            </w:pPr>
          </w:p>
        </w:tc>
        <w:tc>
          <w:tcPr>
            <w:tcW w:w="467" w:type="dxa"/>
            <w:vMerge w:val="continue"/>
            <w:tcBorders>
              <w:tl2br w:val="nil"/>
              <w:tr2bl w:val="nil"/>
            </w:tcBorders>
            <w:shd w:val="clear" w:color="auto" w:fill="auto"/>
            <w:tcMar>
              <w:top w:w="15" w:type="dxa"/>
              <w:left w:w="15" w:type="dxa"/>
              <w:right w:w="15" w:type="dxa"/>
            </w:tcMar>
            <w:vAlign w:val="center"/>
          </w:tcPr>
          <w:p>
            <w:pPr>
              <w:jc w:val="center"/>
              <w:rPr>
                <w:rFonts w:hint="default" w:ascii="Arial" w:hAnsi="Arial" w:cs="Arial"/>
                <w:i w:val="0"/>
                <w:iCs w:val="0"/>
                <w:color w:val="000000"/>
                <w:sz w:val="22"/>
                <w:szCs w:val="22"/>
                <w:u w:val="none"/>
              </w:rPr>
            </w:pPr>
          </w:p>
        </w:tc>
        <w:tc>
          <w:tcPr>
            <w:tcW w:w="438" w:type="dxa"/>
            <w:tcBorders>
              <w:tl2br w:val="nil"/>
              <w:tr2bl w:val="nil"/>
            </w:tcBorders>
            <w:shd w:val="clear" w:color="auto" w:fill="auto"/>
            <w:tcMar>
              <w:top w:w="15" w:type="dxa"/>
              <w:left w:w="15" w:type="dxa"/>
              <w:right w:w="15" w:type="dxa"/>
            </w:tcMar>
            <w:vAlign w:val="center"/>
          </w:tcPr>
          <w:p>
            <w:pPr>
              <w:jc w:val="center"/>
              <w:rPr>
                <w:rFonts w:hint="eastAsia" w:ascii="仿宋" w:hAnsi="仿宋" w:eastAsia="仿宋" w:cs="仿宋"/>
                <w:i w:val="0"/>
                <w:iCs w:val="0"/>
                <w:color w:val="000000"/>
                <w:sz w:val="18"/>
                <w:szCs w:val="18"/>
                <w:u w:val="none"/>
              </w:rPr>
            </w:pPr>
          </w:p>
        </w:tc>
        <w:tc>
          <w:tcPr>
            <w:tcW w:w="696"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社会公</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众或服</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务对象</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满意度</w:t>
            </w:r>
          </w:p>
        </w:tc>
        <w:tc>
          <w:tcPr>
            <w:tcW w:w="52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5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90%（含） 以上计 6 分；</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80%（含）-90%，计 4 分；</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70%（含）-80%，计 2 分；</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低于 70%计 0 分。</w:t>
            </w:r>
          </w:p>
        </w:tc>
        <w:tc>
          <w:tcPr>
            <w:tcW w:w="3037"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社会公众或服务对象是指部门（单位）</w:t>
            </w:r>
          </w:p>
          <w:p>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履行职责而影响到的部门、群体或个</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Fonts w:hint="eastAsia" w:ascii="仿宋" w:hAnsi="仿宋" w:eastAsia="仿宋" w:cs="仿宋"/>
                <w:i w:val="0"/>
                <w:iCs w:val="0"/>
                <w:color w:val="000000"/>
                <w:kern w:val="0"/>
                <w:sz w:val="18"/>
                <w:szCs w:val="18"/>
                <w:u w:val="none"/>
                <w:lang w:val="en-US" w:eastAsia="zh-CN" w:bidi="ar"/>
              </w:rPr>
              <w:t>人， 一般采取社会调查的方式。</w:t>
            </w:r>
          </w:p>
        </w:tc>
        <w:tc>
          <w:tcPr>
            <w:tcW w:w="540" w:type="dxa"/>
            <w:tcBorders>
              <w:tl2br w:val="nil"/>
              <w:tr2bl w:val="nil"/>
            </w:tcBorders>
            <w:shd w:val="clear" w:color="auto" w:fill="auto"/>
            <w:tcMar>
              <w:top w:w="15" w:type="dxa"/>
              <w:left w:w="15" w:type="dxa"/>
              <w:right w:w="15" w:type="dxa"/>
            </w:tcMar>
            <w:vAlign w:val="center"/>
          </w:tcPr>
          <w:p>
            <w:pPr>
              <w:jc w:val="center"/>
              <w:rPr>
                <w:rFonts w:hint="eastAsia" w:ascii="Arial" w:hAnsi="Arial" w:eastAsia="宋体"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w:t>
            </w:r>
          </w:p>
        </w:tc>
      </w:tr>
    </w:tbl>
    <w:p/>
    <w:p/>
    <w:p>
      <w:pPr>
        <w:rPr>
          <w:rFonts w:hint="default" w:eastAsiaTheme="minorEastAsia"/>
          <w:lang w:val="en-US" w:eastAsia="zh-CN"/>
        </w:rPr>
      </w:pPr>
      <w:r>
        <w:rPr>
          <w:rFonts w:hint="eastAsia"/>
          <w:lang w:eastAsia="zh-CN"/>
        </w:rPr>
        <w:t>附件</w:t>
      </w:r>
      <w:r>
        <w:rPr>
          <w:rFonts w:hint="eastAsia"/>
          <w:lang w:val="en-US" w:eastAsia="zh-CN"/>
        </w:rPr>
        <w:t>2</w:t>
      </w:r>
    </w:p>
    <w:tbl>
      <w:tblPr>
        <w:tblStyle w:val="7"/>
        <w:tblW w:w="94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37"/>
        <w:gridCol w:w="997"/>
        <w:gridCol w:w="1091"/>
        <w:gridCol w:w="865"/>
        <w:gridCol w:w="1177"/>
        <w:gridCol w:w="596"/>
        <w:gridCol w:w="1316"/>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19" w:type="dxa"/>
            <w:gridSpan w:val="8"/>
            <w:tcBorders>
              <w:top w:val="nil"/>
              <w:left w:val="nil"/>
              <w:bottom w:val="nil"/>
              <w:right w:val="nil"/>
            </w:tcBorders>
            <w:shd w:val="clear" w:color="auto" w:fill="auto"/>
            <w:vAlign w:val="top"/>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0"/>
                <w:lang w:val="en-US" w:eastAsia="zh-CN" w:bidi="ar"/>
              </w:rPr>
              <w:t>部门整体支出绩效评价基础数据表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1"/>
                <w:lang w:val="en-US" w:eastAsia="zh-CN" w:bidi="ar"/>
              </w:rPr>
              <w:t>财政供养人员情况（人）</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lang w:val="en-US" w:eastAsia="zh-CN" w:bidi="ar"/>
              </w:rPr>
              <w:t>编制数</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3"/>
                <w:rFonts w:eastAsia="宋体"/>
                <w:lang w:val="en-US" w:eastAsia="zh-CN" w:bidi="ar"/>
              </w:rPr>
              <w:t>20</w:t>
            </w:r>
            <w:r>
              <w:rPr>
                <w:rStyle w:val="13"/>
                <w:rFonts w:hint="eastAsia" w:eastAsia="宋体"/>
                <w:lang w:val="en-US" w:eastAsia="zh-CN" w:bidi="ar"/>
              </w:rPr>
              <w:t>22</w:t>
            </w:r>
            <w:r>
              <w:rPr>
                <w:rStyle w:val="12"/>
                <w:lang w:val="en-US" w:eastAsia="zh-CN" w:bidi="ar"/>
              </w:rPr>
              <w:t>年实际在职人数</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lang w:val="en-US" w:eastAsia="zh-CN" w:bidi="ar"/>
              </w:rPr>
              <w:t>控制率</w:t>
            </w:r>
          </w:p>
        </w:tc>
        <w:tc>
          <w:tcPr>
            <w:tcW w:w="240" w:type="dxa"/>
            <w:vMerge w:val="restart"/>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31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118</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138</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116.95%</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1"/>
                <w:lang w:val="en-US" w:eastAsia="zh-CN" w:bidi="ar"/>
              </w:rPr>
              <w:t>经费控制情况（万元）</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3"/>
                <w:rFonts w:eastAsia="宋体"/>
                <w:lang w:val="en-US" w:eastAsia="zh-CN" w:bidi="ar"/>
              </w:rPr>
              <w:t>20</w:t>
            </w:r>
            <w:r>
              <w:rPr>
                <w:rStyle w:val="13"/>
                <w:rFonts w:hint="eastAsia" w:eastAsia="宋体"/>
                <w:lang w:val="en-US" w:eastAsia="zh-CN" w:bidi="ar"/>
              </w:rPr>
              <w:t>21</w:t>
            </w:r>
            <w:r>
              <w:rPr>
                <w:rStyle w:val="12"/>
                <w:lang w:val="en-US" w:eastAsia="zh-CN" w:bidi="ar"/>
              </w:rPr>
              <w:t>年决算数</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3"/>
                <w:rFonts w:eastAsia="宋体"/>
                <w:lang w:val="en-US" w:eastAsia="zh-CN" w:bidi="ar"/>
              </w:rPr>
              <w:t>20</w:t>
            </w:r>
            <w:r>
              <w:rPr>
                <w:rStyle w:val="13"/>
                <w:rFonts w:hint="eastAsia" w:eastAsia="宋体"/>
                <w:lang w:val="en-US" w:eastAsia="zh-CN" w:bidi="ar"/>
              </w:rPr>
              <w:t>22</w:t>
            </w:r>
            <w:r>
              <w:rPr>
                <w:rStyle w:val="12"/>
                <w:lang w:val="en-US" w:eastAsia="zh-CN" w:bidi="ar"/>
              </w:rPr>
              <w:t>年预算数</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3"/>
                <w:rFonts w:eastAsia="宋体"/>
                <w:lang w:val="en-US" w:eastAsia="zh-CN" w:bidi="ar"/>
              </w:rPr>
              <w:t>20</w:t>
            </w:r>
            <w:r>
              <w:rPr>
                <w:rStyle w:val="13"/>
                <w:rFonts w:hint="eastAsia" w:eastAsia="宋体"/>
                <w:lang w:val="en-US" w:eastAsia="zh-CN" w:bidi="ar"/>
              </w:rPr>
              <w:t>22</w:t>
            </w:r>
            <w:r>
              <w:rPr>
                <w:rStyle w:val="12"/>
                <w:lang w:val="en-US" w:eastAsia="zh-CN" w:bidi="ar"/>
              </w:rPr>
              <w:t>年决算数</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三公经费</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15.49</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23.7</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16.45</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4"/>
                <w:rFonts w:eastAsia="宋体"/>
                <w:lang w:val="en-US" w:eastAsia="zh-CN" w:bidi="ar"/>
              </w:rPr>
              <w:t xml:space="preserve">1 </w:t>
            </w:r>
            <w:r>
              <w:rPr>
                <w:rStyle w:val="11"/>
                <w:lang w:val="en-US" w:eastAsia="zh-CN" w:bidi="ar"/>
              </w:rPr>
              <w:t>、公务用车购置和维护经费</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4.95</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5.95</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其中：公车购置</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公车运行维护</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4.95</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5.95</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4"/>
                <w:rFonts w:eastAsia="宋体"/>
                <w:lang w:val="en-US" w:eastAsia="zh-CN" w:bidi="ar"/>
              </w:rPr>
              <w:t xml:space="preserve">2 </w:t>
            </w:r>
            <w:r>
              <w:rPr>
                <w:rStyle w:val="11"/>
                <w:lang w:val="en-US" w:eastAsia="zh-CN" w:bidi="ar"/>
              </w:rPr>
              <w:t>、出国经费</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4"/>
                <w:rFonts w:eastAsia="宋体"/>
                <w:lang w:val="en-US" w:eastAsia="zh-CN" w:bidi="ar"/>
              </w:rPr>
              <w:t xml:space="preserve">3 </w:t>
            </w:r>
            <w:r>
              <w:rPr>
                <w:rStyle w:val="11"/>
                <w:lang w:val="en-US" w:eastAsia="zh-CN" w:bidi="ar"/>
              </w:rPr>
              <w:t>、公务接待</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15.49</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17.7</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10.5</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项目支出：</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4"/>
                <w:rFonts w:eastAsia="宋体"/>
                <w:lang w:val="en-US" w:eastAsia="zh-CN" w:bidi="ar"/>
              </w:rPr>
              <w:t xml:space="preserve">1 </w:t>
            </w:r>
            <w:r>
              <w:rPr>
                <w:rStyle w:val="11"/>
                <w:lang w:val="en-US" w:eastAsia="zh-CN" w:bidi="ar"/>
              </w:rPr>
              <w:t>、业务工作经费</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4"/>
                <w:rFonts w:eastAsia="宋体"/>
                <w:lang w:val="en-US" w:eastAsia="zh-CN" w:bidi="ar"/>
              </w:rPr>
              <w:t xml:space="preserve">2 </w:t>
            </w:r>
            <w:r>
              <w:rPr>
                <w:rStyle w:val="11"/>
                <w:lang w:val="en-US" w:eastAsia="zh-CN" w:bidi="ar"/>
              </w:rPr>
              <w:t>、运行维护经费</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164.03</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42</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181.9</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14"/>
                <w:rFonts w:eastAsia="宋体"/>
                <w:lang w:val="en-US" w:eastAsia="zh-CN" w:bidi="ar"/>
              </w:rPr>
              <w:t>… …</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4"/>
                <w:rFonts w:eastAsia="宋体"/>
                <w:lang w:val="en-US" w:eastAsia="zh-CN" w:bidi="ar"/>
              </w:rPr>
              <w:t xml:space="preserve">3 </w:t>
            </w:r>
            <w:r>
              <w:rPr>
                <w:rStyle w:val="11"/>
                <w:lang w:val="en-US" w:eastAsia="zh-CN" w:bidi="ar"/>
              </w:rPr>
              <w:t>、专项资金（ 一个专项一行）</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7929.19</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596.00</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10965.878</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Arial" w:hAnsi="Arial" w:cs="Arial" w:eastAsiaTheme="minorEastAsia"/>
                <w:i w:val="0"/>
                <w:iCs w:val="0"/>
                <w:color w:val="000000"/>
                <w:sz w:val="22"/>
                <w:szCs w:val="22"/>
                <w:u w:val="none"/>
                <w:lang w:eastAsia="zh-CN"/>
              </w:rPr>
            </w:pPr>
            <w:r>
              <w:rPr>
                <w:rFonts w:hint="eastAsia" w:ascii="Arial" w:hAnsi="Arial" w:cs="Arial"/>
                <w:i w:val="0"/>
                <w:iCs w:val="0"/>
                <w:color w:val="000000"/>
                <w:sz w:val="22"/>
                <w:szCs w:val="22"/>
                <w:u w:val="none"/>
                <w:lang w:eastAsia="zh-CN"/>
              </w:rPr>
              <w:t>①涉农整合资金项目</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579.459</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②农业项目专项资金</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204.96</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578.00</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181.989</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③农垦运行</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18.00</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25.0</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④科技与服务</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75.92</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3863.75</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⑤农业生产发展</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60.00</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5993.68</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⑥保障性安居工程</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322</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⑦病虫害控制</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8.77</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⑧农产品质量安全</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136.44</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⑨执法监管</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21.45</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⑩农业结构调整补贴</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390.00</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⑾农村合作经济</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10.00</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⑿农产品加工与促销</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265.00</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⒀农村社会事业</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656.59</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⒁农业资源保护修复与利用</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9.76</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⒂成品油改革对渔业的补贴</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50.00</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⒃其他农业农村支出</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1497.53</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⒄农村基础设施建设</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72.00</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⒅其他扶贫支出</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3977.86</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⒆对村集体经济组织的补助</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60</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⒇目标价格补贴</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75</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sz w:val="20"/>
                <w:szCs w:val="20"/>
                <w:lang w:val="en-US" w:eastAsia="zh-CN" w:bidi="ar"/>
              </w:rPr>
              <w:t>（</w:t>
            </w:r>
            <w:r>
              <w:rPr>
                <w:rStyle w:val="11"/>
                <w:rFonts w:hint="eastAsia"/>
                <w:sz w:val="20"/>
                <w:szCs w:val="20"/>
                <w:lang w:val="en-US" w:eastAsia="zh-CN" w:bidi="ar"/>
              </w:rPr>
              <w:t>21</w:t>
            </w:r>
            <w:r>
              <w:rPr>
                <w:rStyle w:val="11"/>
                <w:sz w:val="20"/>
                <w:szCs w:val="20"/>
                <w:lang w:val="en-US" w:eastAsia="zh-CN" w:bidi="ar"/>
              </w:rPr>
              <w:t>）其他农林水支出</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357.52</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sz w:val="20"/>
                <w:szCs w:val="20"/>
                <w:lang w:val="en-US" w:eastAsia="zh-CN" w:bidi="ar"/>
              </w:rPr>
              <w:t>（</w:t>
            </w:r>
            <w:r>
              <w:rPr>
                <w:rStyle w:val="11"/>
                <w:rFonts w:hint="eastAsia"/>
                <w:sz w:val="20"/>
                <w:szCs w:val="20"/>
                <w:lang w:val="en-US" w:eastAsia="zh-CN" w:bidi="ar"/>
              </w:rPr>
              <w:t>22</w:t>
            </w:r>
            <w:r>
              <w:rPr>
                <w:rStyle w:val="11"/>
                <w:sz w:val="20"/>
                <w:szCs w:val="20"/>
                <w:lang w:val="en-US" w:eastAsia="zh-CN" w:bidi="ar"/>
              </w:rPr>
              <w:t>）</w:t>
            </w:r>
            <w:r>
              <w:rPr>
                <w:rStyle w:val="11"/>
                <w:lang w:val="en-US" w:eastAsia="zh-CN" w:bidi="ar"/>
              </w:rPr>
              <w:t>抗疫相关支出</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0.39</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i w:val="0"/>
                <w:iCs w:val="0"/>
                <w:color w:val="000000"/>
                <w:sz w:val="22"/>
                <w:szCs w:val="22"/>
                <w:u w:val="none"/>
                <w:lang w:val="en-US" w:eastAsia="zh-CN"/>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公用经费</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216.81</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188.64</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641.44</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其中：办公经费</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20.92</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15</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32.64</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水费、电费、差旅费</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13.72</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52.7</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62.65</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会议费、培训费</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0.89</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3.83</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政府采购金额</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4"/>
                <w:rFonts w:eastAsia="宋体"/>
                <w:lang w:val="en-US" w:eastAsia="zh-CN" w:bidi="ar"/>
              </w:rPr>
              <w:t>——</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1807.74</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部门基本支出预算调整</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4"/>
                <w:rFonts w:eastAsia="宋体"/>
                <w:lang w:val="en-US" w:eastAsia="zh-CN" w:bidi="ar"/>
              </w:rPr>
              <w:t>——</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452.8</w:t>
            </w:r>
          </w:p>
        </w:tc>
        <w:tc>
          <w:tcPr>
            <w:tcW w:w="1912"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1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1"/>
                <w:lang w:val="en-US" w:eastAsia="zh-CN" w:bidi="ar"/>
              </w:rPr>
            </w:pPr>
            <w:r>
              <w:rPr>
                <w:rStyle w:val="11"/>
                <w:lang w:val="en-US" w:eastAsia="zh-CN" w:bidi="ar"/>
              </w:rPr>
              <w:t>楼堂馆所控制情况</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1"/>
                <w:lang w:val="en-US" w:eastAsia="zh-CN" w:bidi="ar"/>
              </w:rPr>
              <w:t>（</w:t>
            </w:r>
            <w:r>
              <w:rPr>
                <w:rStyle w:val="14"/>
                <w:rFonts w:eastAsia="宋体"/>
                <w:lang w:val="en-US" w:eastAsia="zh-CN" w:bidi="ar"/>
              </w:rPr>
              <w:t xml:space="preserve">2022 </w:t>
            </w:r>
            <w:r>
              <w:rPr>
                <w:rStyle w:val="11"/>
                <w:lang w:val="en-US" w:eastAsia="zh-CN" w:bidi="ar"/>
              </w:rPr>
              <w:t>年完工项目）</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1"/>
                <w:lang w:val="en-US" w:eastAsia="zh-CN" w:bidi="ar"/>
              </w:rPr>
            </w:pPr>
            <w:r>
              <w:rPr>
                <w:rStyle w:val="11"/>
                <w:lang w:val="en-US" w:eastAsia="zh-CN" w:bidi="ar"/>
              </w:rPr>
              <w:t>批复规模</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1"/>
                <w:lang w:val="en-US" w:eastAsia="zh-CN" w:bidi="ar"/>
              </w:rPr>
              <w:t>（</w:t>
            </w:r>
            <w:r>
              <w:rPr>
                <w:rStyle w:val="15"/>
                <w:lang w:val="en-US" w:eastAsia="zh-CN" w:bidi="ar"/>
              </w:rPr>
              <w:t>㎡</w:t>
            </w:r>
            <w:r>
              <w:rPr>
                <w:rStyle w:val="11"/>
                <w:lang w:val="en-US" w:eastAsia="zh-CN" w:bidi="ar"/>
              </w:rPr>
              <w:t>）</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1"/>
                <w:lang w:val="en-US" w:eastAsia="zh-CN" w:bidi="ar"/>
              </w:rPr>
            </w:pPr>
            <w:r>
              <w:rPr>
                <w:rStyle w:val="11"/>
                <w:lang w:val="en-US" w:eastAsia="zh-CN" w:bidi="ar"/>
              </w:rPr>
              <w:t>实际</w:t>
            </w:r>
          </w:p>
          <w:p>
            <w:pPr>
              <w:keepNext w:val="0"/>
              <w:keepLines w:val="0"/>
              <w:widowControl/>
              <w:suppressLineNumbers w:val="0"/>
              <w:jc w:val="left"/>
              <w:textAlignment w:val="center"/>
              <w:rPr>
                <w:rStyle w:val="11"/>
                <w:lang w:val="en-US" w:eastAsia="zh-CN" w:bidi="ar"/>
              </w:rPr>
            </w:pPr>
            <w:r>
              <w:rPr>
                <w:rStyle w:val="11"/>
                <w:lang w:val="en-US" w:eastAsia="zh-CN" w:bidi="ar"/>
              </w:rPr>
              <w:t>规模</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1"/>
                <w:lang w:val="en-US" w:eastAsia="zh-CN" w:bidi="ar"/>
              </w:rPr>
              <w:t>（</w:t>
            </w:r>
            <w:r>
              <w:rPr>
                <w:rStyle w:val="15"/>
                <w:lang w:val="en-US" w:eastAsia="zh-CN" w:bidi="ar"/>
              </w:rPr>
              <w:t>㎡</w:t>
            </w:r>
            <w:r>
              <w:rPr>
                <w:rStyle w:val="11"/>
                <w:lang w:val="en-US" w:eastAsia="zh-CN" w:bidi="ar"/>
              </w:rPr>
              <w:t>）</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1"/>
                <w:lang w:val="en-US" w:eastAsia="zh-CN" w:bidi="ar"/>
              </w:rPr>
            </w:pPr>
            <w:r>
              <w:rPr>
                <w:rStyle w:val="11"/>
                <w:lang w:val="en-US" w:eastAsia="zh-CN" w:bidi="ar"/>
              </w:rPr>
              <w:t>规模控</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1"/>
                <w:lang w:val="en-US" w:eastAsia="zh-CN" w:bidi="ar"/>
              </w:rPr>
              <w:t>制率</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1"/>
                <w:lang w:val="en-US" w:eastAsia="zh-CN" w:bidi="ar"/>
              </w:rPr>
            </w:pPr>
            <w:r>
              <w:rPr>
                <w:rStyle w:val="11"/>
                <w:lang w:val="en-US" w:eastAsia="zh-CN" w:bidi="ar"/>
              </w:rPr>
              <w:t>预算投资</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1"/>
                <w:lang w:val="en-US" w:eastAsia="zh-CN" w:bidi="ar"/>
              </w:rPr>
              <w:t>（万元）</w:t>
            </w:r>
          </w:p>
        </w:tc>
        <w:tc>
          <w:tcPr>
            <w:tcW w:w="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1"/>
                <w:lang w:val="en-US" w:eastAsia="zh-CN" w:bidi="ar"/>
              </w:rPr>
            </w:pPr>
            <w:r>
              <w:rPr>
                <w:rStyle w:val="11"/>
                <w:lang w:val="en-US" w:eastAsia="zh-CN" w:bidi="ar"/>
              </w:rPr>
              <w:t>实际</w:t>
            </w:r>
          </w:p>
          <w:p>
            <w:pPr>
              <w:keepNext w:val="0"/>
              <w:keepLines w:val="0"/>
              <w:widowControl/>
              <w:suppressLineNumbers w:val="0"/>
              <w:jc w:val="center"/>
              <w:textAlignment w:val="center"/>
              <w:rPr>
                <w:rStyle w:val="11"/>
                <w:lang w:val="en-US" w:eastAsia="zh-CN" w:bidi="ar"/>
              </w:rPr>
            </w:pPr>
            <w:r>
              <w:rPr>
                <w:rStyle w:val="11"/>
                <w:lang w:val="en-US" w:eastAsia="zh-CN" w:bidi="ar"/>
              </w:rPr>
              <w:t>投资</w:t>
            </w:r>
          </w:p>
          <w:p>
            <w:pPr>
              <w:keepNext w:val="0"/>
              <w:keepLines w:val="0"/>
              <w:widowControl/>
              <w:suppressLineNumbers w:val="0"/>
              <w:jc w:val="center"/>
              <w:textAlignment w:val="center"/>
              <w:rPr>
                <w:rStyle w:val="11"/>
                <w:lang w:val="en-US" w:eastAsia="zh-CN" w:bidi="ar"/>
              </w:rPr>
            </w:pPr>
            <w:r>
              <w:rPr>
                <w:rStyle w:val="11"/>
                <w:lang w:val="en-US" w:eastAsia="zh-CN" w:bidi="ar"/>
              </w:rPr>
              <w:t>（万</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1"/>
                <w:lang w:val="en-US" w:eastAsia="zh-CN" w:bidi="ar"/>
              </w:rPr>
              <w:t>元）</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1"/>
                <w:lang w:val="en-US" w:eastAsia="zh-CN" w:bidi="ar"/>
              </w:rPr>
            </w:pPr>
            <w:r>
              <w:rPr>
                <w:rStyle w:val="11"/>
                <w:lang w:val="en-US" w:eastAsia="zh-CN" w:bidi="ar"/>
              </w:rPr>
              <w:t>投资概</w:t>
            </w:r>
          </w:p>
          <w:p>
            <w:pPr>
              <w:keepNext w:val="0"/>
              <w:keepLines w:val="0"/>
              <w:widowControl/>
              <w:suppressLineNumbers w:val="0"/>
              <w:jc w:val="center"/>
              <w:textAlignment w:val="center"/>
              <w:rPr>
                <w:rStyle w:val="11"/>
                <w:lang w:val="en-US" w:eastAsia="zh-CN" w:bidi="ar"/>
              </w:rPr>
            </w:pPr>
            <w:r>
              <w:rPr>
                <w:rStyle w:val="11"/>
                <w:lang w:val="en-US" w:eastAsia="zh-CN" w:bidi="ar"/>
              </w:rPr>
              <w:t>算控制</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1"/>
                <w:lang w:val="en-US" w:eastAsia="zh-CN" w:bidi="ar"/>
              </w:rPr>
              <w:t>率</w:t>
            </w: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1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596"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1"/>
                <w:lang w:val="en-US" w:eastAsia="zh-CN" w:bidi="ar"/>
              </w:rPr>
              <w:t>厉行节约保障措施</w:t>
            </w:r>
          </w:p>
        </w:tc>
        <w:tc>
          <w:tcPr>
            <w:tcW w:w="6042"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240"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419" w:type="dxa"/>
            <w:gridSpan w:val="8"/>
            <w:tcBorders>
              <w:top w:val="nil"/>
              <w:left w:val="nil"/>
              <w:bottom w:val="nil"/>
              <w:right w:val="nil"/>
            </w:tcBorders>
            <w:shd w:val="clear" w:color="auto" w:fill="auto"/>
            <w:vAlign w:val="center"/>
          </w:tcPr>
          <w:p>
            <w:pPr>
              <w:keepNext w:val="0"/>
              <w:keepLines w:val="0"/>
              <w:widowControl/>
              <w:suppressLineNumbers w:val="0"/>
              <w:ind w:firstLineChars="200"/>
              <w:jc w:val="left"/>
              <w:textAlignment w:val="center"/>
              <w:rPr>
                <w:rStyle w:val="9"/>
                <w:lang w:val="en-US" w:eastAsia="zh-CN" w:bidi="ar"/>
              </w:rPr>
            </w:pPr>
            <w:r>
              <w:rPr>
                <w:rStyle w:val="9"/>
                <w:lang w:val="en-US" w:eastAsia="zh-CN" w:bidi="ar"/>
              </w:rPr>
              <w:t>说明：</w:t>
            </w:r>
            <w:r>
              <w:rPr>
                <w:rStyle w:val="16"/>
                <w:rFonts w:eastAsia="宋体"/>
                <w:lang w:val="en-US" w:eastAsia="zh-CN" w:bidi="ar"/>
              </w:rPr>
              <w:t>“</w:t>
            </w:r>
            <w:r>
              <w:rPr>
                <w:rStyle w:val="9"/>
                <w:lang w:val="en-US" w:eastAsia="zh-CN" w:bidi="ar"/>
              </w:rPr>
              <w:t>项目支出</w:t>
            </w:r>
            <w:r>
              <w:rPr>
                <w:rStyle w:val="16"/>
                <w:rFonts w:eastAsia="宋体"/>
                <w:lang w:val="en-US" w:eastAsia="zh-CN" w:bidi="ar"/>
              </w:rPr>
              <w:t xml:space="preserve">” </w:t>
            </w:r>
            <w:r>
              <w:rPr>
                <w:rStyle w:val="9"/>
                <w:lang w:val="en-US" w:eastAsia="zh-CN" w:bidi="ar"/>
              </w:rPr>
              <w:t>需要填报基本支出以外的所有项目支出情况，</w:t>
            </w:r>
            <w:r>
              <w:rPr>
                <w:rStyle w:val="16"/>
                <w:rFonts w:eastAsia="宋体"/>
                <w:lang w:val="en-US" w:eastAsia="zh-CN" w:bidi="ar"/>
              </w:rPr>
              <w:t>“</w:t>
            </w:r>
            <w:r>
              <w:rPr>
                <w:rStyle w:val="9"/>
                <w:lang w:val="en-US" w:eastAsia="zh-CN" w:bidi="ar"/>
              </w:rPr>
              <w:t>公用</w:t>
            </w:r>
          </w:p>
          <w:p>
            <w:pPr>
              <w:keepNext w:val="0"/>
              <w:keepLines w:val="0"/>
              <w:widowControl/>
              <w:suppressLineNumbers w:val="0"/>
              <w:ind w:firstLineChars="200"/>
              <w:jc w:val="left"/>
              <w:textAlignment w:val="center"/>
              <w:rPr>
                <w:rFonts w:hint="default" w:ascii="Arial" w:hAnsi="Arial" w:cs="Arial"/>
                <w:i w:val="0"/>
                <w:iCs w:val="0"/>
                <w:color w:val="000000"/>
                <w:sz w:val="22"/>
                <w:szCs w:val="22"/>
                <w:u w:val="none"/>
              </w:rPr>
            </w:pPr>
            <w:r>
              <w:rPr>
                <w:rStyle w:val="16"/>
                <w:rFonts w:eastAsia="宋体"/>
                <w:lang w:val="en-US" w:eastAsia="zh-CN" w:bidi="ar"/>
              </w:rPr>
              <w:t>”</w:t>
            </w:r>
            <w:r>
              <w:rPr>
                <w:rStyle w:val="9"/>
                <w:lang w:val="en-US" w:eastAsia="zh-CN" w:bidi="ar"/>
              </w:rPr>
              <w:t>填报基本支出中的一般商品和服务支出。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419" w:type="dxa"/>
            <w:gridSpan w:val="8"/>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default" w:ascii="Arial" w:hAnsi="Arial" w:cs="Arial"/>
                <w:i w:val="0"/>
                <w:iCs w:val="0"/>
                <w:color w:val="000000"/>
                <w:sz w:val="22"/>
                <w:szCs w:val="22"/>
                <w:u w:val="none"/>
              </w:rPr>
            </w:pPr>
            <w:r>
              <w:rPr>
                <w:rStyle w:val="9"/>
                <w:sz w:val="24"/>
                <w:szCs w:val="24"/>
                <w:lang w:val="en-US" w:eastAsia="zh-CN" w:bidi="ar"/>
              </w:rPr>
              <w:t>填表人：</w:t>
            </w:r>
            <w:r>
              <w:rPr>
                <w:rStyle w:val="9"/>
                <w:rFonts w:hint="eastAsia"/>
                <w:sz w:val="24"/>
                <w:szCs w:val="24"/>
                <w:lang w:val="en-US" w:eastAsia="zh-CN" w:bidi="ar"/>
              </w:rPr>
              <w:t xml:space="preserve">朱丽蓉  </w:t>
            </w:r>
            <w:r>
              <w:rPr>
                <w:rStyle w:val="9"/>
                <w:sz w:val="24"/>
                <w:szCs w:val="24"/>
                <w:lang w:val="en-US" w:eastAsia="zh-CN" w:bidi="ar"/>
              </w:rPr>
              <w:t>填报日期</w:t>
            </w:r>
            <w:r>
              <w:rPr>
                <w:rStyle w:val="9"/>
                <w:rFonts w:hint="eastAsia"/>
                <w:sz w:val="24"/>
                <w:szCs w:val="24"/>
                <w:lang w:val="en-US" w:eastAsia="zh-CN" w:bidi="ar"/>
              </w:rPr>
              <w:t xml:space="preserve">：2023年3月20日 </w:t>
            </w:r>
            <w:r>
              <w:rPr>
                <w:rStyle w:val="9"/>
                <w:sz w:val="24"/>
                <w:szCs w:val="24"/>
                <w:lang w:val="en-US" w:eastAsia="zh-CN" w:bidi="ar"/>
              </w:rPr>
              <w:t xml:space="preserve"> 联系电话：</w:t>
            </w:r>
            <w:r>
              <w:rPr>
                <w:rStyle w:val="9"/>
                <w:rFonts w:hint="eastAsia"/>
                <w:sz w:val="24"/>
                <w:szCs w:val="24"/>
                <w:lang w:val="en-US" w:eastAsia="zh-CN" w:bidi="ar"/>
              </w:rPr>
              <w:t xml:space="preserve">   </w:t>
            </w:r>
            <w:r>
              <w:rPr>
                <w:rStyle w:val="9"/>
                <w:sz w:val="24"/>
                <w:szCs w:val="24"/>
                <w:lang w:val="en-US" w:eastAsia="zh-CN" w:bidi="ar"/>
              </w:rPr>
              <w:t xml:space="preserve"> </w:t>
            </w:r>
            <w:r>
              <w:rPr>
                <w:rStyle w:val="9"/>
                <w:rFonts w:hint="eastAsia"/>
                <w:sz w:val="24"/>
                <w:szCs w:val="24"/>
                <w:lang w:val="en-US" w:eastAsia="zh-CN" w:bidi="ar"/>
              </w:rPr>
              <w:t>单位</w:t>
            </w:r>
            <w:r>
              <w:rPr>
                <w:rStyle w:val="9"/>
                <w:sz w:val="24"/>
                <w:szCs w:val="24"/>
                <w:lang w:val="en-US" w:eastAsia="zh-CN" w:bidi="ar"/>
              </w:rPr>
              <w:t>位负责人签字：</w:t>
            </w:r>
          </w:p>
        </w:tc>
      </w:tr>
    </w:tbl>
    <w:p/>
    <w:tbl>
      <w:tblPr>
        <w:tblStyle w:val="7"/>
        <w:tblW w:w="929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7"/>
        <w:gridCol w:w="937"/>
        <w:gridCol w:w="992"/>
        <w:gridCol w:w="1688"/>
        <w:gridCol w:w="1035"/>
        <w:gridCol w:w="1164"/>
        <w:gridCol w:w="570"/>
        <w:gridCol w:w="614"/>
        <w:gridCol w:w="1081"/>
        <w:gridCol w:w="3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8" w:hRule="atLeast"/>
        </w:trPr>
        <w:tc>
          <w:tcPr>
            <w:tcW w:w="9299" w:type="dxa"/>
            <w:gridSpan w:val="10"/>
            <w:tcBorders>
              <w:top w:val="nil"/>
              <w:left w:val="nil"/>
              <w:bottom w:val="nil"/>
              <w:right w:val="nil"/>
            </w:tcBorders>
            <w:shd w:val="clear" w:color="auto" w:fill="auto"/>
            <w:vAlign w:val="top"/>
          </w:tcPr>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Style w:val="13"/>
                <w:sz w:val="44"/>
                <w:szCs w:val="44"/>
                <w:lang w:val="en-US" w:eastAsia="zh-CN" w:bidi="ar"/>
              </w:rPr>
            </w:pPr>
          </w:p>
          <w:p>
            <w:pPr>
              <w:jc w:val="center"/>
              <w:rPr>
                <w:rFonts w:hint="default" w:ascii="Arial" w:hAnsi="Arial" w:cs="Arial"/>
                <w:i w:val="0"/>
                <w:iCs w:val="0"/>
                <w:color w:val="000000"/>
                <w:sz w:val="22"/>
                <w:szCs w:val="22"/>
                <w:u w:val="none"/>
              </w:rPr>
            </w:pPr>
            <w:r>
              <w:rPr>
                <w:rStyle w:val="13"/>
                <w:sz w:val="44"/>
                <w:szCs w:val="44"/>
                <w:lang w:val="en-US" w:eastAsia="zh-CN" w:bidi="ar"/>
              </w:rPr>
              <w:t>部门整体支出绩效自评表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8"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2"/>
                <w:sz w:val="22"/>
                <w:szCs w:val="22"/>
                <w:lang w:val="en-US" w:eastAsia="zh-CN" w:bidi="ar"/>
              </w:rPr>
            </w:pPr>
            <w:r>
              <w:rPr>
                <w:rStyle w:val="12"/>
                <w:sz w:val="22"/>
                <w:szCs w:val="22"/>
                <w:lang w:val="en-US" w:eastAsia="zh-CN" w:bidi="ar"/>
              </w:rPr>
              <w:t>县直预</w:t>
            </w:r>
          </w:p>
          <w:p>
            <w:pPr>
              <w:keepNext w:val="0"/>
              <w:keepLines w:val="0"/>
              <w:widowControl/>
              <w:suppressLineNumbers w:val="0"/>
              <w:jc w:val="left"/>
              <w:textAlignment w:val="center"/>
              <w:rPr>
                <w:rStyle w:val="12"/>
                <w:sz w:val="22"/>
                <w:szCs w:val="22"/>
                <w:lang w:val="en-US" w:eastAsia="zh-CN" w:bidi="ar"/>
              </w:rPr>
            </w:pPr>
            <w:r>
              <w:rPr>
                <w:rStyle w:val="12"/>
                <w:sz w:val="22"/>
                <w:szCs w:val="22"/>
                <w:lang w:val="en-US" w:eastAsia="zh-CN" w:bidi="ar"/>
              </w:rPr>
              <w:t>算部门</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2"/>
                <w:sz w:val="22"/>
                <w:szCs w:val="22"/>
                <w:lang w:val="en-US" w:eastAsia="zh-CN" w:bidi="ar"/>
              </w:rPr>
              <w:t>名称</w:t>
            </w:r>
          </w:p>
        </w:tc>
        <w:tc>
          <w:tcPr>
            <w:tcW w:w="8081" w:type="dxa"/>
            <w:gridSpan w:val="8"/>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eastAsia="zh-CN"/>
              </w:rPr>
            </w:pPr>
            <w:r>
              <w:rPr>
                <w:rFonts w:hint="eastAsia" w:ascii="Arial" w:hAnsi="Arial" w:cs="Arial"/>
                <w:i w:val="0"/>
                <w:iCs w:val="0"/>
                <w:color w:val="000000"/>
                <w:sz w:val="22"/>
                <w:szCs w:val="22"/>
                <w:u w:val="none"/>
                <w:lang w:eastAsia="zh-CN"/>
              </w:rPr>
              <w:t>辰溪县农业农村局</w:t>
            </w:r>
          </w:p>
        </w:tc>
        <w:tc>
          <w:tcPr>
            <w:tcW w:w="371" w:type="dxa"/>
            <w:vMerge w:val="restart"/>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8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2"/>
                <w:sz w:val="22"/>
                <w:szCs w:val="22"/>
                <w:lang w:val="en-US" w:eastAsia="zh-CN" w:bidi="ar"/>
              </w:rPr>
            </w:pPr>
            <w:r>
              <w:rPr>
                <w:rStyle w:val="12"/>
                <w:sz w:val="22"/>
                <w:szCs w:val="22"/>
                <w:lang w:val="en-US" w:eastAsia="zh-CN" w:bidi="ar"/>
              </w:rPr>
              <w:t>年度预</w:t>
            </w:r>
          </w:p>
          <w:p>
            <w:pPr>
              <w:keepNext w:val="0"/>
              <w:keepLines w:val="0"/>
              <w:widowControl/>
              <w:suppressLineNumbers w:val="0"/>
              <w:jc w:val="left"/>
              <w:textAlignment w:val="center"/>
              <w:rPr>
                <w:rStyle w:val="12"/>
                <w:sz w:val="22"/>
                <w:szCs w:val="22"/>
                <w:lang w:val="en-US" w:eastAsia="zh-CN" w:bidi="ar"/>
              </w:rPr>
            </w:pPr>
            <w:r>
              <w:rPr>
                <w:rStyle w:val="12"/>
                <w:sz w:val="22"/>
                <w:szCs w:val="22"/>
                <w:lang w:val="en-US" w:eastAsia="zh-CN" w:bidi="ar"/>
              </w:rPr>
              <w:t>算申请</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2"/>
                <w:sz w:val="22"/>
                <w:szCs w:val="22"/>
                <w:lang w:val="en-US" w:eastAsia="zh-CN" w:bidi="ar"/>
              </w:rPr>
              <w:t>（万元）</w:t>
            </w: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年初预算</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数</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全年预算数</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Style w:val="12"/>
                <w:sz w:val="22"/>
                <w:szCs w:val="22"/>
                <w:lang w:val="en-US" w:eastAsia="zh-CN" w:bidi="ar"/>
              </w:rPr>
            </w:pPr>
            <w:r>
              <w:rPr>
                <w:rStyle w:val="12"/>
                <w:sz w:val="22"/>
                <w:szCs w:val="22"/>
                <w:lang w:val="en-US" w:eastAsia="zh-CN" w:bidi="ar"/>
              </w:rPr>
              <w:t xml:space="preserve"> 全年执行</w:t>
            </w:r>
          </w:p>
          <w:p>
            <w:pPr>
              <w:keepNext w:val="0"/>
              <w:keepLines w:val="0"/>
              <w:widowControl/>
              <w:suppressLineNumbers w:val="0"/>
              <w:ind w:firstLineChars="100"/>
              <w:jc w:val="left"/>
              <w:textAlignment w:val="center"/>
              <w:rPr>
                <w:rFonts w:hint="default" w:ascii="Arial" w:hAnsi="Arial" w:cs="Arial"/>
                <w:i w:val="0"/>
                <w:iCs w:val="0"/>
                <w:color w:val="000000"/>
                <w:sz w:val="22"/>
                <w:szCs w:val="22"/>
                <w:u w:val="none"/>
              </w:rPr>
            </w:pPr>
            <w:r>
              <w:rPr>
                <w:rStyle w:val="12"/>
                <w:sz w:val="22"/>
                <w:szCs w:val="22"/>
                <w:lang w:val="en-US" w:eastAsia="zh-CN" w:bidi="ar"/>
              </w:rPr>
              <w:t xml:space="preserve">    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分值</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执行</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率</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得分</w:t>
            </w: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1929"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Arial" w:hAnsi="Arial" w:cs="Arial"/>
                <w:i w:val="0"/>
                <w:iCs w:val="0"/>
                <w:color w:val="000000"/>
                <w:sz w:val="22"/>
                <w:szCs w:val="22"/>
                <w:u w:val="none"/>
              </w:rPr>
            </w:pPr>
            <w:r>
              <w:rPr>
                <w:rStyle w:val="12"/>
                <w:sz w:val="22"/>
                <w:szCs w:val="22"/>
                <w:lang w:val="en-US" w:eastAsia="zh-CN" w:bidi="ar"/>
              </w:rPr>
              <w:t>年度资金总额</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2344.18</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13050.1</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13050.1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i w:val="0"/>
                <w:iCs w:val="0"/>
                <w:color w:val="FF0000"/>
                <w:sz w:val="22"/>
                <w:szCs w:val="22"/>
                <w:u w:val="none"/>
              </w:rPr>
            </w:pPr>
            <w:r>
              <w:rPr>
                <w:rFonts w:hint="default" w:ascii="Times New Roman" w:hAnsi="Times New Roman" w:eastAsia="宋体" w:cs="Times New Roman"/>
                <w:i w:val="0"/>
                <w:iCs w:val="0"/>
                <w:color w:val="FF0000"/>
                <w:kern w:val="0"/>
                <w:sz w:val="22"/>
                <w:szCs w:val="22"/>
                <w:u w:val="none"/>
                <w:lang w:val="en-US" w:eastAsia="zh-CN" w:bidi="ar"/>
              </w:rPr>
              <w:t>10</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100%</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10</w:t>
            </w: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652"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12"/>
                <w:sz w:val="22"/>
                <w:szCs w:val="22"/>
                <w:lang w:val="en-US" w:eastAsia="zh-CN" w:bidi="ar"/>
              </w:rPr>
              <w:t>按收入性质分：</w:t>
            </w:r>
          </w:p>
        </w:tc>
        <w:tc>
          <w:tcPr>
            <w:tcW w:w="3429"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default" w:ascii="Arial" w:hAnsi="Arial" w:cs="Arial"/>
                <w:i w:val="0"/>
                <w:iCs w:val="0"/>
                <w:color w:val="000000"/>
                <w:sz w:val="22"/>
                <w:szCs w:val="22"/>
                <w:u w:val="none"/>
              </w:rPr>
            </w:pPr>
            <w:r>
              <w:rPr>
                <w:rStyle w:val="12"/>
                <w:sz w:val="22"/>
                <w:szCs w:val="22"/>
                <w:lang w:val="en-US" w:eastAsia="zh-CN" w:bidi="ar"/>
              </w:rPr>
              <w:t xml:space="preserve"> 按支出性质分：</w:t>
            </w: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652"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default" w:ascii="Arial" w:hAnsi="Arial" w:cs="Arial"/>
                <w:i w:val="0"/>
                <w:iCs w:val="0"/>
                <w:color w:val="000000"/>
                <w:sz w:val="22"/>
                <w:szCs w:val="22"/>
                <w:u w:val="none"/>
                <w:lang w:val="en-US"/>
              </w:rPr>
            </w:pPr>
            <w:r>
              <w:rPr>
                <w:rStyle w:val="12"/>
                <w:sz w:val="22"/>
                <w:szCs w:val="22"/>
                <w:lang w:val="en-US" w:eastAsia="zh-CN" w:bidi="ar"/>
              </w:rPr>
              <w:t>其中：一般公共预算：</w:t>
            </w:r>
            <w:r>
              <w:rPr>
                <w:rStyle w:val="12"/>
                <w:rFonts w:hint="eastAsia"/>
                <w:sz w:val="22"/>
                <w:szCs w:val="22"/>
                <w:lang w:val="en-US" w:eastAsia="zh-CN" w:bidi="ar"/>
              </w:rPr>
              <w:t>12470.64</w:t>
            </w:r>
          </w:p>
        </w:tc>
        <w:tc>
          <w:tcPr>
            <w:tcW w:w="3429"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default" w:ascii="Arial" w:hAnsi="Arial" w:cs="Arial"/>
                <w:i w:val="0"/>
                <w:iCs w:val="0"/>
                <w:color w:val="000000"/>
                <w:sz w:val="22"/>
                <w:szCs w:val="22"/>
                <w:u w:val="none"/>
                <w:lang w:val="en-US"/>
              </w:rPr>
            </w:pPr>
            <w:r>
              <w:rPr>
                <w:rStyle w:val="12"/>
                <w:sz w:val="22"/>
                <w:szCs w:val="22"/>
                <w:lang w:val="en-US" w:eastAsia="zh-CN" w:bidi="ar"/>
              </w:rPr>
              <w:t xml:space="preserve"> 其中：基本支出：</w:t>
            </w:r>
            <w:r>
              <w:rPr>
                <w:rStyle w:val="12"/>
                <w:rFonts w:hint="eastAsia"/>
                <w:sz w:val="22"/>
                <w:szCs w:val="22"/>
                <w:lang w:val="en-US" w:eastAsia="zh-CN" w:bidi="ar"/>
              </w:rPr>
              <w:t>2084.22</w:t>
            </w: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652"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883" w:firstLineChars="400"/>
              <w:jc w:val="left"/>
              <w:textAlignment w:val="top"/>
              <w:rPr>
                <w:rFonts w:hint="default" w:ascii="Arial" w:hAnsi="Arial" w:cs="Arial"/>
                <w:i w:val="0"/>
                <w:iCs w:val="0"/>
                <w:color w:val="000000"/>
                <w:sz w:val="22"/>
                <w:szCs w:val="22"/>
                <w:u w:val="none"/>
                <w:lang w:val="en-US"/>
              </w:rPr>
            </w:pPr>
            <w:r>
              <w:rPr>
                <w:rStyle w:val="12"/>
                <w:sz w:val="22"/>
                <w:szCs w:val="22"/>
                <w:lang w:val="en-US" w:eastAsia="zh-CN" w:bidi="ar"/>
              </w:rPr>
              <w:t>政府性基金拨款：</w:t>
            </w:r>
            <w:r>
              <w:rPr>
                <w:rStyle w:val="12"/>
                <w:rFonts w:hint="eastAsia"/>
                <w:sz w:val="22"/>
                <w:szCs w:val="22"/>
                <w:lang w:val="en-US" w:eastAsia="zh-CN" w:bidi="ar"/>
              </w:rPr>
              <w:t>579.46</w:t>
            </w:r>
          </w:p>
        </w:tc>
        <w:tc>
          <w:tcPr>
            <w:tcW w:w="3429"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400"/>
              <w:jc w:val="left"/>
              <w:textAlignment w:val="top"/>
              <w:rPr>
                <w:rFonts w:hint="default" w:ascii="Arial" w:hAnsi="Arial" w:cs="Arial"/>
                <w:i w:val="0"/>
                <w:iCs w:val="0"/>
                <w:color w:val="000000"/>
                <w:sz w:val="22"/>
                <w:szCs w:val="22"/>
                <w:u w:val="none"/>
                <w:lang w:val="en-US"/>
              </w:rPr>
            </w:pPr>
            <w:r>
              <w:rPr>
                <w:rStyle w:val="12"/>
                <w:sz w:val="22"/>
                <w:szCs w:val="22"/>
                <w:lang w:val="en-US" w:eastAsia="zh-CN" w:bidi="ar"/>
              </w:rPr>
              <w:t>项目支出：</w:t>
            </w:r>
            <w:r>
              <w:rPr>
                <w:rStyle w:val="12"/>
                <w:rFonts w:hint="eastAsia"/>
                <w:sz w:val="22"/>
                <w:szCs w:val="22"/>
                <w:lang w:val="en-US" w:eastAsia="zh-CN" w:bidi="ar"/>
              </w:rPr>
              <w:t>10965.88</w:t>
            </w: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652"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12"/>
                <w:sz w:val="22"/>
                <w:szCs w:val="22"/>
                <w:lang w:val="en-US" w:eastAsia="zh-CN" w:bidi="ar"/>
              </w:rPr>
              <w:t>纳入专户管理的非税收入拨款：</w:t>
            </w:r>
          </w:p>
        </w:tc>
        <w:tc>
          <w:tcPr>
            <w:tcW w:w="3429"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652"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1325" w:firstLineChars="600"/>
              <w:jc w:val="left"/>
              <w:textAlignment w:val="top"/>
              <w:rPr>
                <w:rFonts w:hint="default" w:ascii="Arial" w:hAnsi="Arial" w:cs="Arial"/>
                <w:i w:val="0"/>
                <w:iCs w:val="0"/>
                <w:color w:val="000000"/>
                <w:sz w:val="22"/>
                <w:szCs w:val="22"/>
                <w:u w:val="none"/>
              </w:rPr>
            </w:pPr>
            <w:r>
              <w:rPr>
                <w:rStyle w:val="12"/>
                <w:sz w:val="22"/>
                <w:szCs w:val="22"/>
                <w:lang w:val="en-US" w:eastAsia="zh-CN" w:bidi="ar"/>
              </w:rPr>
              <w:t>其他资金：</w:t>
            </w:r>
          </w:p>
        </w:tc>
        <w:tc>
          <w:tcPr>
            <w:tcW w:w="3429"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Style w:val="12"/>
                <w:sz w:val="22"/>
                <w:szCs w:val="22"/>
                <w:lang w:val="en-US" w:eastAsia="zh-CN" w:bidi="ar"/>
              </w:rPr>
            </w:pPr>
            <w:r>
              <w:rPr>
                <w:rStyle w:val="12"/>
                <w:sz w:val="22"/>
                <w:szCs w:val="22"/>
                <w:lang w:val="en-US" w:eastAsia="zh-CN" w:bidi="ar"/>
              </w:rPr>
              <w:t>年度总</w:t>
            </w:r>
          </w:p>
          <w:p>
            <w:pPr>
              <w:keepNext w:val="0"/>
              <w:keepLines w:val="0"/>
              <w:widowControl/>
              <w:suppressLineNumbers w:val="0"/>
              <w:jc w:val="center"/>
              <w:textAlignment w:val="top"/>
              <w:rPr>
                <w:rFonts w:hint="default" w:ascii="Arial" w:hAnsi="Arial" w:cs="Arial"/>
                <w:i w:val="0"/>
                <w:iCs w:val="0"/>
                <w:color w:val="000000"/>
                <w:sz w:val="22"/>
                <w:szCs w:val="22"/>
                <w:u w:val="none"/>
              </w:rPr>
            </w:pPr>
            <w:r>
              <w:rPr>
                <w:rStyle w:val="12"/>
                <w:sz w:val="22"/>
                <w:szCs w:val="22"/>
                <w:lang w:val="en-US" w:eastAsia="zh-CN" w:bidi="ar"/>
              </w:rPr>
              <w:t>体目标</w:t>
            </w:r>
          </w:p>
        </w:tc>
        <w:tc>
          <w:tcPr>
            <w:tcW w:w="4652"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1325" w:firstLineChars="600"/>
              <w:jc w:val="left"/>
              <w:textAlignment w:val="top"/>
              <w:rPr>
                <w:rFonts w:hint="default" w:ascii="Arial" w:hAnsi="Arial" w:cs="Arial"/>
                <w:i w:val="0"/>
                <w:iCs w:val="0"/>
                <w:color w:val="000000"/>
                <w:sz w:val="22"/>
                <w:szCs w:val="22"/>
                <w:u w:val="none"/>
              </w:rPr>
            </w:pPr>
            <w:r>
              <w:rPr>
                <w:rStyle w:val="12"/>
                <w:sz w:val="22"/>
                <w:szCs w:val="22"/>
                <w:lang w:val="en-US" w:eastAsia="zh-CN" w:bidi="ar"/>
              </w:rPr>
              <w:t>预期目标</w:t>
            </w:r>
          </w:p>
        </w:tc>
        <w:tc>
          <w:tcPr>
            <w:tcW w:w="3429"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Arial" w:hAnsi="Arial" w:cs="Arial"/>
                <w:i w:val="0"/>
                <w:iCs w:val="0"/>
                <w:color w:val="000000"/>
                <w:sz w:val="22"/>
                <w:szCs w:val="22"/>
                <w:u w:val="none"/>
              </w:rPr>
            </w:pPr>
            <w:r>
              <w:rPr>
                <w:rStyle w:val="12"/>
                <w:sz w:val="22"/>
                <w:szCs w:val="22"/>
                <w:lang w:val="en-US" w:eastAsia="zh-CN" w:bidi="ar"/>
              </w:rPr>
              <w:t>实际完成情况</w:t>
            </w: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cs="Arial"/>
                <w:i w:val="0"/>
                <w:iCs w:val="0"/>
                <w:color w:val="000000"/>
                <w:sz w:val="22"/>
                <w:szCs w:val="22"/>
                <w:u w:val="none"/>
              </w:rPr>
            </w:pPr>
          </w:p>
        </w:tc>
        <w:tc>
          <w:tcPr>
            <w:tcW w:w="4652"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r>
              <w:rPr>
                <w:rFonts w:hint="default" w:ascii="Arial" w:hAnsi="Arial" w:cs="Arial"/>
                <w:i w:val="0"/>
                <w:iCs w:val="0"/>
                <w:color w:val="000000"/>
                <w:sz w:val="22"/>
                <w:szCs w:val="22"/>
                <w:u w:val="none"/>
              </w:rPr>
              <w:t>目标1：推进全县乡村振兴工作，扶贫产业项目后续管理，保障扶贫资产安全。</w:t>
            </w:r>
          </w:p>
          <w:p>
            <w:pPr>
              <w:jc w:val="left"/>
              <w:rPr>
                <w:rFonts w:hint="default" w:ascii="Arial" w:hAnsi="Arial" w:cs="Arial"/>
                <w:i w:val="0"/>
                <w:iCs w:val="0"/>
                <w:color w:val="000000"/>
                <w:sz w:val="22"/>
                <w:szCs w:val="22"/>
                <w:u w:val="none"/>
              </w:rPr>
            </w:pPr>
            <w:r>
              <w:rPr>
                <w:rFonts w:hint="default" w:ascii="Arial" w:hAnsi="Arial" w:cs="Arial"/>
                <w:i w:val="0"/>
                <w:iCs w:val="0"/>
                <w:color w:val="000000"/>
                <w:sz w:val="22"/>
                <w:szCs w:val="22"/>
                <w:u w:val="none"/>
              </w:rPr>
              <w:t>目标2：加强县域内各大农资市场的监管力度，以保障农产品质量安全和农业产业安全</w:t>
            </w:r>
          </w:p>
          <w:p>
            <w:pPr>
              <w:jc w:val="left"/>
              <w:rPr>
                <w:rFonts w:hint="default" w:ascii="Arial" w:hAnsi="Arial" w:cs="Arial"/>
                <w:i w:val="0"/>
                <w:iCs w:val="0"/>
                <w:color w:val="000000"/>
                <w:sz w:val="22"/>
                <w:szCs w:val="22"/>
                <w:u w:val="none"/>
              </w:rPr>
            </w:pPr>
            <w:r>
              <w:rPr>
                <w:rFonts w:hint="default" w:ascii="Arial" w:hAnsi="Arial" w:cs="Arial"/>
                <w:i w:val="0"/>
                <w:iCs w:val="0"/>
                <w:color w:val="000000"/>
                <w:sz w:val="22"/>
                <w:szCs w:val="22"/>
                <w:u w:val="none"/>
              </w:rPr>
              <w:t>目标3：加强农产品质量监管队伍和监管机构规范化建设，完善监管设施、强化监管责任，提升监管执法能力，严格管控质量安全。</w:t>
            </w:r>
          </w:p>
          <w:p>
            <w:pPr>
              <w:jc w:val="left"/>
              <w:rPr>
                <w:rFonts w:hint="default" w:ascii="Arial" w:hAnsi="Arial" w:cs="Arial"/>
                <w:i w:val="0"/>
                <w:iCs w:val="0"/>
                <w:color w:val="000000"/>
                <w:sz w:val="22"/>
                <w:szCs w:val="22"/>
                <w:u w:val="none"/>
              </w:rPr>
            </w:pPr>
            <w:r>
              <w:rPr>
                <w:rFonts w:hint="default" w:ascii="Arial" w:hAnsi="Arial" w:cs="Arial"/>
                <w:i w:val="0"/>
                <w:iCs w:val="0"/>
                <w:color w:val="000000"/>
                <w:sz w:val="22"/>
                <w:szCs w:val="22"/>
                <w:u w:val="none"/>
              </w:rPr>
              <w:t>目标4：加强生猪屠宰监管和猪瘟防控，进一步加大屠宰检疫力度，逐步提高管理水平，确保肉品行业健康发展。</w:t>
            </w:r>
          </w:p>
          <w:p>
            <w:pPr>
              <w:jc w:val="left"/>
              <w:rPr>
                <w:rFonts w:hint="default" w:ascii="Arial" w:hAnsi="Arial" w:cs="Arial"/>
                <w:i w:val="0"/>
                <w:iCs w:val="0"/>
                <w:color w:val="000000"/>
                <w:sz w:val="22"/>
                <w:szCs w:val="22"/>
                <w:u w:val="none"/>
              </w:rPr>
            </w:pPr>
            <w:r>
              <w:rPr>
                <w:rFonts w:hint="default" w:ascii="Arial" w:hAnsi="Arial" w:cs="Arial"/>
                <w:i w:val="0"/>
                <w:iCs w:val="0"/>
                <w:color w:val="000000"/>
                <w:sz w:val="22"/>
                <w:szCs w:val="22"/>
                <w:u w:val="none"/>
              </w:rPr>
              <w:t>目标5：推进乡镇农产品质量安全监管站标准化建设；将全县市级以上龙头企业和两品一标农产品纳入国家和省身份证平台管理，并实现一品一码、带证上市流通</w:t>
            </w:r>
          </w:p>
          <w:p>
            <w:pPr>
              <w:jc w:val="left"/>
              <w:rPr>
                <w:rFonts w:hint="default" w:ascii="Arial" w:hAnsi="Arial" w:cs="Arial"/>
                <w:i w:val="0"/>
                <w:iCs w:val="0"/>
                <w:color w:val="000000"/>
                <w:sz w:val="22"/>
                <w:szCs w:val="22"/>
                <w:u w:val="none"/>
              </w:rPr>
            </w:pPr>
            <w:r>
              <w:rPr>
                <w:rFonts w:hint="default" w:ascii="Arial" w:hAnsi="Arial" w:cs="Arial"/>
                <w:i w:val="0"/>
                <w:iCs w:val="0"/>
                <w:color w:val="000000"/>
                <w:sz w:val="22"/>
                <w:szCs w:val="22"/>
                <w:u w:val="none"/>
              </w:rPr>
              <w:t>目标6：发展壮大村集体经济。</w:t>
            </w:r>
          </w:p>
          <w:p>
            <w:pPr>
              <w:jc w:val="left"/>
              <w:rPr>
                <w:rFonts w:hint="default" w:ascii="Arial" w:hAnsi="Arial" w:cs="Arial"/>
                <w:i w:val="0"/>
                <w:iCs w:val="0"/>
                <w:color w:val="000000"/>
                <w:sz w:val="22"/>
                <w:szCs w:val="22"/>
                <w:u w:val="none"/>
              </w:rPr>
            </w:pPr>
            <w:r>
              <w:rPr>
                <w:rFonts w:hint="default" w:ascii="Arial" w:hAnsi="Arial" w:cs="Arial"/>
                <w:i w:val="0"/>
                <w:iCs w:val="0"/>
                <w:color w:val="000000"/>
                <w:sz w:val="22"/>
                <w:szCs w:val="22"/>
                <w:u w:val="none"/>
              </w:rPr>
              <w:t>目标7：大力推行农业标准化生产，制定主要农产品生产技术规程，创建当地品牌振兴农业产业。</w:t>
            </w:r>
          </w:p>
          <w:p>
            <w:pPr>
              <w:jc w:val="left"/>
              <w:rPr>
                <w:rFonts w:hint="default" w:ascii="Arial" w:hAnsi="Arial" w:cs="Arial"/>
                <w:i w:val="0"/>
                <w:iCs w:val="0"/>
                <w:color w:val="000000"/>
                <w:sz w:val="22"/>
                <w:szCs w:val="22"/>
                <w:u w:val="none"/>
              </w:rPr>
            </w:pPr>
            <w:r>
              <w:rPr>
                <w:rFonts w:hint="default" w:ascii="Arial" w:hAnsi="Arial" w:cs="Arial"/>
                <w:i w:val="0"/>
                <w:iCs w:val="0"/>
                <w:color w:val="000000"/>
                <w:sz w:val="22"/>
                <w:szCs w:val="22"/>
                <w:u w:val="none"/>
              </w:rPr>
              <w:t>目标8：加强耕地抛荒治理工作。</w:t>
            </w:r>
          </w:p>
          <w:p>
            <w:pPr>
              <w:jc w:val="left"/>
              <w:rPr>
                <w:rFonts w:hint="default" w:ascii="Arial" w:hAnsi="Arial" w:cs="Arial"/>
                <w:i w:val="0"/>
                <w:iCs w:val="0"/>
                <w:color w:val="000000"/>
                <w:sz w:val="22"/>
                <w:szCs w:val="22"/>
                <w:u w:val="none"/>
              </w:rPr>
            </w:pPr>
          </w:p>
          <w:p>
            <w:pPr>
              <w:jc w:val="left"/>
              <w:rPr>
                <w:rFonts w:hint="default" w:ascii="Arial" w:hAnsi="Arial" w:cs="Arial"/>
                <w:i w:val="0"/>
                <w:iCs w:val="0"/>
                <w:color w:val="000000"/>
                <w:sz w:val="22"/>
                <w:szCs w:val="22"/>
                <w:u w:val="none"/>
              </w:rPr>
            </w:pPr>
          </w:p>
          <w:p>
            <w:pPr>
              <w:jc w:val="left"/>
              <w:rPr>
                <w:rFonts w:hint="default" w:ascii="Arial" w:hAnsi="Arial" w:cs="Arial"/>
                <w:i w:val="0"/>
                <w:iCs w:val="0"/>
                <w:color w:val="000000"/>
                <w:sz w:val="22"/>
                <w:szCs w:val="22"/>
                <w:u w:val="none"/>
              </w:rPr>
            </w:pPr>
          </w:p>
          <w:p>
            <w:pPr>
              <w:jc w:val="left"/>
              <w:rPr>
                <w:rFonts w:hint="default" w:ascii="Arial" w:hAnsi="Arial" w:cs="Arial"/>
                <w:i w:val="0"/>
                <w:iCs w:val="0"/>
                <w:color w:val="000000"/>
                <w:sz w:val="22"/>
                <w:szCs w:val="22"/>
                <w:u w:val="none"/>
              </w:rPr>
            </w:pPr>
          </w:p>
          <w:p>
            <w:pPr>
              <w:jc w:val="left"/>
              <w:rPr>
                <w:rFonts w:hint="default" w:ascii="Arial" w:hAnsi="Arial" w:cs="Arial"/>
                <w:i w:val="0"/>
                <w:iCs w:val="0"/>
                <w:color w:val="000000"/>
                <w:sz w:val="22"/>
                <w:szCs w:val="22"/>
                <w:u w:val="none"/>
              </w:rPr>
            </w:pPr>
          </w:p>
          <w:p>
            <w:pPr>
              <w:jc w:val="left"/>
              <w:rPr>
                <w:rFonts w:hint="default" w:ascii="Arial" w:hAnsi="Arial" w:cs="Arial"/>
                <w:i w:val="0"/>
                <w:iCs w:val="0"/>
                <w:color w:val="000000"/>
                <w:sz w:val="22"/>
                <w:szCs w:val="22"/>
                <w:u w:val="none"/>
              </w:rPr>
            </w:pPr>
          </w:p>
          <w:p>
            <w:pPr>
              <w:jc w:val="left"/>
              <w:rPr>
                <w:rFonts w:hint="default" w:ascii="Arial" w:hAnsi="Arial" w:cs="Arial"/>
                <w:i w:val="0"/>
                <w:iCs w:val="0"/>
                <w:color w:val="000000"/>
                <w:sz w:val="22"/>
                <w:szCs w:val="22"/>
                <w:u w:val="none"/>
              </w:rPr>
            </w:pPr>
          </w:p>
        </w:tc>
        <w:tc>
          <w:tcPr>
            <w:tcW w:w="3429"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numPr>
                <w:ilvl w:val="0"/>
                <w:numId w:val="6"/>
              </w:numPr>
              <w:jc w:val="left"/>
              <w:rPr>
                <w:rFonts w:hint="eastAsia" w:ascii="宋体" w:hAnsi="宋体" w:eastAsia="宋体" w:cs="宋体"/>
                <w:snapToGrid w:val="0"/>
                <w:color w:val="000000"/>
                <w:spacing w:val="7"/>
                <w:kern w:val="0"/>
                <w:position w:val="2"/>
                <w:sz w:val="20"/>
                <w:szCs w:val="20"/>
                <w:lang w:val="en-US" w:eastAsia="zh-CN"/>
              </w:rPr>
            </w:pPr>
            <w:r>
              <w:rPr>
                <w:rFonts w:hint="eastAsia" w:ascii="宋体" w:hAnsi="宋体" w:eastAsia="宋体" w:cs="宋体"/>
                <w:snapToGrid w:val="0"/>
                <w:color w:val="000000"/>
                <w:spacing w:val="7"/>
                <w:kern w:val="0"/>
                <w:position w:val="2"/>
                <w:sz w:val="20"/>
                <w:szCs w:val="20"/>
                <w:lang w:val="en-US" w:eastAsia="zh-CN"/>
              </w:rPr>
              <w:t>通过项目实施，切实提升全县农业产业水平，打造产业亮点，从产业基地建设、基础设施建设、高标准产业基地建设、品牌打造、三产融合等方面提升产业水平。</w:t>
            </w:r>
          </w:p>
          <w:p>
            <w:pPr>
              <w:numPr>
                <w:ilvl w:val="0"/>
                <w:numId w:val="6"/>
              </w:numPr>
              <w:jc w:val="left"/>
              <w:rPr>
                <w:rFonts w:hint="eastAsia" w:ascii="宋体" w:hAnsi="宋体" w:eastAsia="宋体" w:cs="宋体"/>
                <w:snapToGrid w:val="0"/>
                <w:color w:val="000000"/>
                <w:spacing w:val="7"/>
                <w:kern w:val="0"/>
                <w:position w:val="2"/>
                <w:sz w:val="20"/>
                <w:szCs w:val="20"/>
                <w:lang w:val="en-US" w:eastAsia="zh-CN"/>
              </w:rPr>
            </w:pPr>
            <w:r>
              <w:rPr>
                <w:rFonts w:hint="eastAsia" w:ascii="宋体" w:hAnsi="宋体" w:eastAsia="宋体" w:cs="宋体"/>
                <w:snapToGrid w:val="0"/>
                <w:color w:val="000000"/>
                <w:spacing w:val="7"/>
                <w:kern w:val="0"/>
                <w:position w:val="2"/>
                <w:sz w:val="20"/>
                <w:szCs w:val="20"/>
                <w:lang w:val="en-US" w:eastAsia="zh-CN"/>
              </w:rPr>
              <w:t>开展农业执法专项整治行动，农药产品质量与标签合格率95%以上；种子合格率提升2个百分点；肥料产品抽样合格率93以上。</w:t>
            </w:r>
          </w:p>
          <w:p>
            <w:pPr>
              <w:numPr>
                <w:ilvl w:val="0"/>
                <w:numId w:val="6"/>
              </w:numPr>
              <w:ind w:left="0" w:leftChars="0" w:firstLine="0" w:firstLineChars="0"/>
              <w:jc w:val="left"/>
              <w:rPr>
                <w:rFonts w:hint="default" w:ascii="Arial" w:hAnsi="Arial" w:cs="Arial"/>
                <w:i w:val="0"/>
                <w:iCs w:val="0"/>
                <w:color w:val="000000"/>
                <w:sz w:val="20"/>
                <w:szCs w:val="20"/>
                <w:u w:val="none"/>
              </w:rPr>
            </w:pPr>
            <w:r>
              <w:rPr>
                <w:rFonts w:hint="default" w:ascii="Arial" w:hAnsi="Arial" w:cs="Arial"/>
                <w:i w:val="0"/>
                <w:iCs w:val="0"/>
                <w:color w:val="000000"/>
                <w:sz w:val="20"/>
                <w:szCs w:val="20"/>
                <w:u w:val="none"/>
              </w:rPr>
              <w:t>严格管控质量安全风险隐患，农产品质量安全检测合格率保持在98%以上，全年</w:t>
            </w:r>
            <w:r>
              <w:rPr>
                <w:rFonts w:hint="eastAsia" w:ascii="Arial" w:hAnsi="Arial" w:cs="Arial"/>
                <w:i w:val="0"/>
                <w:iCs w:val="0"/>
                <w:color w:val="000000"/>
                <w:sz w:val="20"/>
                <w:szCs w:val="20"/>
                <w:u w:val="none"/>
                <w:lang w:eastAsia="zh-CN"/>
              </w:rPr>
              <w:t>未</w:t>
            </w:r>
            <w:r>
              <w:rPr>
                <w:rFonts w:hint="default" w:ascii="Arial" w:hAnsi="Arial" w:cs="Arial"/>
                <w:i w:val="0"/>
                <w:iCs w:val="0"/>
                <w:color w:val="000000"/>
                <w:sz w:val="20"/>
                <w:szCs w:val="20"/>
                <w:u w:val="none"/>
              </w:rPr>
              <w:t>发生农产品质量安全事故。</w:t>
            </w:r>
          </w:p>
          <w:p>
            <w:pPr>
              <w:numPr>
                <w:ilvl w:val="0"/>
                <w:numId w:val="6"/>
              </w:numPr>
              <w:ind w:left="0" w:leftChars="0" w:firstLine="0" w:firstLineChars="0"/>
              <w:jc w:val="left"/>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lang w:eastAsia="zh-CN"/>
              </w:rPr>
              <w:t>通过</w:t>
            </w:r>
            <w:r>
              <w:rPr>
                <w:rFonts w:hint="default" w:ascii="Arial" w:hAnsi="Arial" w:cs="Arial"/>
                <w:i w:val="0"/>
                <w:iCs w:val="0"/>
                <w:color w:val="000000"/>
                <w:sz w:val="20"/>
                <w:szCs w:val="20"/>
                <w:u w:val="none"/>
              </w:rPr>
              <w:t>生猪屠宰监管和猪瘟防控，管理水平</w:t>
            </w:r>
            <w:r>
              <w:rPr>
                <w:rFonts w:hint="eastAsia" w:ascii="Arial" w:hAnsi="Arial" w:cs="Arial"/>
                <w:i w:val="0"/>
                <w:iCs w:val="0"/>
                <w:color w:val="000000"/>
                <w:sz w:val="20"/>
                <w:szCs w:val="20"/>
                <w:u w:val="none"/>
                <w:lang w:eastAsia="zh-CN"/>
              </w:rPr>
              <w:t>有所提高</w:t>
            </w:r>
            <w:r>
              <w:rPr>
                <w:rFonts w:hint="default" w:ascii="Arial" w:hAnsi="Arial" w:cs="Arial"/>
                <w:i w:val="0"/>
                <w:iCs w:val="0"/>
                <w:color w:val="000000"/>
                <w:sz w:val="20"/>
                <w:szCs w:val="20"/>
                <w:u w:val="none"/>
              </w:rPr>
              <w:t>，肉品行业健康发展</w:t>
            </w:r>
            <w:r>
              <w:rPr>
                <w:rFonts w:hint="eastAsia" w:ascii="Arial" w:hAnsi="Arial" w:cs="Arial"/>
                <w:i w:val="0"/>
                <w:iCs w:val="0"/>
                <w:color w:val="000000"/>
                <w:sz w:val="20"/>
                <w:szCs w:val="20"/>
                <w:u w:val="none"/>
                <w:lang w:eastAsia="zh-CN"/>
              </w:rPr>
              <w:t>。</w:t>
            </w:r>
          </w:p>
          <w:p>
            <w:pPr>
              <w:widowControl w:val="0"/>
              <w:numPr>
                <w:ilvl w:val="0"/>
                <w:numId w:val="6"/>
              </w:numPr>
              <w:ind w:left="0" w:leftChars="0" w:firstLine="0" w:firstLineChars="0"/>
              <w:jc w:val="left"/>
              <w:rPr>
                <w:rFonts w:hint="eastAsia" w:ascii="Arial" w:hAnsi="Arial" w:cs="Arial"/>
                <w:i w:val="0"/>
                <w:iCs w:val="0"/>
                <w:color w:val="000000"/>
                <w:sz w:val="20"/>
                <w:szCs w:val="20"/>
                <w:u w:val="none"/>
                <w:lang w:eastAsia="zh-CN"/>
              </w:rPr>
            </w:pPr>
            <w:r>
              <w:rPr>
                <w:rFonts w:hint="default" w:ascii="Arial" w:hAnsi="Arial" w:cs="Arial"/>
                <w:i w:val="0"/>
                <w:iCs w:val="0"/>
                <w:color w:val="000000"/>
                <w:sz w:val="20"/>
                <w:szCs w:val="20"/>
                <w:u w:val="none"/>
              </w:rPr>
              <w:t>通过大力推行农业标准化生产，两品一标、粤港澳大湾区等产品质量认证</w:t>
            </w:r>
            <w:r>
              <w:rPr>
                <w:rFonts w:hint="eastAsia" w:ascii="Arial" w:hAnsi="Arial" w:cs="Arial"/>
                <w:i w:val="0"/>
                <w:iCs w:val="0"/>
                <w:color w:val="000000"/>
                <w:sz w:val="20"/>
                <w:szCs w:val="20"/>
                <w:u w:val="none"/>
                <w:lang w:eastAsia="zh-CN"/>
              </w:rPr>
              <w:t>得到加强</w:t>
            </w:r>
            <w:r>
              <w:rPr>
                <w:rFonts w:hint="default" w:ascii="Arial" w:hAnsi="Arial" w:cs="Arial"/>
                <w:i w:val="0"/>
                <w:iCs w:val="0"/>
                <w:color w:val="000000"/>
                <w:sz w:val="20"/>
                <w:szCs w:val="20"/>
                <w:u w:val="none"/>
              </w:rPr>
              <w:t>；产品知名度与美誉度</w:t>
            </w:r>
            <w:r>
              <w:rPr>
                <w:rFonts w:hint="eastAsia" w:ascii="Arial" w:hAnsi="Arial" w:cs="Arial"/>
                <w:i w:val="0"/>
                <w:iCs w:val="0"/>
                <w:color w:val="000000"/>
                <w:sz w:val="20"/>
                <w:szCs w:val="20"/>
                <w:u w:val="none"/>
                <w:lang w:eastAsia="zh-CN"/>
              </w:rPr>
              <w:t>得到提升。</w:t>
            </w:r>
          </w:p>
          <w:p>
            <w:pP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6、</w:t>
            </w:r>
            <w:r>
              <w:rPr>
                <w:rFonts w:hint="eastAsia" w:ascii="宋体" w:hAnsi="宋体" w:eastAsia="宋体" w:cs="宋体"/>
                <w:sz w:val="20"/>
                <w:szCs w:val="20"/>
              </w:rPr>
              <w:t>发展壮大村级集体经济，培育村级集体经济经营主体，增加村集体经营性资产，带动区域内村集体经营性收入和农民收入双增长。</w:t>
            </w:r>
          </w:p>
          <w:p>
            <w:pPr>
              <w:widowControl w:val="0"/>
              <w:numPr>
                <w:ilvl w:val="0"/>
                <w:numId w:val="0"/>
              </w:numPr>
              <w:jc w:val="left"/>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7、完成耕地抛荒治理面积1952.94万亩，复种率达100%。</w:t>
            </w: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8" w:hRule="atLeast"/>
        </w:trPr>
        <w:tc>
          <w:tcPr>
            <w:tcW w:w="847"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keepNext w:val="0"/>
              <w:keepLines w:val="0"/>
              <w:widowControl/>
              <w:suppressLineNumbers w:val="0"/>
              <w:ind w:firstLineChars="1200"/>
              <w:jc w:val="center"/>
              <w:textAlignment w:val="top"/>
              <w:rPr>
                <w:rFonts w:hint="default" w:ascii="Arial" w:hAnsi="Arial" w:cs="Arial"/>
                <w:i w:val="0"/>
                <w:iCs w:val="0"/>
                <w:color w:val="000000"/>
                <w:sz w:val="22"/>
                <w:szCs w:val="22"/>
                <w:u w:val="none"/>
              </w:rPr>
            </w:pPr>
            <w:r>
              <w:rPr>
                <w:rStyle w:val="12"/>
                <w:sz w:val="22"/>
                <w:szCs w:val="22"/>
                <w:lang w:val="en-US" w:eastAsia="zh-CN" w:bidi="ar"/>
              </w:rPr>
              <w:t>绩效指标</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一级指</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标</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二级指</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三级指标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2"/>
                <w:rFonts w:hint="eastAsia" w:ascii="宋体" w:hAnsi="宋体" w:eastAsia="宋体" w:cs="宋体"/>
                <w:sz w:val="22"/>
                <w:szCs w:val="22"/>
                <w:lang w:val="en-US" w:eastAsia="zh-CN" w:bidi="ar"/>
              </w:rPr>
            </w:pPr>
            <w:r>
              <w:rPr>
                <w:rStyle w:val="12"/>
                <w:rFonts w:hint="eastAsia" w:ascii="宋体" w:hAnsi="宋体" w:eastAsia="宋体" w:cs="宋体"/>
                <w:sz w:val="22"/>
                <w:szCs w:val="22"/>
                <w:lang w:val="en-US" w:eastAsia="zh-CN" w:bidi="ar"/>
              </w:rPr>
              <w:t>年 度 指 标</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2"/>
                <w:rFonts w:hint="eastAsia" w:ascii="宋体" w:hAnsi="宋体" w:eastAsia="宋体" w:cs="宋体"/>
                <w:sz w:val="22"/>
                <w:szCs w:val="22"/>
                <w:lang w:val="en-US" w:eastAsia="zh-CN" w:bidi="ar"/>
              </w:rPr>
              <w:t>值</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2"/>
                <w:rFonts w:hint="eastAsia" w:ascii="宋体" w:hAnsi="宋体" w:eastAsia="宋体" w:cs="宋体"/>
                <w:sz w:val="22"/>
                <w:szCs w:val="22"/>
                <w:lang w:val="en-US" w:eastAsia="zh-CN" w:bidi="ar"/>
              </w:rPr>
            </w:pPr>
            <w:r>
              <w:rPr>
                <w:rStyle w:val="12"/>
                <w:rFonts w:hint="eastAsia" w:ascii="宋体" w:hAnsi="宋体" w:eastAsia="宋体" w:cs="宋体"/>
                <w:sz w:val="22"/>
                <w:szCs w:val="22"/>
                <w:lang w:val="en-US" w:eastAsia="zh-CN" w:bidi="ar"/>
              </w:rPr>
              <w:t>实际</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2"/>
                <w:rFonts w:hint="eastAsia" w:ascii="宋体" w:hAnsi="宋体" w:eastAsia="宋体" w:cs="宋体"/>
                <w:sz w:val="22"/>
                <w:szCs w:val="22"/>
                <w:lang w:val="en-US" w:eastAsia="zh-CN" w:bidi="ar"/>
              </w:rPr>
              <w:t>完成值</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2"/>
                <w:rFonts w:hint="eastAsia" w:ascii="宋体" w:hAnsi="宋体" w:eastAsia="宋体" w:cs="宋体"/>
                <w:sz w:val="22"/>
                <w:szCs w:val="22"/>
                <w:lang w:val="en-US" w:eastAsia="zh-CN" w:bidi="ar"/>
              </w:rPr>
              <w:t>分值</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2"/>
                <w:rFonts w:hint="eastAsia" w:ascii="宋体" w:hAnsi="宋体" w:eastAsia="宋体" w:cs="宋体"/>
                <w:sz w:val="22"/>
                <w:szCs w:val="22"/>
                <w:lang w:val="en-US" w:eastAsia="zh-CN" w:bidi="ar"/>
              </w:rPr>
              <w:t>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2"/>
                <w:rFonts w:hint="eastAsia" w:ascii="宋体" w:hAnsi="宋体" w:eastAsia="宋体" w:cs="宋体"/>
                <w:sz w:val="22"/>
                <w:szCs w:val="22"/>
                <w:lang w:val="en-US" w:eastAsia="zh-CN" w:bidi="ar"/>
              </w:rPr>
            </w:pPr>
            <w:r>
              <w:rPr>
                <w:rStyle w:val="12"/>
                <w:rFonts w:hint="eastAsia" w:ascii="宋体" w:hAnsi="宋体" w:eastAsia="宋体" w:cs="宋体"/>
                <w:sz w:val="22"/>
                <w:szCs w:val="22"/>
                <w:lang w:val="en-US" w:eastAsia="zh-CN" w:bidi="ar"/>
              </w:rPr>
              <w:t>偏差原因分</w:t>
            </w:r>
          </w:p>
          <w:p>
            <w:pPr>
              <w:keepNext w:val="0"/>
              <w:keepLines w:val="0"/>
              <w:widowControl/>
              <w:suppressLineNumbers w:val="0"/>
              <w:jc w:val="left"/>
              <w:textAlignment w:val="center"/>
              <w:rPr>
                <w:rStyle w:val="12"/>
                <w:rFonts w:hint="eastAsia" w:ascii="宋体" w:hAnsi="宋体" w:eastAsia="宋体" w:cs="宋体"/>
                <w:sz w:val="22"/>
                <w:szCs w:val="22"/>
                <w:lang w:val="en-US" w:eastAsia="zh-CN" w:bidi="ar"/>
              </w:rPr>
            </w:pPr>
            <w:r>
              <w:rPr>
                <w:rStyle w:val="12"/>
                <w:rFonts w:hint="eastAsia" w:ascii="宋体" w:hAnsi="宋体" w:eastAsia="宋体" w:cs="宋体"/>
                <w:sz w:val="22"/>
                <w:szCs w:val="22"/>
                <w:lang w:val="en-US" w:eastAsia="zh-CN" w:bidi="ar"/>
              </w:rPr>
              <w:t>析及改进措</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2"/>
                <w:rFonts w:hint="eastAsia" w:ascii="宋体" w:hAnsi="宋体" w:eastAsia="宋体" w:cs="宋体"/>
                <w:sz w:val="22"/>
                <w:szCs w:val="22"/>
                <w:lang w:val="en-US" w:eastAsia="zh-CN" w:bidi="ar"/>
              </w:rPr>
              <w:t>施</w:t>
            </w: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产出指</w:t>
            </w:r>
          </w:p>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标</w:t>
            </w:r>
          </w:p>
          <w:p>
            <w:pPr>
              <w:keepNext w:val="0"/>
              <w:keepLines w:val="0"/>
              <w:widowControl/>
              <w:suppressLineNumbers w:val="0"/>
              <w:jc w:val="center"/>
              <w:textAlignment w:val="center"/>
              <w:rPr>
                <w:rStyle w:val="12"/>
                <w:sz w:val="22"/>
                <w:szCs w:val="22"/>
                <w:lang w:val="en-US" w:eastAsia="zh-CN" w:bidi="ar"/>
              </w:rPr>
            </w:pP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5"/>
                <w:rFonts w:eastAsia="宋体"/>
                <w:sz w:val="22"/>
                <w:szCs w:val="22"/>
                <w:lang w:val="en-US" w:eastAsia="zh-CN" w:bidi="ar"/>
              </w:rPr>
              <w:t xml:space="preserve">(50 </w:t>
            </w:r>
            <w:r>
              <w:rPr>
                <w:rStyle w:val="12"/>
                <w:sz w:val="22"/>
                <w:szCs w:val="22"/>
                <w:lang w:val="en-US" w:eastAsia="zh-CN" w:bidi="ar"/>
              </w:rPr>
              <w:t>分</w:t>
            </w:r>
            <w:r>
              <w:rPr>
                <w:rStyle w:val="15"/>
                <w:rFonts w:eastAsia="宋体"/>
                <w:sz w:val="22"/>
                <w:szCs w:val="22"/>
                <w:lang w:val="en-US" w:eastAsia="zh-CN" w:bidi="ar"/>
              </w:rPr>
              <w:t>)</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数量指</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eastAsia="zh-CN"/>
              </w:rPr>
              <w:t>财政供养人员控制率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109.52%</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0</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eastAsia="zh-CN"/>
              </w:rPr>
              <w:t>三公经费变动率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val="en-US" w:eastAsia="zh-CN"/>
              </w:rPr>
              <w:t>≤0</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Arial" w:hAnsi="Arial" w:cs="Arial"/>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质量指</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eastAsia="zh-CN"/>
              </w:rPr>
              <w:t>政府采购执行率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eastAsia="zh-CN"/>
              </w:rPr>
              <w:t>公务卡刷卡率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val="en-US" w:eastAsia="zh-CN"/>
              </w:rPr>
              <w:t>100%</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eastAsia="zh-CN"/>
              </w:rPr>
              <w:t>固定资产利用率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val="en-US" w:eastAsia="zh-CN"/>
              </w:rPr>
              <w:t>100%</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时效指</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r>
              <w:rPr>
                <w:rFonts w:hint="eastAsia" w:ascii="宋体" w:hAnsi="宋体" w:eastAsia="宋体" w:cs="宋体"/>
                <w:i w:val="0"/>
                <w:iCs w:val="0"/>
                <w:color w:val="000000"/>
                <w:sz w:val="20"/>
                <w:szCs w:val="20"/>
                <w:u w:val="none"/>
                <w:lang w:eastAsia="zh-CN"/>
              </w:rPr>
              <w:t>当年完成率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eastAsia="zh-CN"/>
              </w:rPr>
            </w:pPr>
            <w:r>
              <w:rPr>
                <w:rFonts w:hint="eastAsia" w:ascii="Arial" w:hAnsi="Arial" w:cs="Arial"/>
                <w:i w:val="0"/>
                <w:iCs w:val="0"/>
                <w:color w:val="000000"/>
                <w:sz w:val="22"/>
                <w:szCs w:val="22"/>
                <w:u w:val="none"/>
                <w:lang w:eastAsia="zh-CN"/>
              </w:rPr>
              <w:t>完成及时率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Arial" w:hAnsi="Arial" w:cs="Arial"/>
                <w:i w:val="0"/>
                <w:iCs w:val="0"/>
                <w:color w:val="000000"/>
                <w:sz w:val="22"/>
                <w:szCs w:val="22"/>
                <w:u w:val="none"/>
              </w:rPr>
            </w:pPr>
            <w:r>
              <w:rPr>
                <w:rStyle w:val="15"/>
                <w:rFonts w:eastAsia="宋体"/>
                <w:sz w:val="22"/>
                <w:szCs w:val="22"/>
                <w:lang w:val="en-US" w:eastAsia="zh-CN" w:bidi="ar"/>
              </w:rPr>
              <w:t>……</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成本指</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r>
              <w:rPr>
                <w:rFonts w:hint="eastAsia" w:ascii="宋体" w:hAnsi="宋体" w:eastAsia="宋体" w:cs="宋体"/>
                <w:i w:val="0"/>
                <w:iCs w:val="0"/>
                <w:color w:val="000000"/>
                <w:sz w:val="20"/>
                <w:szCs w:val="20"/>
                <w:u w:val="none"/>
                <w:lang w:eastAsia="zh-CN"/>
              </w:rPr>
              <w:t>成本控制率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kern w:val="2"/>
                <w:sz w:val="20"/>
                <w:szCs w:val="20"/>
                <w:u w:val="none"/>
                <w:lang w:val="en-US" w:eastAsia="zh-CN" w:bidi="ar-SA"/>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val="en-US" w:eastAsia="zh-CN"/>
              </w:rPr>
              <w:t>100%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val="en-US" w:eastAsia="zh-CN"/>
              </w:rPr>
              <w:t>10</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val="en-US" w:eastAsia="zh-CN"/>
              </w:rPr>
              <w:t>10</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Arial" w:hAnsi="Arial" w:cs="Arial"/>
                <w:i w:val="0"/>
                <w:iCs w:val="0"/>
                <w:color w:val="000000"/>
                <w:sz w:val="22"/>
                <w:szCs w:val="22"/>
                <w:u w:val="none"/>
              </w:rPr>
            </w:pPr>
            <w:r>
              <w:rPr>
                <w:rStyle w:val="15"/>
                <w:rFonts w:eastAsia="宋体"/>
                <w:sz w:val="22"/>
                <w:szCs w:val="22"/>
                <w:lang w:val="en-US" w:eastAsia="zh-CN" w:bidi="ar"/>
              </w:rPr>
              <w:t>……</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eastAsia" w:ascii="Arial" w:hAnsi="Arial" w:cs="Arial" w:eastAsiaTheme="minorEastAsia"/>
                <w:i w:val="0"/>
                <w:iCs w:val="0"/>
                <w:color w:val="000000"/>
                <w:sz w:val="22"/>
                <w:szCs w:val="22"/>
                <w:u w:val="none"/>
                <w:lang w:eastAsia="zh-CN"/>
              </w:rPr>
            </w:pPr>
            <w:r>
              <w:rPr>
                <w:rFonts w:hint="eastAsia" w:ascii="Arial" w:hAnsi="Arial" w:cs="Arial"/>
                <w:i w:val="0"/>
                <w:iCs w:val="0"/>
                <w:color w:val="000000"/>
                <w:sz w:val="22"/>
                <w:szCs w:val="22"/>
                <w:u w:val="none"/>
                <w:lang w:eastAsia="zh-CN"/>
              </w:rPr>
              <w:t>≤</w:t>
            </w: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2"/>
                <w:sz w:val="22"/>
                <w:szCs w:val="22"/>
                <w:lang w:val="en-US" w:eastAsia="zh-CN" w:bidi="ar"/>
              </w:rPr>
            </w:pPr>
            <w:r>
              <w:rPr>
                <w:rStyle w:val="12"/>
                <w:sz w:val="22"/>
                <w:szCs w:val="22"/>
                <w:lang w:val="en-US" w:eastAsia="zh-CN" w:bidi="ar"/>
              </w:rPr>
              <w:t>效益指</w:t>
            </w:r>
          </w:p>
          <w:p>
            <w:pPr>
              <w:keepNext w:val="0"/>
              <w:keepLines w:val="0"/>
              <w:widowControl/>
              <w:suppressLineNumbers w:val="0"/>
              <w:jc w:val="left"/>
              <w:textAlignment w:val="center"/>
              <w:rPr>
                <w:rStyle w:val="12"/>
                <w:sz w:val="22"/>
                <w:szCs w:val="22"/>
                <w:lang w:val="en-US" w:eastAsia="zh-CN" w:bidi="ar"/>
              </w:rPr>
            </w:pPr>
            <w:r>
              <w:rPr>
                <w:rStyle w:val="12"/>
                <w:sz w:val="22"/>
                <w:szCs w:val="22"/>
                <w:lang w:val="en-US" w:eastAsia="zh-CN" w:bidi="ar"/>
              </w:rPr>
              <w:t>标</w:t>
            </w:r>
          </w:p>
          <w:p>
            <w:pPr>
              <w:keepNext w:val="0"/>
              <w:keepLines w:val="0"/>
              <w:widowControl/>
              <w:suppressLineNumbers w:val="0"/>
              <w:jc w:val="left"/>
              <w:textAlignment w:val="center"/>
              <w:rPr>
                <w:rStyle w:val="12"/>
                <w:sz w:val="22"/>
                <w:szCs w:val="22"/>
                <w:lang w:val="en-US" w:eastAsia="zh-CN" w:bidi="ar"/>
              </w:rPr>
            </w:pPr>
          </w:p>
          <w:p>
            <w:pPr>
              <w:keepNext w:val="0"/>
              <w:keepLines w:val="0"/>
              <w:widowControl/>
              <w:suppressLineNumbers w:val="0"/>
              <w:jc w:val="left"/>
              <w:textAlignment w:val="center"/>
              <w:rPr>
                <w:rStyle w:val="15"/>
                <w:rFonts w:eastAsia="宋体"/>
                <w:sz w:val="22"/>
                <w:szCs w:val="22"/>
                <w:lang w:val="en-US" w:eastAsia="zh-CN" w:bidi="ar"/>
              </w:rPr>
            </w:pPr>
            <w:r>
              <w:rPr>
                <w:rStyle w:val="12"/>
                <w:sz w:val="22"/>
                <w:szCs w:val="22"/>
                <w:lang w:val="en-US" w:eastAsia="zh-CN" w:bidi="ar"/>
              </w:rPr>
              <w:t>（</w:t>
            </w:r>
            <w:r>
              <w:rPr>
                <w:rStyle w:val="15"/>
                <w:rFonts w:eastAsia="宋体"/>
                <w:sz w:val="22"/>
                <w:szCs w:val="22"/>
                <w:lang w:val="en-US" w:eastAsia="zh-CN" w:bidi="ar"/>
              </w:rPr>
              <w:t>30</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2"/>
                <w:sz w:val="22"/>
                <w:szCs w:val="22"/>
                <w:lang w:val="en-US" w:eastAsia="zh-CN" w:bidi="ar"/>
              </w:rPr>
              <w:t>分）</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经济效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益指标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村集体经济项目年创收</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10万元</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8万元</w:t>
            </w:r>
          </w:p>
        </w:tc>
        <w:tc>
          <w:tcPr>
            <w:tcW w:w="570" w:type="dxa"/>
            <w:vMerge w:val="restart"/>
            <w:tcBorders>
              <w:top w:val="single" w:color="000000" w:sz="4" w:space="0"/>
              <w:left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614" w:type="dxa"/>
            <w:vMerge w:val="restart"/>
            <w:tcBorders>
              <w:top w:val="single" w:color="000000" w:sz="4" w:space="0"/>
              <w:left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农产品增效</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20%以上</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20%</w:t>
            </w:r>
          </w:p>
        </w:tc>
        <w:tc>
          <w:tcPr>
            <w:tcW w:w="570"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614"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Style w:val="15"/>
                <w:rFonts w:hint="eastAsia" w:ascii="宋体" w:hAnsi="宋体" w:eastAsia="宋体" w:cs="宋体"/>
                <w:sz w:val="20"/>
                <w:szCs w:val="20"/>
                <w:lang w:val="en-US" w:eastAsia="zh-CN" w:bidi="ar"/>
              </w:rPr>
              <w:t>乡镇劳动力就业</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有效促进</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有效促进</w:t>
            </w:r>
          </w:p>
        </w:tc>
        <w:tc>
          <w:tcPr>
            <w:tcW w:w="570"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614"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社会效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益指标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辖区内产品质量安全事故</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零发生</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eastAsia="zh-CN"/>
              </w:rPr>
              <w:t>零发生</w:t>
            </w:r>
          </w:p>
        </w:tc>
        <w:tc>
          <w:tcPr>
            <w:tcW w:w="570" w:type="dxa"/>
            <w:vMerge w:val="restart"/>
            <w:tcBorders>
              <w:top w:val="single" w:color="000000" w:sz="4" w:space="0"/>
              <w:left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614" w:type="dxa"/>
            <w:vMerge w:val="restart"/>
            <w:tcBorders>
              <w:top w:val="single" w:color="000000" w:sz="4" w:space="0"/>
              <w:left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优质农品比例</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明显提升</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明显提升</w:t>
            </w:r>
          </w:p>
        </w:tc>
        <w:tc>
          <w:tcPr>
            <w:tcW w:w="570"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614"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Style w:val="15"/>
                <w:rFonts w:hint="eastAsia" w:ascii="宋体" w:hAnsi="宋体" w:eastAsia="宋体" w:cs="宋体"/>
                <w:sz w:val="20"/>
                <w:szCs w:val="20"/>
                <w:lang w:val="en-US" w:eastAsia="zh-CN" w:bidi="ar"/>
              </w:rPr>
              <w:t>农村人均收入</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明显提高</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color w:val="000000"/>
                <w:kern w:val="0"/>
                <w:sz w:val="20"/>
                <w:szCs w:val="20"/>
                <w:lang w:eastAsia="zh-CN"/>
              </w:rPr>
              <w:t>明显提高</w:t>
            </w:r>
          </w:p>
        </w:tc>
        <w:tc>
          <w:tcPr>
            <w:tcW w:w="570"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614"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生态效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益指标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eastAsia="zh-CN"/>
              </w:rPr>
            </w:pPr>
            <w:r>
              <w:rPr>
                <w:rFonts w:hint="eastAsia" w:ascii="Arial" w:hAnsi="Arial" w:cs="Arial"/>
                <w:i w:val="0"/>
                <w:iCs w:val="0"/>
                <w:color w:val="000000"/>
                <w:sz w:val="22"/>
                <w:szCs w:val="22"/>
                <w:u w:val="none"/>
                <w:lang w:eastAsia="zh-CN"/>
              </w:rPr>
              <w:t>降低污染、美化乡村</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无</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无</w:t>
            </w:r>
          </w:p>
        </w:tc>
        <w:tc>
          <w:tcPr>
            <w:tcW w:w="570" w:type="dxa"/>
            <w:vMerge w:val="restart"/>
            <w:tcBorders>
              <w:top w:val="single" w:color="000000" w:sz="4" w:space="0"/>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614" w:type="dxa"/>
            <w:vMerge w:val="restart"/>
            <w:tcBorders>
              <w:top w:val="single" w:color="000000" w:sz="4" w:space="0"/>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0"/>
                <w:szCs w:val="20"/>
                <w:u w:val="none"/>
                <w:lang w:eastAsia="zh-CN"/>
              </w:rPr>
            </w:pPr>
            <w:r>
              <w:rPr>
                <w:rFonts w:hint="eastAsia" w:ascii="Arial" w:hAnsi="Arial" w:cs="Arial"/>
                <w:i w:val="0"/>
                <w:iCs w:val="0"/>
                <w:color w:val="000000"/>
                <w:sz w:val="20"/>
                <w:szCs w:val="20"/>
                <w:u w:val="none"/>
                <w:lang w:eastAsia="zh-CN"/>
              </w:rPr>
              <w:t>农业生态环境</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仿宋" w:hAnsi="仿宋" w:eastAsia="仿宋" w:cs="宋体"/>
                <w:color w:val="000000"/>
                <w:kern w:val="0"/>
                <w:sz w:val="20"/>
                <w:szCs w:val="20"/>
                <w:lang w:eastAsia="zh-CN"/>
              </w:rPr>
              <w:t>明显改善</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有所增强</w:t>
            </w:r>
          </w:p>
        </w:tc>
        <w:tc>
          <w:tcPr>
            <w:tcW w:w="570"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614"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Arial" w:hAnsi="Arial" w:cs="Arial"/>
                <w:i w:val="0"/>
                <w:iCs w:val="0"/>
                <w:color w:val="000000"/>
                <w:sz w:val="20"/>
                <w:szCs w:val="20"/>
                <w:u w:val="none"/>
              </w:rPr>
            </w:pPr>
            <w:r>
              <w:rPr>
                <w:rStyle w:val="15"/>
                <w:rFonts w:hint="eastAsia" w:eastAsia="宋体"/>
                <w:sz w:val="20"/>
                <w:szCs w:val="20"/>
                <w:lang w:val="en-US" w:eastAsia="zh-CN" w:bidi="ar"/>
              </w:rPr>
              <w:t>生态环境修复率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90%</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90%</w:t>
            </w:r>
          </w:p>
        </w:tc>
        <w:tc>
          <w:tcPr>
            <w:tcW w:w="570"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614"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可持续</w:t>
            </w:r>
          </w:p>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影响指</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0"/>
                <w:szCs w:val="20"/>
                <w:u w:val="none"/>
                <w:lang w:eastAsia="zh-CN"/>
              </w:rPr>
            </w:pPr>
            <w:r>
              <w:rPr>
                <w:rFonts w:hint="eastAsia" w:ascii="Arial" w:hAnsi="Arial" w:cs="Arial"/>
                <w:i w:val="0"/>
                <w:iCs w:val="0"/>
                <w:color w:val="000000"/>
                <w:sz w:val="20"/>
                <w:szCs w:val="20"/>
                <w:u w:val="none"/>
                <w:lang w:eastAsia="zh-CN"/>
              </w:rPr>
              <w:t>农产品质量安全水平</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明显提升</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明显提升</w:t>
            </w:r>
          </w:p>
        </w:tc>
        <w:tc>
          <w:tcPr>
            <w:tcW w:w="570" w:type="dxa"/>
            <w:vMerge w:val="restart"/>
            <w:tcBorders>
              <w:top w:val="single" w:color="000000" w:sz="4" w:space="0"/>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614" w:type="dxa"/>
            <w:vMerge w:val="restart"/>
            <w:tcBorders>
              <w:top w:val="single" w:color="000000" w:sz="4" w:space="0"/>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0"/>
                <w:szCs w:val="20"/>
                <w:u w:val="none"/>
                <w:lang w:eastAsia="zh-CN"/>
              </w:rPr>
            </w:pPr>
            <w:r>
              <w:rPr>
                <w:rFonts w:hint="eastAsia" w:ascii="Arial" w:hAnsi="Arial" w:cs="Arial"/>
                <w:i w:val="0"/>
                <w:iCs w:val="0"/>
                <w:color w:val="000000"/>
                <w:sz w:val="20"/>
                <w:szCs w:val="20"/>
                <w:u w:val="none"/>
                <w:lang w:eastAsia="zh-CN"/>
              </w:rPr>
              <w:t>促进农业绿色健康</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仿宋" w:hAnsi="仿宋" w:eastAsia="仿宋"/>
                <w:sz w:val="20"/>
                <w:szCs w:val="20"/>
                <w:lang w:eastAsia="zh-CN"/>
              </w:rPr>
              <w:t>有效提高</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有效提高</w:t>
            </w:r>
          </w:p>
        </w:tc>
        <w:tc>
          <w:tcPr>
            <w:tcW w:w="570"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614"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Arial" w:hAnsi="Arial" w:cs="Arial"/>
                <w:i w:val="0"/>
                <w:iCs w:val="0"/>
                <w:color w:val="000000"/>
                <w:sz w:val="20"/>
                <w:szCs w:val="20"/>
                <w:u w:val="none"/>
              </w:rPr>
            </w:pPr>
            <w:r>
              <w:rPr>
                <w:rStyle w:val="15"/>
                <w:rFonts w:hint="eastAsia" w:eastAsia="宋体"/>
                <w:sz w:val="20"/>
                <w:szCs w:val="20"/>
                <w:lang w:val="en-US" w:eastAsia="zh-CN" w:bidi="ar"/>
              </w:rPr>
              <w:t>耕地安全利用</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永久</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eastAsia="zh-CN"/>
              </w:rPr>
              <w:t>永久</w:t>
            </w:r>
          </w:p>
        </w:tc>
        <w:tc>
          <w:tcPr>
            <w:tcW w:w="570"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614"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满意度</w:t>
            </w:r>
          </w:p>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指标</w:t>
            </w:r>
          </w:p>
          <w:p>
            <w:pPr>
              <w:keepNext w:val="0"/>
              <w:keepLines w:val="0"/>
              <w:widowControl/>
              <w:suppressLineNumbers w:val="0"/>
              <w:jc w:val="center"/>
              <w:textAlignment w:val="center"/>
              <w:rPr>
                <w:rStyle w:val="15"/>
                <w:rFonts w:eastAsia="宋体"/>
                <w:sz w:val="22"/>
                <w:szCs w:val="22"/>
                <w:lang w:val="en-US" w:eastAsia="zh-CN" w:bidi="ar"/>
              </w:rPr>
            </w:pPr>
            <w:r>
              <w:rPr>
                <w:rStyle w:val="12"/>
                <w:sz w:val="22"/>
                <w:szCs w:val="22"/>
                <w:lang w:val="en-US" w:eastAsia="zh-CN" w:bidi="ar"/>
              </w:rPr>
              <w:t>（</w:t>
            </w:r>
            <w:r>
              <w:rPr>
                <w:rStyle w:val="15"/>
                <w:rFonts w:eastAsia="宋体"/>
                <w:sz w:val="22"/>
                <w:szCs w:val="22"/>
                <w:lang w:val="en-US" w:eastAsia="zh-CN" w:bidi="ar"/>
              </w:rPr>
              <w:t>10</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分）</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服务对</w:t>
            </w:r>
          </w:p>
          <w:p>
            <w:pPr>
              <w:keepNext w:val="0"/>
              <w:keepLines w:val="0"/>
              <w:widowControl/>
              <w:suppressLineNumbers w:val="0"/>
              <w:jc w:val="center"/>
              <w:textAlignment w:val="center"/>
              <w:rPr>
                <w:rStyle w:val="12"/>
                <w:sz w:val="22"/>
                <w:szCs w:val="22"/>
                <w:lang w:val="en-US" w:eastAsia="zh-CN" w:bidi="ar"/>
              </w:rPr>
            </w:pPr>
            <w:r>
              <w:rPr>
                <w:rStyle w:val="12"/>
                <w:sz w:val="22"/>
                <w:szCs w:val="22"/>
                <w:lang w:val="en-US" w:eastAsia="zh-CN" w:bidi="ar"/>
              </w:rPr>
              <w:t>象满意</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2"/>
                <w:sz w:val="22"/>
                <w:szCs w:val="22"/>
                <w:lang w:val="en-US" w:eastAsia="zh-CN" w:bidi="ar"/>
              </w:rPr>
              <w:t>度指标</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eastAsia="zh-CN"/>
              </w:rPr>
            </w:pPr>
            <w:r>
              <w:rPr>
                <w:rFonts w:hint="eastAsia" w:ascii="Arial" w:hAnsi="Arial" w:cs="Arial"/>
                <w:i w:val="0"/>
                <w:iCs w:val="0"/>
                <w:color w:val="000000"/>
                <w:sz w:val="22"/>
                <w:szCs w:val="22"/>
                <w:u w:val="none"/>
                <w:lang w:eastAsia="zh-CN"/>
              </w:rPr>
              <w:t>乡村满意度</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100%</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98%</w:t>
            </w:r>
          </w:p>
        </w:tc>
        <w:tc>
          <w:tcPr>
            <w:tcW w:w="570" w:type="dxa"/>
            <w:vMerge w:val="restart"/>
            <w:tcBorders>
              <w:top w:val="single" w:color="000000" w:sz="4" w:space="0"/>
              <w:left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10</w:t>
            </w:r>
          </w:p>
        </w:tc>
        <w:tc>
          <w:tcPr>
            <w:tcW w:w="614" w:type="dxa"/>
            <w:vMerge w:val="restart"/>
            <w:tcBorders>
              <w:top w:val="single" w:color="000000" w:sz="4" w:space="0"/>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9</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r>
              <w:rPr>
                <w:rFonts w:hint="eastAsia" w:ascii="宋体" w:hAnsi="宋体" w:eastAsia="宋体" w:cs="宋体"/>
                <w:i w:val="0"/>
                <w:iCs w:val="0"/>
                <w:color w:val="000000"/>
                <w:sz w:val="22"/>
                <w:szCs w:val="22"/>
                <w:u w:val="none"/>
                <w:lang w:eastAsia="zh-CN"/>
              </w:rPr>
              <w:t>群众满意度</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100%</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95%</w:t>
            </w:r>
          </w:p>
        </w:tc>
        <w:tc>
          <w:tcPr>
            <w:tcW w:w="570"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614" w:type="dxa"/>
            <w:vMerge w:val="continue"/>
            <w:tcBorders>
              <w:left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center"/>
              <w:rPr>
                <w:rFonts w:hint="default" w:ascii="Arial" w:hAnsi="Arial" w:cs="Arial"/>
                <w:i w:val="0"/>
                <w:iCs w:val="0"/>
                <w:color w:val="000000"/>
                <w:sz w:val="22"/>
                <w:szCs w:val="22"/>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Arial" w:hAnsi="Arial" w:cs="Arial"/>
                <w:i w:val="0"/>
                <w:iCs w:val="0"/>
                <w:color w:val="000000"/>
                <w:sz w:val="22"/>
                <w:szCs w:val="22"/>
                <w:u w:val="none"/>
              </w:rPr>
            </w:pPr>
            <w:r>
              <w:rPr>
                <w:rStyle w:val="15"/>
                <w:rFonts w:eastAsia="宋体"/>
                <w:sz w:val="22"/>
                <w:szCs w:val="22"/>
                <w:lang w:val="en-US" w:eastAsia="zh-CN" w:bidi="ar"/>
              </w:rPr>
              <w:t>……</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570"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614" w:type="dxa"/>
            <w:vMerge w:val="continue"/>
            <w:tcBorders>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 w:hRule="atLeast"/>
        </w:trPr>
        <w:tc>
          <w:tcPr>
            <w:tcW w:w="6663"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Arial" w:hAnsi="Arial" w:cs="Arial"/>
                <w:i w:val="0"/>
                <w:iCs w:val="0"/>
                <w:color w:val="000000"/>
                <w:sz w:val="22"/>
                <w:szCs w:val="22"/>
                <w:u w:val="none"/>
              </w:rPr>
            </w:pPr>
            <w:r>
              <w:rPr>
                <w:rStyle w:val="12"/>
                <w:sz w:val="22"/>
                <w:szCs w:val="22"/>
                <w:lang w:val="en-US" w:eastAsia="zh-CN" w:bidi="ar"/>
              </w:rPr>
              <w:t>总分</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91</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371" w:type="dxa"/>
            <w:vMerge w:val="continue"/>
            <w:tcBorders>
              <w:top w:val="nil"/>
              <w:left w:val="nil"/>
              <w:bottom w:val="nil"/>
              <w:right w:val="nil"/>
            </w:tcBorders>
            <w:shd w:val="clear" w:color="auto" w:fill="auto"/>
            <w:vAlign w:val="top"/>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 w:hRule="atLeast"/>
        </w:trPr>
        <w:tc>
          <w:tcPr>
            <w:tcW w:w="9299" w:type="dxa"/>
            <w:gridSpan w:val="10"/>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6"/>
                <w:sz w:val="22"/>
                <w:szCs w:val="22"/>
                <w:lang w:val="en-US" w:eastAsia="zh-CN" w:bidi="ar"/>
              </w:rPr>
              <w:t xml:space="preserve"> 填表人</w:t>
            </w:r>
            <w:r>
              <w:rPr>
                <w:rStyle w:val="16"/>
                <w:rFonts w:hint="eastAsia"/>
                <w:sz w:val="22"/>
                <w:szCs w:val="22"/>
                <w:lang w:val="en-US" w:eastAsia="zh-CN" w:bidi="ar"/>
              </w:rPr>
              <w:t xml:space="preserve">：朱丽蓉 </w:t>
            </w:r>
            <w:r>
              <w:rPr>
                <w:rStyle w:val="16"/>
                <w:sz w:val="22"/>
                <w:szCs w:val="22"/>
                <w:lang w:val="en-US" w:eastAsia="zh-CN" w:bidi="ar"/>
              </w:rPr>
              <w:t xml:space="preserve"> 填报日期：</w:t>
            </w:r>
            <w:r>
              <w:rPr>
                <w:rStyle w:val="16"/>
                <w:rFonts w:hint="eastAsia"/>
                <w:sz w:val="22"/>
                <w:szCs w:val="22"/>
                <w:lang w:val="en-US" w:eastAsia="zh-CN" w:bidi="ar"/>
              </w:rPr>
              <w:t>2023年3月20日</w:t>
            </w:r>
            <w:r>
              <w:rPr>
                <w:rStyle w:val="16"/>
                <w:sz w:val="22"/>
                <w:szCs w:val="22"/>
                <w:lang w:val="en-US" w:eastAsia="zh-CN" w:bidi="ar"/>
              </w:rPr>
              <w:t xml:space="preserve">  联系电话：</w:t>
            </w:r>
            <w:r>
              <w:rPr>
                <w:rStyle w:val="16"/>
                <w:rFonts w:hint="eastAsia"/>
                <w:sz w:val="22"/>
                <w:szCs w:val="22"/>
                <w:lang w:val="en-US" w:eastAsia="zh-CN" w:bidi="ar"/>
              </w:rPr>
              <w:t xml:space="preserve">5251268 </w:t>
            </w:r>
            <w:r>
              <w:rPr>
                <w:rStyle w:val="16"/>
                <w:sz w:val="22"/>
                <w:szCs w:val="22"/>
                <w:lang w:val="en-US" w:eastAsia="zh-CN" w:bidi="ar"/>
              </w:rPr>
              <w:t xml:space="preserve"> 单位负责人签字：</w:t>
            </w:r>
          </w:p>
        </w:tc>
      </w:tr>
    </w:tbl>
    <w:p/>
    <w:p/>
    <w:tbl>
      <w:tblPr>
        <w:tblStyle w:val="7"/>
        <w:tblW w:w="105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2"/>
        <w:gridCol w:w="495"/>
        <w:gridCol w:w="780"/>
        <w:gridCol w:w="405"/>
        <w:gridCol w:w="2640"/>
        <w:gridCol w:w="2939"/>
        <w:gridCol w:w="2131"/>
        <w:gridCol w:w="96"/>
        <w:gridCol w:w="384"/>
        <w:gridCol w:w="2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620" w:type="dxa"/>
          <w:trHeight w:val="907" w:hRule="atLeast"/>
        </w:trPr>
        <w:tc>
          <w:tcPr>
            <w:tcW w:w="1687" w:type="dxa"/>
            <w:gridSpan w:val="3"/>
            <w:tcBorders>
              <w:top w:val="nil"/>
              <w:left w:val="nil"/>
              <w:bottom w:val="nil"/>
              <w:right w:val="nil"/>
            </w:tcBorders>
            <w:shd w:val="clear" w:color="auto" w:fill="auto"/>
            <w:vAlign w:val="top"/>
          </w:tcPr>
          <w:p>
            <w:pPr>
              <w:jc w:val="left"/>
              <w:rPr>
                <w:rStyle w:val="14"/>
                <w:lang w:val="en-US" w:eastAsia="zh-CN" w:bidi="ar"/>
              </w:rPr>
            </w:pPr>
          </w:p>
          <w:p>
            <w:pPr>
              <w:jc w:val="left"/>
              <w:rPr>
                <w:rStyle w:val="14"/>
                <w:lang w:val="en-US" w:eastAsia="zh-CN" w:bidi="ar"/>
              </w:rPr>
            </w:pPr>
          </w:p>
          <w:p>
            <w:pPr>
              <w:jc w:val="left"/>
              <w:rPr>
                <w:rStyle w:val="14"/>
                <w:lang w:val="en-US" w:eastAsia="zh-CN" w:bidi="ar"/>
              </w:rPr>
            </w:pPr>
          </w:p>
          <w:p>
            <w:pPr>
              <w:jc w:val="left"/>
              <w:rPr>
                <w:rFonts w:hint="default" w:ascii="Arial" w:hAnsi="Arial" w:cs="Arial"/>
                <w:i w:val="0"/>
                <w:iCs w:val="0"/>
                <w:color w:val="000000"/>
                <w:sz w:val="22"/>
                <w:szCs w:val="22"/>
                <w:u w:val="none"/>
              </w:rPr>
            </w:pPr>
            <w:r>
              <w:rPr>
                <w:rStyle w:val="14"/>
                <w:lang w:val="en-US" w:eastAsia="zh-CN" w:bidi="ar"/>
              </w:rPr>
              <w:t>附件 5</w:t>
            </w:r>
          </w:p>
        </w:tc>
        <w:tc>
          <w:tcPr>
            <w:tcW w:w="5984" w:type="dxa"/>
            <w:gridSpan w:val="3"/>
            <w:tcBorders>
              <w:top w:val="nil"/>
              <w:left w:val="nil"/>
              <w:bottom w:val="nil"/>
              <w:right w:val="nil"/>
            </w:tcBorders>
            <w:shd w:val="clear" w:color="auto" w:fill="auto"/>
            <w:vAlign w:val="center"/>
          </w:tcPr>
          <w:p>
            <w:pPr>
              <w:keepNext w:val="0"/>
              <w:keepLines w:val="0"/>
              <w:widowControl/>
              <w:suppressLineNumbers w:val="0"/>
              <w:jc w:val="center"/>
              <w:textAlignment w:val="center"/>
              <w:rPr>
                <w:rStyle w:val="13"/>
                <w:sz w:val="32"/>
                <w:szCs w:val="32"/>
                <w:lang w:val="en-US" w:eastAsia="zh-CN" w:bidi="ar"/>
              </w:rPr>
            </w:pPr>
          </w:p>
          <w:p>
            <w:pPr>
              <w:keepNext w:val="0"/>
              <w:keepLines w:val="0"/>
              <w:widowControl/>
              <w:suppressLineNumbers w:val="0"/>
              <w:jc w:val="center"/>
              <w:textAlignment w:val="center"/>
              <w:rPr>
                <w:rFonts w:hint="default" w:ascii="Arial" w:hAnsi="Arial" w:cs="Arial"/>
                <w:i w:val="0"/>
                <w:iCs w:val="0"/>
                <w:color w:val="000000"/>
                <w:sz w:val="32"/>
                <w:szCs w:val="32"/>
                <w:u w:val="none"/>
              </w:rPr>
            </w:pPr>
            <w:r>
              <w:rPr>
                <w:rStyle w:val="13"/>
                <w:sz w:val="32"/>
                <w:szCs w:val="32"/>
                <w:lang w:val="en-US" w:eastAsia="zh-CN" w:bidi="ar"/>
              </w:rPr>
              <w:t>专项资金绩效评价共性指标</w:t>
            </w:r>
            <w:r>
              <w:rPr>
                <w:rStyle w:val="13"/>
                <w:rFonts w:hint="eastAsia"/>
                <w:sz w:val="32"/>
                <w:szCs w:val="32"/>
                <w:lang w:val="en-US" w:eastAsia="zh-CN" w:bidi="ar"/>
              </w:rPr>
              <w:t>表</w:t>
            </w:r>
          </w:p>
        </w:tc>
        <w:tc>
          <w:tcPr>
            <w:tcW w:w="2227" w:type="dxa"/>
            <w:gridSpan w:val="2"/>
            <w:tcBorders>
              <w:top w:val="nil"/>
              <w:left w:val="nil"/>
              <w:bottom w:val="nil"/>
              <w:right w:val="nil"/>
            </w:tcBorders>
            <w:shd w:val="clear" w:color="auto" w:fill="auto"/>
            <w:vAlign w:val="top"/>
          </w:tcPr>
          <w:p>
            <w:pPr>
              <w:jc w:val="left"/>
              <w:rPr>
                <w:rFonts w:hint="default" w:ascii="Arial" w:hAnsi="Arial" w:cs="Arial"/>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12" w:type="dxa"/>
            <w:tcBorders>
              <w:top w:val="single" w:color="000000" w:sz="4" w:space="0"/>
              <w:left w:val="single" w:color="000000" w:sz="4" w:space="0"/>
              <w:bottom w:val="single" w:color="000000" w:sz="4" w:space="0"/>
              <w:right w:val="single" w:color="000000" w:sz="4" w:space="0"/>
            </w:tcBorders>
            <w:shd w:val="clear" w:color="auto" w:fill="auto"/>
            <w:textDirection w:val="tbRlV"/>
            <w:vAlign w:val="bottom"/>
          </w:tcPr>
          <w:p>
            <w:pPr>
              <w:keepNext w:val="0"/>
              <w:keepLines w:val="0"/>
              <w:widowControl/>
              <w:suppressLineNumbers w:val="0"/>
              <w:jc w:val="center"/>
              <w:textAlignment w:val="bottom"/>
              <w:rPr>
                <w:rFonts w:hint="default" w:ascii="Arial" w:hAnsi="Arial" w:cs="Arial"/>
                <w:i w:val="0"/>
                <w:iCs w:val="0"/>
                <w:color w:val="000000"/>
                <w:sz w:val="22"/>
                <w:szCs w:val="22"/>
                <w:u w:val="none"/>
              </w:rPr>
            </w:pPr>
            <w:r>
              <w:rPr>
                <w:rStyle w:val="10"/>
                <w:sz w:val="22"/>
                <w:szCs w:val="22"/>
                <w:lang w:val="en-US" w:eastAsia="zh-CN" w:bidi="ar"/>
              </w:rPr>
              <w:t>一级指标</w:t>
            </w:r>
          </w:p>
        </w:tc>
        <w:tc>
          <w:tcPr>
            <w:tcW w:w="49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bottom"/>
          </w:tcPr>
          <w:p>
            <w:pPr>
              <w:keepNext w:val="0"/>
              <w:keepLines w:val="0"/>
              <w:widowControl/>
              <w:suppressLineNumbers w:val="0"/>
              <w:jc w:val="center"/>
              <w:textAlignment w:val="bottom"/>
              <w:rPr>
                <w:rFonts w:hint="default" w:ascii="Arial" w:hAnsi="Arial" w:cs="Arial"/>
                <w:i w:val="0"/>
                <w:iCs w:val="0"/>
                <w:color w:val="000000"/>
                <w:sz w:val="22"/>
                <w:szCs w:val="22"/>
                <w:u w:val="none"/>
              </w:rPr>
            </w:pPr>
            <w:r>
              <w:rPr>
                <w:rStyle w:val="10"/>
                <w:sz w:val="22"/>
                <w:szCs w:val="22"/>
                <w:lang w:val="en-US" w:eastAsia="zh-CN" w:bidi="ar"/>
              </w:rPr>
              <w:t>二级指标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0"/>
                <w:sz w:val="22"/>
                <w:szCs w:val="22"/>
                <w:lang w:val="en-US" w:eastAsia="zh-CN" w:bidi="ar"/>
              </w:rPr>
              <w:t>三级</w:t>
            </w:r>
            <w:r>
              <w:rPr>
                <w:rStyle w:val="10"/>
                <w:rFonts w:hint="eastAsia"/>
                <w:sz w:val="22"/>
                <w:szCs w:val="22"/>
                <w:lang w:val="en-US" w:eastAsia="zh-CN" w:bidi="ar"/>
              </w:rPr>
              <w:t>指标</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0"/>
                <w:sz w:val="22"/>
                <w:szCs w:val="22"/>
                <w:lang w:val="en-US" w:eastAsia="zh-CN" w:bidi="ar"/>
              </w:rPr>
            </w:pPr>
            <w:r>
              <w:rPr>
                <w:rStyle w:val="10"/>
                <w:sz w:val="22"/>
                <w:szCs w:val="22"/>
                <w:lang w:val="en-US" w:eastAsia="zh-CN" w:bidi="ar"/>
              </w:rPr>
              <w:t>分</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10"/>
                <w:sz w:val="22"/>
                <w:szCs w:val="22"/>
                <w:lang w:val="en-US" w:eastAsia="zh-CN" w:bidi="ar"/>
              </w:rPr>
              <w:t>值</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0"/>
                <w:sz w:val="22"/>
                <w:szCs w:val="22"/>
                <w:lang w:val="en-US" w:eastAsia="zh-CN" w:bidi="ar"/>
              </w:rPr>
              <w:t>指标解释</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0"/>
                <w:sz w:val="22"/>
                <w:szCs w:val="22"/>
                <w:lang w:val="en-US" w:eastAsia="zh-CN" w:bidi="ar"/>
              </w:rPr>
              <w:t>指标说明</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0"/>
                <w:sz w:val="22"/>
                <w:szCs w:val="22"/>
                <w:lang w:val="en-US" w:eastAsia="zh-CN" w:bidi="ar"/>
              </w:rPr>
            </w:pPr>
            <w:r>
              <w:rPr>
                <w:rStyle w:val="10"/>
                <w:sz w:val="22"/>
                <w:szCs w:val="22"/>
                <w:lang w:val="en-US" w:eastAsia="zh-CN" w:bidi="ar"/>
              </w:rPr>
              <w:t>得</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10"/>
                <w:sz w:val="22"/>
                <w:szCs w:val="22"/>
                <w:lang w:val="en-US" w:eastAsia="zh-CN" w:bidi="ar"/>
              </w:rPr>
              <w:t>分</w:t>
            </w:r>
          </w:p>
        </w:tc>
        <w:tc>
          <w:tcPr>
            <w:tcW w:w="236" w:type="dxa"/>
            <w:vMerge w:val="restart"/>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8" w:hRule="atLeast"/>
        </w:trPr>
        <w:tc>
          <w:tcPr>
            <w:tcW w:w="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投</w:t>
            </w:r>
          </w:p>
          <w:p>
            <w:pPr>
              <w:keepNext w:val="0"/>
              <w:keepLines w:val="0"/>
              <w:widowControl/>
              <w:suppressLineNumbers w:val="0"/>
              <w:jc w:val="left"/>
              <w:textAlignment w:val="center"/>
              <w:rPr>
                <w:rStyle w:val="9"/>
                <w:sz w:val="22"/>
                <w:szCs w:val="22"/>
                <w:lang w:val="en-US" w:eastAsia="zh-CN" w:bidi="ar"/>
              </w:rPr>
            </w:pP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入</w:t>
            </w:r>
          </w:p>
          <w:p>
            <w:pPr>
              <w:keepNext w:val="0"/>
              <w:keepLines w:val="0"/>
              <w:widowControl/>
              <w:suppressLineNumbers w:val="0"/>
              <w:jc w:val="left"/>
              <w:textAlignment w:val="center"/>
              <w:rPr>
                <w:rStyle w:val="9"/>
                <w:sz w:val="22"/>
                <w:szCs w:val="22"/>
                <w:lang w:val="en-US" w:eastAsia="zh-CN" w:bidi="ar"/>
              </w:rPr>
            </w:pP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2</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0</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项目立项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项目立</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项规范</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性</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项目的申请、设立过程是</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否符合相关要求，用以反</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映和考核项目立项的规</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范情况。</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评价要点：</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①项目是否按照规定的程序申请设立；</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②所提交的文件、材料是否符合相关要求；</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③事前是否已经过必要的可行性研究、 专家论证、风险评估、集体决策等。</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6</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7"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绩效目</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标合理</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性</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项目所设定的绩效目标</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是否依椐充分，是否符合</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客观实际，用以反映和考</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核项目绩效目标与项目</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实施的相符情况。</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评价要点：</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①是否符合国家相关法律法规， 国民经济发展规划和党委政府决策；</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②是否与项目实施单位或委托单位职责密切相关；</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③项目是否为促进事业发展所必需；</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④项目顸期产出效益和效果是否符合正常的业绩水平。</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8"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绩效指</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标明确</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性</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依椐绩效目标设定的绩</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效指标是否清晰、细化、</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可衡量等，用以反映和考</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核项目绩效目标的明细</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化情况。</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评价要点：</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①是否将项目绩效目标细化分解为具体的绩效指标；</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②是否通过清晰、可衡量的指标值予以体现；</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③是否与项目年度任务教或计划数相对应；</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④是否与预期确定的项目投资</w:t>
            </w:r>
            <w:r>
              <w:rPr>
                <w:rStyle w:val="12"/>
                <w:sz w:val="22"/>
                <w:szCs w:val="22"/>
                <w:lang w:val="en-US" w:eastAsia="zh-CN" w:bidi="ar"/>
              </w:rPr>
              <w:t>额</w:t>
            </w:r>
            <w:r>
              <w:rPr>
                <w:rStyle w:val="9"/>
                <w:sz w:val="22"/>
                <w:szCs w:val="22"/>
                <w:lang w:val="en-US" w:eastAsia="zh-CN" w:bidi="ar"/>
              </w:rPr>
              <w:t>或资金量相匹配。</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资金落实</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资金到</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位率</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实际到位资金与计划投</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入资金的比率，用以反映</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和考核资金落实情况对</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项目实施的总体保障程</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度。</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资金到位率=（实际到位资金/计划投入资金） ×100%。</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实际到位资金： 一定时期（本年度或项目期） 内实际落实到具体项目的资金。</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计划投入资金： 一定时期（本年度或项目期</w:t>
            </w:r>
            <w:r>
              <w:rPr>
                <w:rStyle w:val="9"/>
                <w:rFonts w:hint="eastAsia"/>
                <w:sz w:val="22"/>
                <w:szCs w:val="22"/>
                <w:lang w:val="en-US" w:eastAsia="zh-CN" w:bidi="ar"/>
              </w:rPr>
              <w:t>）</w:t>
            </w:r>
            <w:r>
              <w:rPr>
                <w:rStyle w:val="9"/>
                <w:sz w:val="22"/>
                <w:szCs w:val="22"/>
                <w:lang w:val="en-US" w:eastAsia="zh-CN" w:bidi="ar"/>
              </w:rPr>
              <w:t>内计划投入到具体项目的资金。</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3"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到位及</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时率</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及时到位资金与应到位</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资金的比率，用以反映和</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考核项目资金落实的及</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时性程度。</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到位及时率＝（及时到位资金/应到位资金）×100%。</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及时到位资金： 截至规定时点实际落实到具体项目的资金。</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9"/>
                <w:sz w:val="22"/>
                <w:szCs w:val="22"/>
                <w:lang w:val="en-US" w:eastAsia="zh-CN" w:bidi="ar"/>
              </w:rPr>
              <w:t>应到位资金： 按照合同或项目进度要求截至规定时点应落实到具体项目的资金。</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8" w:hRule="atLeast"/>
        </w:trPr>
        <w:tc>
          <w:tcPr>
            <w:tcW w:w="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过</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程</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keepNext w:val="0"/>
              <w:keepLines w:val="0"/>
              <w:widowControl/>
              <w:suppressLineNumbers w:val="0"/>
              <w:ind w:firstLineChars="500"/>
              <w:jc w:val="right"/>
              <w:textAlignment w:val="top"/>
              <w:rPr>
                <w:rFonts w:hint="default" w:ascii="Arial" w:hAnsi="Arial" w:cs="Arial"/>
                <w:i w:val="0"/>
                <w:iCs w:val="0"/>
                <w:color w:val="000000"/>
                <w:sz w:val="22"/>
                <w:szCs w:val="22"/>
                <w:u w:val="none"/>
              </w:rPr>
            </w:pPr>
            <w:r>
              <w:rPr>
                <w:rStyle w:val="9"/>
                <w:sz w:val="22"/>
                <w:szCs w:val="22"/>
                <w:lang w:val="en-US" w:eastAsia="zh-CN" w:bidi="ar"/>
              </w:rPr>
              <w:t>业务管理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管理制</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度健全</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性</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项目实施单位的业务管</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理制度是否健全，用以反</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映和考核业务管理制度</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对项目顺利实施的保障</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情况。</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评价要点：</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①是否已制定或具有相应的业务管理制</w:t>
            </w:r>
            <w:r>
              <w:rPr>
                <w:rStyle w:val="9"/>
                <w:rFonts w:hint="eastAsia"/>
                <w:sz w:val="22"/>
                <w:szCs w:val="22"/>
                <w:lang w:val="en-US" w:eastAsia="zh-CN" w:bidi="ar"/>
              </w:rPr>
              <w:t>度</w:t>
            </w:r>
            <w:r>
              <w:rPr>
                <w:rStyle w:val="9"/>
                <w:sz w:val="22"/>
                <w:szCs w:val="22"/>
                <w:lang w:val="en-US" w:eastAsia="zh-CN" w:bidi="ar"/>
              </w:rPr>
              <w:t>；</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9"/>
                <w:sz w:val="22"/>
                <w:szCs w:val="22"/>
                <w:lang w:val="en-US" w:eastAsia="zh-CN" w:bidi="ar"/>
              </w:rPr>
              <w:t>②业务管理制度是否合法、合规、 完整。</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51"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top"/>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制度执</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行有效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性</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项目实施是否符合相关</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业务管理规定，用以反映</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和考核业务管理制度的</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有效执行情况。</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评价要点：</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①是否遵守相关法律法规和业务管理规定；</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②项目调整及支出调整手续是否完备；</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③项目合同书、验收报告、技术审定等资料是否齐全并及时归档;</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9"/>
                <w:sz w:val="22"/>
                <w:szCs w:val="22"/>
                <w:lang w:val="en-US" w:eastAsia="zh-CN" w:bidi="ar"/>
              </w:rPr>
              <w:t>④项目实施的人员条件、场地设备，信息支撑等是否落实到位。</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8" w:hRule="atLeast"/>
        </w:trPr>
        <w:tc>
          <w:tcPr>
            <w:tcW w:w="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过</w:t>
            </w:r>
          </w:p>
          <w:p>
            <w:pPr>
              <w:keepNext w:val="0"/>
              <w:keepLines w:val="0"/>
              <w:widowControl/>
              <w:suppressLineNumbers w:val="0"/>
              <w:jc w:val="left"/>
              <w:textAlignment w:val="center"/>
              <w:rPr>
                <w:rStyle w:val="9"/>
                <w:sz w:val="22"/>
                <w:szCs w:val="22"/>
                <w:lang w:val="en-US" w:eastAsia="zh-CN" w:bidi="ar"/>
              </w:rPr>
            </w:pP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程</w:t>
            </w:r>
          </w:p>
          <w:p>
            <w:pPr>
              <w:keepNext w:val="0"/>
              <w:keepLines w:val="0"/>
              <w:widowControl/>
              <w:suppressLineNumbers w:val="0"/>
              <w:jc w:val="left"/>
              <w:textAlignment w:val="center"/>
              <w:rPr>
                <w:rStyle w:val="9"/>
                <w:sz w:val="22"/>
                <w:szCs w:val="22"/>
                <w:lang w:val="en-US" w:eastAsia="zh-CN" w:bidi="ar"/>
              </w:rPr>
            </w:pP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3</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right"/>
              <w:textAlignment w:val="center"/>
              <w:rPr>
                <w:rFonts w:hint="default" w:ascii="Arial" w:hAnsi="Arial" w:cs="Arial"/>
                <w:i w:val="0"/>
                <w:iCs w:val="0"/>
                <w:color w:val="000000"/>
                <w:sz w:val="22"/>
                <w:szCs w:val="22"/>
                <w:u w:val="none"/>
              </w:rPr>
            </w:pPr>
            <w:r>
              <w:rPr>
                <w:rStyle w:val="9"/>
                <w:sz w:val="22"/>
                <w:szCs w:val="22"/>
                <w:lang w:val="en-US" w:eastAsia="zh-CN" w:bidi="ar"/>
              </w:rPr>
              <w:t>业务管理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项目质</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量可控</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性</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项目实施单位是否为达</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到项目质量要求而采取</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了必需的措施，用以反映</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和考核项目实施单位对</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项目质量的控制情况。</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评价要点：</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①是否已制定或其有相应的项目质量要求或标准；</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9"/>
                <w:sz w:val="22"/>
                <w:szCs w:val="22"/>
                <w:lang w:val="en-US" w:eastAsia="zh-CN" w:bidi="ar"/>
              </w:rPr>
              <w:t>②是否采取了相应的项目质量检查、验收等必需的控制措施或手段。</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8"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right"/>
              <w:textAlignment w:val="center"/>
              <w:rPr>
                <w:rFonts w:hint="default" w:ascii="Arial" w:hAnsi="Arial" w:cs="Arial"/>
                <w:i w:val="0"/>
                <w:iCs w:val="0"/>
                <w:color w:val="000000"/>
                <w:sz w:val="22"/>
                <w:szCs w:val="22"/>
                <w:u w:val="none"/>
              </w:rPr>
            </w:pPr>
            <w:r>
              <w:rPr>
                <w:rStyle w:val="9"/>
                <w:sz w:val="22"/>
                <w:szCs w:val="22"/>
                <w:lang w:val="en-US" w:eastAsia="zh-CN" w:bidi="ar"/>
              </w:rPr>
              <w:t>财务管理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管理制</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度健全</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性</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项目实施单位的财务制</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度是否健全，用以反映和</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考核财务管理制度对资</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金规范安全运行的保障</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情况。</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评价要点：</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①是否已制定或具有相应的项目资金管理办法；</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9"/>
                <w:sz w:val="22"/>
                <w:szCs w:val="22"/>
                <w:lang w:val="en-US" w:eastAsia="zh-CN" w:bidi="ar"/>
              </w:rPr>
              <w:t>②项目资金管理办法是否符合相关财务会计制度的规定。</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资金使</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用合规</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性</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项目资金使用是否符合</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相关的财务管理制度规</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定，用以反映和考核项目</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资金的规范运行情况。</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评价要点：</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①是否符合国家财经法规和财务管理以及有关专项资金管理办法的规定；</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②资金的拨付是否有完整的审批程序和手续；</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③项目的重大开支是否经过评估认证；</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④是否符合项目预算批复或合同规定的用途；</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⑤是否存在截留、挤占、挪用、虚列支出等情况。</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8"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财务监</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控有效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性</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项目实施单位是否为保</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障资金的安全、规范运行</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而采取了必要的监控措</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施，用以反映和考核项目</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实施单位对资金运行的</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控制情况。</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评价要点：</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①是否已制定或具有相应的监控机制；</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9"/>
                <w:sz w:val="22"/>
                <w:szCs w:val="22"/>
                <w:lang w:val="en-US" w:eastAsia="zh-CN" w:bidi="ar"/>
              </w:rPr>
              <w:t>②是否采取了相应的财务检查等必要的监控措施或手段。</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8" w:hRule="atLeast"/>
        </w:trPr>
        <w:tc>
          <w:tcPr>
            <w:tcW w:w="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产</w:t>
            </w:r>
          </w:p>
          <w:p>
            <w:pPr>
              <w:keepNext w:val="0"/>
              <w:keepLines w:val="0"/>
              <w:widowControl/>
              <w:suppressLineNumbers w:val="0"/>
              <w:jc w:val="left"/>
              <w:textAlignment w:val="center"/>
              <w:rPr>
                <w:rStyle w:val="9"/>
                <w:sz w:val="22"/>
                <w:szCs w:val="22"/>
                <w:lang w:val="en-US" w:eastAsia="zh-CN" w:bidi="ar"/>
              </w:rPr>
            </w:pP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出</w:t>
            </w:r>
          </w:p>
          <w:p>
            <w:pPr>
              <w:keepNext w:val="0"/>
              <w:keepLines w:val="0"/>
              <w:widowControl/>
              <w:suppressLineNumbers w:val="0"/>
              <w:jc w:val="left"/>
              <w:textAlignment w:val="center"/>
              <w:rPr>
                <w:rStyle w:val="9"/>
                <w:sz w:val="22"/>
                <w:szCs w:val="22"/>
                <w:lang w:val="en-US" w:eastAsia="zh-CN" w:bidi="ar"/>
              </w:rPr>
            </w:pP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2</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0</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项目产出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实际完</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成率</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项目实施的实际产出数</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与计划产出数的比率，用</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以反映和考核项目产出</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数量目标的实现程度。</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实际完成率＝（实际产出数/计划产出数） ×100%。</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实际产出数： 一定时期（本年度或项目期） 内项目实际产出的产品或提供的服务数。</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计划产出数： 项目绩效目标确定的在一定时期（本年度或项目期） 内计划产出的产品或提供的服务数量。</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5"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完成及</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时率</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项目实际提前完成时间</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与计划完成时间的比率，</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用以反映和考核项目产</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出时效目标的实现程度</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完成及时率[ (计划完成时间-实际完成时间） /计划完成时间]  ×100%。</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实际完成时间：项目实施单位完成该项目实际所耗</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用的时间。</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计划完成时间：桉照项目实施计划或相关规定完成</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9"/>
                <w:sz w:val="22"/>
                <w:szCs w:val="22"/>
                <w:lang w:val="en-US" w:eastAsia="zh-CN" w:bidi="ar"/>
              </w:rPr>
              <w:t>该项目所需的时间。</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3"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质量达</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标率</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项目完成的质量达标产</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出数与实际产出数的比</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率，用以反映和考核项目</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产出质量目标的实现程</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度。</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质量达标率＝（质量达标产出数/实际产出数）</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/100%。</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质量达标产出数： 一定时期（本年度或项目期） 内</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实际达到既定质量标准的产品或服务数量。</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9"/>
                <w:sz w:val="22"/>
                <w:szCs w:val="22"/>
                <w:lang w:val="en-US" w:eastAsia="zh-CN" w:bidi="ar"/>
              </w:rPr>
              <w:t>既定质量标准是指项目实施单位设立绩效目标时依据计划标准、行业标准、历史标准或其他标准而设定的绩效指标值。</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4</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6"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成本节</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约率</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完成项目计划工作目标</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的实际节约成本与计划</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成本的比率，用以反映和考核项目的成本节约程度。</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成本节约率＝(计划成本-实际成本)  /计划成本×100%。</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实际成本：项目实施单位如期、保质、保量完成既</w:t>
            </w:r>
          </w:p>
          <w:p>
            <w:pPr>
              <w:keepNext w:val="0"/>
              <w:keepLines w:val="0"/>
              <w:widowControl/>
              <w:suppressLineNumbers w:val="0"/>
              <w:jc w:val="left"/>
              <w:textAlignment w:val="top"/>
              <w:rPr>
                <w:rStyle w:val="9"/>
                <w:sz w:val="22"/>
                <w:szCs w:val="22"/>
                <w:lang w:val="en-US" w:eastAsia="zh-CN" w:bidi="ar"/>
              </w:rPr>
            </w:pPr>
            <w:r>
              <w:rPr>
                <w:rStyle w:val="9"/>
                <w:sz w:val="22"/>
                <w:szCs w:val="22"/>
                <w:lang w:val="en-US" w:eastAsia="zh-CN" w:bidi="ar"/>
              </w:rPr>
              <w:t>定工作目标实际所耗费的支出。</w:t>
            </w:r>
          </w:p>
          <w:p>
            <w:pPr>
              <w:keepNext w:val="0"/>
              <w:keepLines w:val="0"/>
              <w:widowControl/>
              <w:suppressLineNumbers w:val="0"/>
              <w:jc w:val="left"/>
              <w:textAlignment w:val="top"/>
              <w:rPr>
                <w:rFonts w:hint="default" w:ascii="Arial" w:hAnsi="Arial" w:cs="Arial"/>
                <w:i w:val="0"/>
                <w:iCs w:val="0"/>
                <w:color w:val="000000"/>
                <w:sz w:val="22"/>
                <w:szCs w:val="22"/>
                <w:u w:val="none"/>
              </w:rPr>
            </w:pPr>
            <w:r>
              <w:rPr>
                <w:rStyle w:val="9"/>
                <w:sz w:val="22"/>
                <w:szCs w:val="22"/>
                <w:lang w:val="en-US" w:eastAsia="zh-CN" w:bidi="ar"/>
              </w:rPr>
              <w:t>计划成本： 项目实施单位为完成工作目标计划安排的支出， 一般以项目预算为参考。</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9" w:hRule="atLeast"/>
        </w:trPr>
        <w:tc>
          <w:tcPr>
            <w:tcW w:w="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效</w:t>
            </w:r>
          </w:p>
          <w:p>
            <w:pPr>
              <w:keepNext w:val="0"/>
              <w:keepLines w:val="0"/>
              <w:widowControl/>
              <w:suppressLineNumbers w:val="0"/>
              <w:jc w:val="left"/>
              <w:textAlignment w:val="center"/>
              <w:rPr>
                <w:rStyle w:val="9"/>
                <w:sz w:val="22"/>
                <w:szCs w:val="22"/>
                <w:lang w:val="en-US" w:eastAsia="zh-CN" w:bidi="ar"/>
              </w:rPr>
            </w:pP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果</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3</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0</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项目效益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经济效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益</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项目实施对经济发展所</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带来的直接或间接影响</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情况。</w:t>
            </w:r>
          </w:p>
        </w:tc>
        <w:tc>
          <w:tcPr>
            <w:tcW w:w="50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此四项指标为设置项目支出</w:t>
            </w:r>
            <w:r>
              <w:rPr>
                <w:rStyle w:val="12"/>
                <w:sz w:val="22"/>
                <w:szCs w:val="22"/>
                <w:lang w:val="en-US" w:eastAsia="zh-CN" w:bidi="ar"/>
              </w:rPr>
              <w:t>績</w:t>
            </w:r>
            <w:r>
              <w:rPr>
                <w:rStyle w:val="9"/>
                <w:sz w:val="22"/>
                <w:szCs w:val="22"/>
                <w:lang w:val="en-US" w:eastAsia="zh-CN" w:bidi="ar"/>
              </w:rPr>
              <w:t>效评价指标时必须考虑的共性要素， 可根据项目实际并结合绩效目标设立情况有选择的</w:t>
            </w:r>
            <w:r>
              <w:rPr>
                <w:rStyle w:val="12"/>
                <w:sz w:val="22"/>
                <w:szCs w:val="22"/>
                <w:lang w:val="en-US" w:eastAsia="zh-CN" w:bidi="ar"/>
              </w:rPr>
              <w:t>进</w:t>
            </w:r>
            <w:r>
              <w:rPr>
                <w:rStyle w:val="9"/>
                <w:sz w:val="22"/>
                <w:szCs w:val="22"/>
                <w:lang w:val="en-US" w:eastAsia="zh-CN" w:bidi="ar"/>
              </w:rPr>
              <w:t>行设置，并将其细化为相应的个性化指标。</w:t>
            </w:r>
          </w:p>
        </w:tc>
        <w:tc>
          <w:tcPr>
            <w:tcW w:w="4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23</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9"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社会效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益</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项目实施对社会发展所</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带来的直接或间接影响</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情况。</w:t>
            </w:r>
          </w:p>
        </w:tc>
        <w:tc>
          <w:tcPr>
            <w:tcW w:w="50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9"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生态效</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益</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项目实施对生态环境所</w:t>
            </w:r>
          </w:p>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带来的直接或间接影响</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情况。</w:t>
            </w:r>
          </w:p>
        </w:tc>
        <w:tc>
          <w:tcPr>
            <w:tcW w:w="50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可持续</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影响</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项目后续运行及成效发</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挥的可持续影响情况。</w:t>
            </w:r>
          </w:p>
        </w:tc>
        <w:tc>
          <w:tcPr>
            <w:tcW w:w="50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8" w:hRule="atLeast"/>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cs="Arial"/>
                <w:i w:val="0"/>
                <w:iCs w:val="0"/>
                <w:color w:val="000000"/>
                <w:sz w:val="22"/>
                <w:szCs w:val="22"/>
                <w:u w:val="none"/>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right"/>
              <w:rPr>
                <w:rFonts w:hint="default" w:ascii="Arial" w:hAnsi="Arial" w:cs="Arial"/>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社会公</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众或服</w:t>
            </w:r>
          </w:p>
          <w:p>
            <w:pPr>
              <w:keepNext w:val="0"/>
              <w:keepLines w:val="0"/>
              <w:widowControl/>
              <w:suppressLineNumbers w:val="0"/>
              <w:jc w:val="center"/>
              <w:textAlignment w:val="center"/>
              <w:rPr>
                <w:rStyle w:val="9"/>
                <w:sz w:val="22"/>
                <w:szCs w:val="22"/>
                <w:lang w:val="en-US" w:eastAsia="zh-CN" w:bidi="ar"/>
              </w:rPr>
            </w:pPr>
            <w:r>
              <w:rPr>
                <w:rStyle w:val="9"/>
                <w:sz w:val="22"/>
                <w:szCs w:val="22"/>
                <w:lang w:val="en-US" w:eastAsia="zh-CN" w:bidi="ar"/>
              </w:rPr>
              <w:t>务对象</w:t>
            </w:r>
          </w:p>
          <w:p>
            <w:pPr>
              <w:keepNext w:val="0"/>
              <w:keepLines w:val="0"/>
              <w:widowControl/>
              <w:suppressLineNumbers w:val="0"/>
              <w:jc w:val="center"/>
              <w:textAlignment w:val="center"/>
              <w:rPr>
                <w:rFonts w:hint="default" w:ascii="Arial" w:hAnsi="Arial" w:cs="Arial"/>
                <w:i w:val="0"/>
                <w:iCs w:val="0"/>
                <w:color w:val="000000"/>
                <w:sz w:val="22"/>
                <w:szCs w:val="22"/>
                <w:u w:val="none"/>
              </w:rPr>
            </w:pPr>
            <w:r>
              <w:rPr>
                <w:rStyle w:val="9"/>
                <w:sz w:val="22"/>
                <w:szCs w:val="22"/>
                <w:lang w:val="en-US" w:eastAsia="zh-CN" w:bidi="ar"/>
              </w:rPr>
              <w:t>满意度</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9"/>
                <w:sz w:val="22"/>
                <w:szCs w:val="22"/>
                <w:lang w:val="en-US" w:eastAsia="zh-CN" w:bidi="ar"/>
              </w:rPr>
            </w:pPr>
            <w:r>
              <w:rPr>
                <w:rStyle w:val="9"/>
                <w:sz w:val="22"/>
                <w:szCs w:val="22"/>
                <w:lang w:val="en-US" w:eastAsia="zh-CN" w:bidi="ar"/>
              </w:rPr>
              <w:t>社会公众或服务对象对</w:t>
            </w:r>
          </w:p>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项目实施效策的满意程度</w:t>
            </w:r>
          </w:p>
        </w:tc>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2"/>
                <w:szCs w:val="22"/>
                <w:u w:val="none"/>
              </w:rPr>
            </w:pPr>
            <w:r>
              <w:rPr>
                <w:rStyle w:val="9"/>
                <w:sz w:val="22"/>
                <w:szCs w:val="22"/>
                <w:lang w:val="en-US" w:eastAsia="zh-CN" w:bidi="ar"/>
              </w:rPr>
              <w:t>社会公众或服务对象是指因该项目实施而受到影响的部门(单位)、群体或个人。 一般采取社会调查的方式。</w:t>
            </w:r>
          </w:p>
        </w:tc>
        <w:tc>
          <w:tcPr>
            <w:tcW w:w="48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2"/>
                <w:szCs w:val="22"/>
                <w:u w:val="none"/>
                <w:lang w:val="en-US" w:eastAsia="zh-CN"/>
              </w:rPr>
            </w:pPr>
            <w:r>
              <w:rPr>
                <w:rFonts w:hint="eastAsia" w:ascii="Arial" w:hAnsi="Arial" w:cs="Arial"/>
                <w:i w:val="0"/>
                <w:iCs w:val="0"/>
                <w:color w:val="000000"/>
                <w:sz w:val="22"/>
                <w:szCs w:val="22"/>
                <w:u w:val="none"/>
                <w:lang w:val="en-US" w:eastAsia="zh-CN"/>
              </w:rPr>
              <w:t>5</w:t>
            </w:r>
          </w:p>
        </w:tc>
        <w:tc>
          <w:tcPr>
            <w:tcW w:w="236" w:type="dxa"/>
            <w:vMerge w:val="continue"/>
            <w:tcBorders>
              <w:top w:val="nil"/>
              <w:left w:val="nil"/>
              <w:bottom w:val="nil"/>
              <w:right w:val="nil"/>
            </w:tcBorders>
            <w:shd w:val="clear" w:color="auto" w:fill="auto"/>
            <w:vAlign w:val="top"/>
          </w:tcPr>
          <w:p>
            <w:pPr>
              <w:jc w:val="left"/>
              <w:rPr>
                <w:rFonts w:hint="default" w:ascii="Arial" w:hAnsi="Arial" w:cs="Arial"/>
                <w:i w:val="0"/>
                <w:iCs w:val="0"/>
                <w:color w:val="000000"/>
                <w:sz w:val="22"/>
                <w:szCs w:val="22"/>
                <w:u w:val="none"/>
              </w:rPr>
            </w:pPr>
          </w:p>
        </w:tc>
      </w:tr>
    </w:tbl>
    <w:p>
      <w:pPr>
        <w:rPr>
          <w:sz w:val="22"/>
          <w:szCs w:val="22"/>
        </w:rPr>
      </w:pPr>
    </w:p>
    <w:p>
      <w:pPr>
        <w:rPr>
          <w:sz w:val="22"/>
          <w:szCs w:val="22"/>
        </w:rPr>
      </w:pPr>
    </w:p>
    <w:sectPr>
      <w:pgSz w:w="11906" w:h="16838"/>
      <w:pgMar w:top="1134" w:right="1009" w:bottom="850" w:left="1009" w:header="851" w:footer="992" w:gutter="0"/>
      <w:pgBorders w:offsetFrom="page">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Nimbus Roman No9 L">
    <w:altName w:val="微软雅黑"/>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4C97AD"/>
    <w:multiLevelType w:val="singleLevel"/>
    <w:tmpl w:val="B44C97AD"/>
    <w:lvl w:ilvl="0" w:tentative="0">
      <w:start w:val="2"/>
      <w:numFmt w:val="decimal"/>
      <w:suff w:val="nothing"/>
      <w:lvlText w:val="%1、"/>
      <w:lvlJc w:val="left"/>
    </w:lvl>
  </w:abstractNum>
  <w:abstractNum w:abstractNumId="1">
    <w:nsid w:val="D59AE0FD"/>
    <w:multiLevelType w:val="singleLevel"/>
    <w:tmpl w:val="D59AE0FD"/>
    <w:lvl w:ilvl="0" w:tentative="0">
      <w:start w:val="6"/>
      <w:numFmt w:val="chineseCounting"/>
      <w:suff w:val="nothing"/>
      <w:lvlText w:val="%1、"/>
      <w:lvlJc w:val="left"/>
      <w:rPr>
        <w:rFonts w:hint="eastAsia"/>
      </w:rPr>
    </w:lvl>
  </w:abstractNum>
  <w:abstractNum w:abstractNumId="2">
    <w:nsid w:val="EE514B5A"/>
    <w:multiLevelType w:val="singleLevel"/>
    <w:tmpl w:val="EE514B5A"/>
    <w:lvl w:ilvl="0" w:tentative="0">
      <w:start w:val="5"/>
      <w:numFmt w:val="chineseCounting"/>
      <w:suff w:val="nothing"/>
      <w:lvlText w:val="%1、"/>
      <w:lvlJc w:val="left"/>
      <w:rPr>
        <w:rFonts w:hint="eastAsia"/>
      </w:rPr>
    </w:lvl>
  </w:abstractNum>
  <w:abstractNum w:abstractNumId="3">
    <w:nsid w:val="F58D793A"/>
    <w:multiLevelType w:val="singleLevel"/>
    <w:tmpl w:val="F58D793A"/>
    <w:lvl w:ilvl="0" w:tentative="0">
      <w:start w:val="2"/>
      <w:numFmt w:val="decimal"/>
      <w:suff w:val="nothing"/>
      <w:lvlText w:val="%1、"/>
      <w:lvlJc w:val="left"/>
    </w:lvl>
  </w:abstractNum>
  <w:abstractNum w:abstractNumId="4">
    <w:nsid w:val="715C545A"/>
    <w:multiLevelType w:val="singleLevel"/>
    <w:tmpl w:val="715C545A"/>
    <w:lvl w:ilvl="0" w:tentative="0">
      <w:start w:val="2"/>
      <w:numFmt w:val="chineseCounting"/>
      <w:suff w:val="nothing"/>
      <w:lvlText w:val="（%1）"/>
      <w:lvlJc w:val="left"/>
      <w:rPr>
        <w:rFonts w:hint="eastAsia"/>
      </w:rPr>
    </w:lvl>
  </w:abstractNum>
  <w:abstractNum w:abstractNumId="5">
    <w:nsid w:val="73581CFA"/>
    <w:multiLevelType w:val="singleLevel"/>
    <w:tmpl w:val="73581CFA"/>
    <w:lvl w:ilvl="0" w:tentative="0">
      <w:start w:val="1"/>
      <w:numFmt w:val="decimal"/>
      <w:suff w:val="nothing"/>
      <w:lvlText w:val="%1、"/>
      <w:lvlJc w:val="left"/>
    </w:lvl>
  </w:abstractNum>
  <w:num w:numId="1">
    <w:abstractNumId w:val="0"/>
  </w:num>
  <w:num w:numId="2">
    <w:abstractNumId w:val="4"/>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5ZDI1MTgzYjBiYjQ1Zjg2YTRjODhmYWIyOTUzZGYifQ=="/>
  </w:docVars>
  <w:rsids>
    <w:rsidRoot w:val="3ABD5FD4"/>
    <w:rsid w:val="019B202D"/>
    <w:rsid w:val="05C319D3"/>
    <w:rsid w:val="0842077E"/>
    <w:rsid w:val="09296E01"/>
    <w:rsid w:val="0BAD4BBE"/>
    <w:rsid w:val="0EC421B8"/>
    <w:rsid w:val="0ED637CA"/>
    <w:rsid w:val="175204F6"/>
    <w:rsid w:val="22792C43"/>
    <w:rsid w:val="27606603"/>
    <w:rsid w:val="292A3347"/>
    <w:rsid w:val="2A182826"/>
    <w:rsid w:val="2E2A34C6"/>
    <w:rsid w:val="2E3266BD"/>
    <w:rsid w:val="386C21BF"/>
    <w:rsid w:val="3ABD5FD4"/>
    <w:rsid w:val="3C01677A"/>
    <w:rsid w:val="3D4D1DAF"/>
    <w:rsid w:val="3D890A52"/>
    <w:rsid w:val="476D50F8"/>
    <w:rsid w:val="4F315926"/>
    <w:rsid w:val="4F8B73EA"/>
    <w:rsid w:val="587B28F0"/>
    <w:rsid w:val="604427DF"/>
    <w:rsid w:val="61B20D7F"/>
    <w:rsid w:val="66A77934"/>
    <w:rsid w:val="73725D96"/>
    <w:rsid w:val="787926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widowControl/>
      <w:shd w:val="clear" w:color="auto" w:fill="FFFFFF"/>
      <w:spacing w:line="310" w:lineRule="exact"/>
      <w:ind w:hanging="1140"/>
      <w:jc w:val="left"/>
    </w:pPr>
    <w:rPr>
      <w:rFonts w:ascii="黑体" w:hAnsi="黑体" w:eastAsia="仿宋" w:cs="黑体"/>
      <w:sz w:val="32"/>
    </w:rPr>
  </w:style>
  <w:style w:type="paragraph" w:styleId="3">
    <w:name w:val="toc 5"/>
    <w:basedOn w:val="1"/>
    <w:next w:val="1"/>
    <w:qFormat/>
    <w:uiPriority w:val="0"/>
    <w:pPr>
      <w:ind w:left="1680" w:leftChars="8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font21"/>
    <w:basedOn w:val="8"/>
    <w:qFormat/>
    <w:uiPriority w:val="0"/>
    <w:rPr>
      <w:rFonts w:ascii="仿宋" w:hAnsi="仿宋" w:eastAsia="仿宋" w:cs="仿宋"/>
      <w:color w:val="000000"/>
      <w:sz w:val="28"/>
      <w:szCs w:val="28"/>
      <w:u w:val="none"/>
    </w:rPr>
  </w:style>
  <w:style w:type="character" w:customStyle="1" w:styleId="10">
    <w:name w:val="font31"/>
    <w:basedOn w:val="8"/>
    <w:qFormat/>
    <w:uiPriority w:val="0"/>
    <w:rPr>
      <w:rFonts w:ascii="微软雅黑" w:hAnsi="微软雅黑" w:eastAsia="微软雅黑" w:cs="微软雅黑"/>
      <w:color w:val="000000"/>
      <w:sz w:val="42"/>
      <w:szCs w:val="42"/>
      <w:u w:val="none"/>
    </w:rPr>
  </w:style>
  <w:style w:type="character" w:customStyle="1" w:styleId="11">
    <w:name w:val="font11"/>
    <w:basedOn w:val="8"/>
    <w:qFormat/>
    <w:uiPriority w:val="0"/>
    <w:rPr>
      <w:rFonts w:hint="eastAsia" w:ascii="仿宋" w:hAnsi="仿宋" w:eastAsia="仿宋" w:cs="仿宋"/>
      <w:color w:val="000000"/>
      <w:sz w:val="24"/>
      <w:szCs w:val="24"/>
      <w:u w:val="none"/>
    </w:rPr>
  </w:style>
  <w:style w:type="character" w:customStyle="1" w:styleId="12">
    <w:name w:val="font61"/>
    <w:basedOn w:val="8"/>
    <w:qFormat/>
    <w:uiPriority w:val="0"/>
    <w:rPr>
      <w:rFonts w:hint="eastAsia" w:ascii="仿宋" w:hAnsi="仿宋" w:eastAsia="仿宋" w:cs="仿宋"/>
      <w:b/>
      <w:bCs/>
      <w:color w:val="000000"/>
      <w:sz w:val="24"/>
      <w:szCs w:val="24"/>
      <w:u w:val="none"/>
    </w:rPr>
  </w:style>
  <w:style w:type="character" w:customStyle="1" w:styleId="13">
    <w:name w:val="font51"/>
    <w:basedOn w:val="8"/>
    <w:qFormat/>
    <w:uiPriority w:val="0"/>
    <w:rPr>
      <w:rFonts w:hint="default" w:ascii="Times New Roman" w:hAnsi="Times New Roman" w:cs="Times New Roman"/>
      <w:b/>
      <w:bCs/>
      <w:color w:val="000000"/>
      <w:sz w:val="24"/>
      <w:szCs w:val="24"/>
      <w:u w:val="none"/>
    </w:rPr>
  </w:style>
  <w:style w:type="character" w:customStyle="1" w:styleId="14">
    <w:name w:val="font41"/>
    <w:basedOn w:val="8"/>
    <w:qFormat/>
    <w:uiPriority w:val="0"/>
    <w:rPr>
      <w:rFonts w:hint="default" w:ascii="Times New Roman" w:hAnsi="Times New Roman" w:cs="Times New Roman"/>
      <w:color w:val="000000"/>
      <w:sz w:val="24"/>
      <w:szCs w:val="24"/>
      <w:u w:val="none"/>
    </w:rPr>
  </w:style>
  <w:style w:type="character" w:customStyle="1" w:styleId="15">
    <w:name w:val="font71"/>
    <w:basedOn w:val="8"/>
    <w:qFormat/>
    <w:uiPriority w:val="0"/>
    <w:rPr>
      <w:rFonts w:ascii="宋体" w:hAnsi="宋体" w:eastAsia="宋体" w:cs="宋体"/>
      <w:color w:val="000000"/>
      <w:sz w:val="24"/>
      <w:szCs w:val="24"/>
      <w:u w:val="none"/>
    </w:rPr>
  </w:style>
  <w:style w:type="character" w:customStyle="1" w:styleId="16">
    <w:name w:val="font81"/>
    <w:basedOn w:val="8"/>
    <w:qFormat/>
    <w:uiPriority w:val="0"/>
    <w:rPr>
      <w:rFonts w:hint="default" w:ascii="Times New Roman" w:hAnsi="Times New Roman" w:cs="Times New Roman"/>
      <w:color w:val="000000"/>
      <w:sz w:val="28"/>
      <w:szCs w:val="28"/>
      <w:u w:val="none"/>
    </w:rPr>
  </w:style>
  <w:style w:type="character" w:customStyle="1" w:styleId="17">
    <w:name w:val="font91"/>
    <w:basedOn w:val="8"/>
    <w:qFormat/>
    <w:uiPriority w:val="0"/>
    <w:rPr>
      <w:rFonts w:hint="default" w:ascii="Arial" w:hAnsi="Arial" w:cs="Arial"/>
      <w:color w:val="000000"/>
      <w:sz w:val="19"/>
      <w:szCs w:val="19"/>
      <w:u w:val="none"/>
    </w:rPr>
  </w:style>
  <w:style w:type="character" w:customStyle="1" w:styleId="18">
    <w:name w:val="font101"/>
    <w:basedOn w:val="8"/>
    <w:uiPriority w:val="0"/>
    <w:rPr>
      <w:rFonts w:hint="default" w:ascii="Arial" w:hAnsi="Arial" w:cs="Arial"/>
      <w:color w:val="000000"/>
      <w:sz w:val="19"/>
      <w:szCs w:val="19"/>
      <w:u w:val="none"/>
    </w:rPr>
  </w:style>
  <w:style w:type="character" w:customStyle="1" w:styleId="19">
    <w:name w:val="font112"/>
    <w:basedOn w:val="8"/>
    <w:qFormat/>
    <w:uiPriority w:val="0"/>
    <w:rPr>
      <w:rFonts w:hint="default" w:ascii="Arial" w:hAnsi="Arial" w:cs="Arial"/>
      <w:color w:val="000000"/>
      <w:sz w:val="13"/>
      <w:szCs w:val="13"/>
      <w:u w:val="none"/>
    </w:rPr>
  </w:style>
  <w:style w:type="paragraph" w:customStyle="1" w:styleId="20">
    <w:name w:val="无间隔"/>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11313</Words>
  <Characters>12162</Characters>
  <Lines>0</Lines>
  <Paragraphs>0</Paragraphs>
  <TotalTime>9</TotalTime>
  <ScaleCrop>false</ScaleCrop>
  <LinksUpToDate>false</LinksUpToDate>
  <CharactersWithSpaces>12371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2023-04-10T03:11:00Z</dcterms:created>
  <dc:creator>Administrator</dc:creator>
  <cp:lastModifiedBy>Administrator</cp:lastModifiedBy>
  <dcterms:modified xsi:type="dcterms:W3CDTF">2023-05-11T03:58:23Z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4207DEF4F98142E6A8641D6166EA7C4B_13</vt:lpwstr>
  </property>
</Properties>
</file>