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D605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农村经营服务站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部门整体支出绩效自评报告</w:t>
      </w:r>
    </w:p>
    <w:p w14:paraId="0967815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73B8C0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E04E44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 w14:paraId="33A8640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（一）机构设置情况</w:t>
      </w:r>
    </w:p>
    <w:bookmarkEnd w:id="0"/>
    <w:p w14:paraId="743CF6C3"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辰溪县</w:t>
      </w:r>
      <w:r>
        <w:rPr>
          <w:rFonts w:hint="eastAsia" w:ascii="仿宋" w:hAnsi="仿宋" w:eastAsia="仿宋"/>
          <w:sz w:val="32"/>
          <w:szCs w:val="32"/>
          <w:lang w:eastAsia="zh-CN"/>
        </w:rPr>
        <w:t>农村经营服务站</w:t>
      </w:r>
      <w:r>
        <w:rPr>
          <w:rFonts w:hint="eastAsia" w:ascii="仿宋" w:hAnsi="仿宋" w:eastAsia="仿宋"/>
          <w:sz w:val="32"/>
          <w:szCs w:val="32"/>
        </w:rPr>
        <w:t>为辰溪县农业农村局下属副科级公益一类事业预算单位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县农村经营服务站设4个职能</w:t>
      </w:r>
      <w:r>
        <w:rPr>
          <w:rFonts w:hint="eastAsia" w:ascii="仿宋" w:hAnsi="仿宋" w:eastAsia="仿宋"/>
          <w:sz w:val="32"/>
          <w:szCs w:val="32"/>
          <w:lang w:eastAsia="zh-CN"/>
        </w:rPr>
        <w:t>部</w:t>
      </w:r>
      <w:r>
        <w:rPr>
          <w:rFonts w:hint="eastAsia" w:ascii="仿宋" w:hAnsi="仿宋" w:eastAsia="仿宋"/>
          <w:sz w:val="32"/>
          <w:szCs w:val="32"/>
        </w:rPr>
        <w:t>室：</w:t>
      </w:r>
    </w:p>
    <w:p w14:paraId="12ECDC41">
      <w:pPr>
        <w:widowControl/>
        <w:tabs>
          <w:tab w:val="left" w:pos="1680"/>
        </w:tabs>
        <w:spacing w:line="540" w:lineRule="exact"/>
        <w:ind w:firstLine="643" w:firstLineChars="200"/>
        <w:jc w:val="left"/>
        <w:outlineLvl w:val="0"/>
        <w:rPr>
          <w:rFonts w:hint="eastAsia" w:ascii="楷体" w:hAnsi="楷体" w:eastAsia="楷体" w:cs="宋体"/>
          <w:b/>
          <w:kern w:val="0"/>
          <w:sz w:val="32"/>
          <w:szCs w:val="32"/>
        </w:rPr>
      </w:pPr>
      <w:r>
        <w:rPr>
          <w:rFonts w:hint="eastAsia" w:ascii="楷体" w:hAnsi="楷体" w:eastAsia="楷体" w:cs="宋体"/>
          <w:b/>
          <w:kern w:val="0"/>
          <w:sz w:val="32"/>
          <w:szCs w:val="32"/>
        </w:rPr>
        <w:t>1.综合室</w:t>
      </w:r>
    </w:p>
    <w:p w14:paraId="59D0ED68">
      <w:pPr>
        <w:widowControl/>
        <w:tabs>
          <w:tab w:val="left" w:pos="1680"/>
        </w:tabs>
        <w:spacing w:line="540" w:lineRule="exact"/>
        <w:ind w:firstLine="640" w:firstLineChars="200"/>
        <w:jc w:val="left"/>
        <w:outlineLvl w:val="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组织协助领导处理日常事务，负责各类信息的上传下达</w:t>
      </w:r>
      <w:r>
        <w:rPr>
          <w:rFonts w:hint="eastAsia" w:ascii="仿宋" w:hAnsi="仿宋" w:eastAsia="仿宋"/>
          <w:sz w:val="32"/>
          <w:szCs w:val="32"/>
          <w:lang w:eastAsia="zh-CN"/>
        </w:rPr>
        <w:t>，特别要做好各级微信群里工作信息传达</w:t>
      </w:r>
      <w:r>
        <w:rPr>
          <w:rFonts w:hint="eastAsia" w:ascii="仿宋" w:hAnsi="仿宋" w:eastAsia="仿宋"/>
          <w:sz w:val="32"/>
          <w:szCs w:val="32"/>
        </w:rPr>
        <w:t>，做好来文来电收发、登记、保密、交办、督办、建档和存查等;负责站内行政事务工作，包括人事、劳资、财务、国有资产管理、文秘、后勤、值班安排、考勤统计、卫生清洁、来人接待、印章使用、档案管理、公务用车及办公用品的申报、领取、购置、报修等管理工作;负责做好党建（包括党风廉政建设）、文明创建、公共节能、工青妇、老干部、政工、人事、计生、统战、撰写报导等工作，负责对站领导安排工作的监督落实，</w:t>
      </w:r>
      <w:r>
        <w:rPr>
          <w:rFonts w:hint="eastAsia" w:ascii="仿宋" w:hAnsi="仿宋" w:eastAsia="仿宋" w:cs="宋体"/>
          <w:kern w:val="0"/>
          <w:sz w:val="32"/>
          <w:szCs w:val="32"/>
        </w:rPr>
        <w:t>及时处理来信来访和交办的其他工作。</w:t>
      </w:r>
    </w:p>
    <w:p w14:paraId="316271BE">
      <w:pPr>
        <w:spacing w:line="560" w:lineRule="exact"/>
        <w:ind w:firstLine="643" w:firstLineChars="20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2.体制部</w:t>
      </w:r>
    </w:p>
    <w:p w14:paraId="65657F57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负责全县农村土地承包管理（三权分置、农村土地承包二轮</w:t>
      </w:r>
      <w:r>
        <w:rPr>
          <w:rFonts w:hint="eastAsia" w:ascii="仿宋" w:hAnsi="仿宋" w:eastAsia="仿宋" w:cs="宋体"/>
          <w:spacing w:val="-10"/>
          <w:kern w:val="0"/>
          <w:sz w:val="32"/>
          <w:szCs w:val="32"/>
        </w:rPr>
        <w:t>到期再延长30年试点工作）、农村土地流转、农村土地承包纠纷仲</w:t>
      </w:r>
      <w:r>
        <w:rPr>
          <w:rFonts w:hint="eastAsia" w:ascii="仿宋" w:hAnsi="仿宋" w:eastAsia="仿宋" w:cs="宋体"/>
          <w:kern w:val="0"/>
          <w:sz w:val="32"/>
          <w:szCs w:val="32"/>
        </w:rPr>
        <w:t>裁调解、农村土地承包经营权确权登记、提升和培育农民专业合作社和家庭农场高质量发展、</w:t>
      </w:r>
      <w:r>
        <w:rPr>
          <w:rFonts w:hint="eastAsia" w:ascii="仿宋" w:hAnsi="仿宋" w:eastAsia="仿宋"/>
          <w:sz w:val="32"/>
          <w:szCs w:val="32"/>
        </w:rPr>
        <w:t>农村宅基地管理与改革</w:t>
      </w:r>
      <w:r>
        <w:rPr>
          <w:rFonts w:hint="eastAsia" w:ascii="仿宋" w:hAnsi="仿宋" w:eastAsia="仿宋" w:cs="宋体"/>
          <w:kern w:val="0"/>
          <w:sz w:val="32"/>
          <w:szCs w:val="32"/>
        </w:rPr>
        <w:t>等工作，及时处理来信来访和领导交办的其他工作。</w:t>
      </w:r>
    </w:p>
    <w:p w14:paraId="4B2A8FCF">
      <w:pPr>
        <w:spacing w:line="540" w:lineRule="exact"/>
        <w:ind w:firstLine="643" w:firstLineChars="20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3.减负部</w:t>
      </w:r>
    </w:p>
    <w:p w14:paraId="002D8134">
      <w:pPr>
        <w:spacing w:line="540" w:lineRule="exact"/>
        <w:ind w:firstLine="640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负责全县减轻农民负担的法律法规和政策的宣传、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协助做好</w:t>
      </w:r>
      <w:r>
        <w:rPr>
          <w:rFonts w:hint="eastAsia" w:ascii="仿宋" w:hAnsi="仿宋" w:eastAsia="仿宋" w:cs="宋体"/>
          <w:kern w:val="0"/>
          <w:sz w:val="32"/>
          <w:szCs w:val="32"/>
        </w:rPr>
        <w:t>惠农政策专项监督检查等，及时处理来信来访和领导交办的其他工作。</w:t>
      </w:r>
    </w:p>
    <w:p w14:paraId="0A157FD9">
      <w:pPr>
        <w:widowControl/>
        <w:tabs>
          <w:tab w:val="left" w:pos="1680"/>
        </w:tabs>
        <w:spacing w:line="540" w:lineRule="exact"/>
        <w:ind w:firstLine="643" w:firstLineChars="200"/>
        <w:jc w:val="left"/>
        <w:outlineLvl w:val="0"/>
        <w:rPr>
          <w:rFonts w:hint="eastAsia" w:ascii="楷体" w:hAnsi="楷体" w:eastAsia="楷体" w:cs="宋体"/>
          <w:b/>
          <w:kern w:val="0"/>
          <w:sz w:val="32"/>
          <w:szCs w:val="32"/>
        </w:rPr>
      </w:pPr>
      <w:r>
        <w:rPr>
          <w:rFonts w:hint="eastAsia" w:ascii="楷体" w:hAnsi="楷体" w:eastAsia="楷体" w:cs="宋体"/>
          <w:b/>
          <w:kern w:val="0"/>
          <w:sz w:val="32"/>
          <w:szCs w:val="32"/>
        </w:rPr>
        <w:t>4.农村资产财务管理部</w:t>
      </w:r>
    </w:p>
    <w:p w14:paraId="37AF6773">
      <w:pPr>
        <w:widowControl/>
        <w:tabs>
          <w:tab w:val="left" w:pos="1680"/>
        </w:tabs>
        <w:spacing w:line="540" w:lineRule="exact"/>
        <w:ind w:firstLine="640" w:firstLineChars="200"/>
        <w:jc w:val="left"/>
        <w:outlineLvl w:val="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负责全县农村村级财务日常监管、村级财务审计、农村“三资”台账建设、农村产权交易体系建设、农村“三资”交易审核审批、村级财务业务培训等，及时处理来信来访和领导交办的其他工作。</w:t>
      </w:r>
    </w:p>
    <w:p w14:paraId="24B00029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人员编制情况</w:t>
      </w:r>
    </w:p>
    <w:p w14:paraId="0C2C637C"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县农村经营服务站全额拨款事业编制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</w:rPr>
        <w:t>名。截至20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/>
          <w:sz w:val="32"/>
          <w:szCs w:val="32"/>
        </w:rPr>
        <w:t>年12月底，在职在编人员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2C8C1633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63BBE7B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主要职能职责</w:t>
      </w:r>
    </w:p>
    <w:p w14:paraId="3139FBAA"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承担稳定和完善农村经营管理体制的实施工作;承担农村土地承包和农村土地承包合同管理的业务指导工作;承担农村土地经营权确权登记颁证具体工作;指导、管理协调和服务土地承包经营权流转和农业适度规模经营工作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 xml:space="preserve">宣传贯彻农村土地承包纠纷调解仲裁的法律法规和相关政策:承担指导、监督农村土地承包纠纷调解仲裁的具体工作，负责农村宅基地监督管理服务工作。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 xml:space="preserve">负责指导村级集体经济发展，指导、扶持专业大户、家庭农场、农民合作社等农村新型经营主体的建设与发展，指导、扶持农业社会化服务体系建设与发展的具体工作。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承担指导农村集体经济组织、农民合作社财务会计和审计监督工作。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 xml:space="preserve">承担农民权益维护和农民负担监督管理的具体工作;参与审核涉及农民负担的政策文件和收费项目工作;承担监督检查强农惠农政策落实和强农惠农资金管理使用相关工作;承担监督“一事一议”筹资筹劳的审批、管理和财政奖补资金使用相关工作;参与查处损害农民利益的案件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 xml:space="preserve">负责组织开展农村经济收支、农民收入、农民合作社、家庭农场与农村集体经济组织运行情况的监测、调查和统计工作。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</w:t>
      </w:r>
      <w:r>
        <w:rPr>
          <w:rFonts w:hint="eastAsia" w:ascii="仿宋" w:hAnsi="仿宋" w:eastAsia="仿宋" w:cs="仿宋"/>
          <w:sz w:val="32"/>
          <w:szCs w:val="32"/>
        </w:rPr>
        <w:t xml:space="preserve">承担县农业农村局交办的其他事项。 </w:t>
      </w:r>
    </w:p>
    <w:p w14:paraId="479EA75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（四）绩效目标设定情况</w:t>
      </w:r>
    </w:p>
    <w:p w14:paraId="50C2FD54">
      <w:pPr>
        <w:bidi w:val="0"/>
        <w:ind w:firstLine="320" w:firstLineChars="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坚持“量入为出、统筹兼顾、确保重点、收支平衡”的原则，采取目标责任制的预算管理方式，对单位内部预算的编审、批复、执行、追加、调整、决算考评等进行全过程的管理。执行中审定本单位月度用款计划，依本单位收入状况开支，充分履行职责职能，严格按照财经法规及制度使用、管理资金。</w:t>
      </w:r>
    </w:p>
    <w:p w14:paraId="281365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 w14:paraId="1BF148B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预算执行、使用、管理总体情况。</w:t>
      </w:r>
    </w:p>
    <w:p w14:paraId="160BF71B">
      <w:pPr>
        <w:bidi w:val="0"/>
        <w:ind w:firstLine="320" w:firstLineChars="100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本部门及时组织财务人员按照完整性、可靠性、公开性、年度性等原则编制预算，同时遵循量入为出、收支平衡以及统筹兼顾、确保重点、勤俭节约等原则，以确保预算的合理性和有效性。 执行管理情况分析，包括执行进度、调整情况、成本控制情况分析及项目完成进度情况等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采取目标责任制的预算管理方式，对单位内部预算的编审、批复、执行、追加、调整、决算考评等进行全过程的管理。执行中审定本单位月度用款计划，依本单位收入状况开支，充分履行职责职能，严格按照财经法规及制度使用、管理资金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（二）部门预算执行情况</w:t>
      </w:r>
    </w:p>
    <w:p w14:paraId="5D99BDED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基本支出情况</w:t>
      </w:r>
    </w:p>
    <w:p w14:paraId="7BDDE863"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基本支出：是指为保障单位机构正常运转、完成日常工作任务而发生的各项支出。基本支出233.18万元：1、人员支出207万元（工资福利性支出199万元、对个人和家庭补助支出8万元）；2、公用经费支出26.14万元。</w:t>
      </w:r>
    </w:p>
    <w:p w14:paraId="4709D24C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rightChars="0" w:firstLine="960" w:firstLineChars="30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项目支出情况</w:t>
      </w:r>
    </w:p>
    <w:p w14:paraId="4E64BF3F"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10万元：（农村宅基地管理5万元;农村土地仲裁工作经费5万元）。</w:t>
      </w:r>
    </w:p>
    <w:p w14:paraId="6413ECB9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"三公"经费使用和管理情况</w:t>
      </w:r>
    </w:p>
    <w:p w14:paraId="567633D6"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2024年“三公”经费预算数为8万元，其中，公务接待费8万元，公务用车购置及运行费0万元（公务用车运行0万元、公务用车购置0万元），因公出国（境）费0万元。2024年“三公”经费预算较2023年预算数持平。</w:t>
      </w:r>
    </w:p>
    <w:p w14:paraId="1080C56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F0FDD5E"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政府性基金预算支出情况</w:t>
      </w:r>
    </w:p>
    <w:p w14:paraId="658C100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年度政府性基金预算财政拨款收入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24.9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万元；年初结转和结余</w:t>
      </w:r>
      <w:r>
        <w:rPr>
          <w:rFonts w:hint="eastAsia" w:ascii="仿宋" w:hAnsi="仿宋" w:eastAsia="仿宋" w:cs="仿宋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24.9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万元，其中基本支出</w:t>
      </w:r>
      <w:r>
        <w:rPr>
          <w:rFonts w:hint="eastAsia" w:ascii="仿宋" w:hAnsi="仿宋" w:eastAsia="仿宋" w:cs="仿宋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项目支出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24.9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万元；年末结转和结余</w:t>
      </w:r>
      <w:r>
        <w:rPr>
          <w:rFonts w:hint="eastAsia" w:ascii="仿宋" w:hAnsi="仿宋" w:eastAsia="仿宋" w:cs="仿宋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</w:t>
      </w:r>
      <w:r>
        <w:rPr>
          <w:rFonts w:ascii="宋体" w:hAnsi="宋体" w:eastAsia="宋体" w:cs="宋体"/>
          <w:color w:val="000000"/>
          <w:sz w:val="28"/>
        </w:rPr>
        <w:t>。</w:t>
      </w:r>
    </w:p>
    <w:p w14:paraId="069C89A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四、国有资本经营预算支出情况</w:t>
      </w:r>
    </w:p>
    <w:p w14:paraId="0748338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无</w:t>
      </w:r>
    </w:p>
    <w:p w14:paraId="48ED9844"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社会保险基金预算支出情况</w:t>
      </w:r>
    </w:p>
    <w:p w14:paraId="5A65DB09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无</w:t>
      </w:r>
    </w:p>
    <w:p w14:paraId="28A4E1D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 w14:paraId="14EFE75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（一）综合评价结论。</w:t>
      </w:r>
    </w:p>
    <w:p w14:paraId="3BDF7AA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结合单位实际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自评得分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96分。</w:t>
      </w:r>
    </w:p>
    <w:p w14:paraId="6D8E3DDF"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评价指标分析</w:t>
      </w:r>
    </w:p>
    <w:p w14:paraId="6065129E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部门预算年度工作任务和项目真实资金需求合理开支标准编制预算，结合单位业务情况，进行科学合理分配细化，根据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执行情况、节能降耗、三公经费控制、项目支出管理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规范好绩效情况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总结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本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部门支出的绩效目标完成情况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对各项指标分析。（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）成本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指标: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成本控制情况完成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）产出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指标: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农户宣传、培训次数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10次、项目按时完成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保障本单位工作运转、履行职能职责上整体情况良好。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）效益指标：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经济效益：节约成本，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农民增收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经济利益最大化。社会效益: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维护社会和谐稳定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。生态效益：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制止农民违规耕地建房，保护生态环境。（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）满意度指标：农民满意度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≥95。</w:t>
      </w:r>
    </w:p>
    <w:p w14:paraId="16D9A682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2383F9C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七、存在的问题及原因分析</w:t>
      </w:r>
    </w:p>
    <w:p w14:paraId="78D1A8F9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.绩效目标设立不够明确、细化和量化。项目单位虽然设立了项目资金绩效目标，但目标不够明确、细化和量化。</w:t>
      </w:r>
    </w:p>
    <w:p w14:paraId="6D9D07F4">
      <w:pPr>
        <w:spacing w:line="560" w:lineRule="exact"/>
        <w:ind w:firstLine="640" w:firstLineChars="200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</w:rPr>
        <w:t>2.资金使用效益有待进一步提高。</w:t>
      </w:r>
    </w:p>
    <w:p w14:paraId="3608258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八、下一步改进措施</w:t>
      </w:r>
    </w:p>
    <w:p w14:paraId="600237AD">
      <w:pPr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(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_GB2312"/>
          <w:sz w:val="32"/>
          <w:szCs w:val="32"/>
        </w:rPr>
        <w:t>)加大制度建设，夯实工作基础。完善内部管理制度，建立岗位责任制，进一步明确相关人员的职责分工，各司其职，便于发挥管理工作的监督职能，对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_GB2312"/>
          <w:sz w:val="32"/>
          <w:szCs w:val="32"/>
        </w:rPr>
        <w:t>资金加强管理，特别是对专项资金的使用要及时跟踪、检查，确保专款专用;梳理、细化以往账目，为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_GB2312"/>
          <w:sz w:val="32"/>
          <w:szCs w:val="32"/>
        </w:rPr>
        <w:t>制度切实可行的财务预算计划，确保资金使用的能效。</w:t>
      </w:r>
    </w:p>
    <w:p w14:paraId="11D75707">
      <w:pPr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(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</w:rPr>
        <w:t>)增强人员素质，规范管理体系。在人员培养上，积极参加上级组织的业务员培训，提高工作的针对性和有效性:加强财务管理信息化建设，完善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_GB2312"/>
          <w:sz w:val="32"/>
          <w:szCs w:val="32"/>
        </w:rPr>
        <w:t>的财务数据库和管理系统，用制度规范言行;在人员的考核上，严格考核标准，注重工作的实效，提高考核的准确性和公正性。</w:t>
      </w:r>
    </w:p>
    <w:p w14:paraId="130124F9">
      <w:pPr>
        <w:spacing w:line="560" w:lineRule="exact"/>
        <w:ind w:firstLine="960" w:firstLineChars="300"/>
        <w:rPr>
          <w:rFonts w:hint="eastAsia" w:eastAsia="仿宋"/>
          <w:lang w:val="en-US" w:eastAsia="zh-CN"/>
        </w:rPr>
        <w:sectPr>
          <w:footerReference r:id="rId3" w:type="default"/>
          <w:pgSz w:w="11906" w:h="16839"/>
          <w:pgMar w:top="400" w:right="1704" w:bottom="400" w:left="1785" w:header="0" w:footer="0" w:gutter="0"/>
          <w:cols w:space="720" w:num="1"/>
        </w:sectPr>
      </w:pPr>
      <w:r>
        <w:rPr>
          <w:rFonts w:hint="eastAsia" w:ascii="仿宋" w:hAnsi="仿宋" w:eastAsia="仿宋" w:cs="仿宋_GB2312"/>
          <w:sz w:val="32"/>
          <w:szCs w:val="32"/>
        </w:rPr>
        <w:t>(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_GB2312"/>
          <w:sz w:val="32"/>
          <w:szCs w:val="32"/>
        </w:rPr>
        <w:t>)落实预算执行分析，及时了解预算执行差异，合理调整、纠正预算执行偏差，切实提高部门预算收支管理水平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.</w:t>
      </w:r>
    </w:p>
    <w:p w14:paraId="106A32B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九、其他需要说明的情况</w:t>
      </w:r>
    </w:p>
    <w:p w14:paraId="4169648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CD5420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报告应包括以下附件：</w:t>
      </w:r>
    </w:p>
    <w:p w14:paraId="66A5D3F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部门整体支出绩效评价基础数据表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 w14:paraId="27B791A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jc w:val="left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部门整体支出绩效自评表</w:t>
      </w:r>
    </w:p>
    <w:p w14:paraId="672A0B1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F9A6E9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41DD8B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E219C1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499499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471C0B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A462FC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EB8C60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2EFE02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37DE2F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1A4CB1D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480885D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039390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  <w:sectPr>
          <w:footerReference r:id="rId4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</w:p>
    <w:p w14:paraId="1688756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附件1-1 </w:t>
      </w:r>
    </w:p>
    <w:p w14:paraId="6A68B179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部门整体支出绩效评价基础数据表</w:t>
      </w:r>
    </w:p>
    <w:p w14:paraId="6A913125"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ind w:left="91"/>
        <w:jc w:val="left"/>
        <w:rPr>
          <w:rFonts w:hint="default" w:eastAsia="仿宋_GB2312"/>
          <w:kern w:val="0"/>
          <w:sz w:val="24"/>
          <w:lang w:val="en-US" w:eastAsia="zh-CN"/>
        </w:rPr>
      </w:pPr>
      <w:r>
        <w:rPr>
          <w:rFonts w:hint="eastAsia" w:eastAsia="仿宋_GB2312"/>
          <w:kern w:val="0"/>
          <w:sz w:val="24"/>
          <w:lang w:val="en-US" w:eastAsia="zh-CN"/>
        </w:rPr>
        <w:t xml:space="preserve">填报单位：                                        </w:t>
      </w:r>
    </w:p>
    <w:tbl>
      <w:tblPr>
        <w:tblStyle w:val="8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969"/>
        <w:gridCol w:w="863"/>
      </w:tblGrid>
      <w:tr w14:paraId="053DE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 w14:paraId="5A787EB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C39697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8BAB83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年实际在职人数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64A58B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控制率</w:t>
            </w:r>
          </w:p>
        </w:tc>
      </w:tr>
      <w:tr w14:paraId="3CB47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 w14:paraId="2428B38B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 w14:paraId="03B0C896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982D7CF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DF0B13C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</w:tr>
      <w:tr w14:paraId="7FD8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78BBEB7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12AF48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0C3267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年预算数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7143CFF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</w:tr>
      <w:tr w14:paraId="6A6F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F42135C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B12EB07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90FE2F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BD64D4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6399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EA94C8C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80B409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E0ED7B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B6E1C2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5D15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1984A03D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63799F5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95B273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3B5283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6C23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53100EF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AB38E0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56208F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69D3C82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25CFE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EE85CA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BC47D9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F1D19E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AE040C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55F25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5E7FF30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549E77A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1A9015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3D3DEB39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 w14:paraId="26106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8B849D6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9034F5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t>501.2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73725D2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3EEB04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177.8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45EF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7E3A9FA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5BACBDC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9FB16E7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5463414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146FF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D454486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A3DCBB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B469BA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036721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652EC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54" w:type="dxa"/>
            <w:noWrap w:val="0"/>
            <w:vAlign w:val="center"/>
          </w:tcPr>
          <w:p w14:paraId="740B3CA4"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市级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专项资金</w:t>
            </w:r>
          </w:p>
          <w:p w14:paraId="7954756A">
            <w:pPr>
              <w:widowControl/>
              <w:ind w:firstLine="600" w:firstLineChars="3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（一个专项一行）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0E56F0D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5705D39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7EF7211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4DFAB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713E0C4"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4、其他事业类发展资金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1A2F01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ABBB85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3EFB04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533C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438DDE9">
            <w:pPr>
              <w:widowControl/>
              <w:ind w:firstLine="4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3"/>
                <w:szCs w:val="23"/>
                <w:lang w:eastAsia="zh-CN"/>
              </w:rPr>
              <w:t>农村经济项目资金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4C9A775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487.2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D1FE29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00E4D75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</w:tr>
      <w:tr w14:paraId="04089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3020140F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2023年农业经营主体能力提升资金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6C844A1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56399D9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1E7E8F04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116</w:t>
            </w:r>
          </w:p>
        </w:tc>
      </w:tr>
      <w:tr w14:paraId="0D3B2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36930977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2020年合作社、家庭农村奖励资金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62982BF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13A2EC1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44F52ECF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26</w:t>
            </w:r>
          </w:p>
        </w:tc>
      </w:tr>
      <w:tr w14:paraId="7E95C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7D0EF849">
            <w:pPr>
              <w:widowControl/>
              <w:jc w:val="both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>农村集体“三资”专项整治经费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B8BBC6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457913E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30740BB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 w14:paraId="7598F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57DCCFC6">
            <w:pPr>
              <w:widowControl/>
              <w:jc w:val="both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>土地确权技术服务经费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3608D0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6CE9BDF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2A340AD9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17.8</w:t>
            </w:r>
          </w:p>
        </w:tc>
      </w:tr>
      <w:tr w14:paraId="15B1B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1B703F0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公用经费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BAAEFCD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C77B4E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1570E4E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27</w:t>
            </w:r>
          </w:p>
        </w:tc>
      </w:tr>
      <w:tr w14:paraId="76811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371AE68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其中：办公费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DCA4E65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031DA3B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6E811BB0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 w14:paraId="5E47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4577945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CA7D6E9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5.38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39D0C2A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02C4BA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13BE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54" w:type="dxa"/>
            <w:noWrap w:val="0"/>
            <w:vAlign w:val="center"/>
          </w:tcPr>
          <w:p w14:paraId="77E49DA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ED79638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D0A86B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6B7C78F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0B1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8D0E36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B80A9D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60EBF2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5194625C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14825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18E45FF0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3D5D40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ACCFAD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513911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27498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 w14:paraId="3AFB906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楼堂馆所控制情况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</w:p>
        </w:tc>
        <w:tc>
          <w:tcPr>
            <w:tcW w:w="1189" w:type="dxa"/>
            <w:noWrap w:val="0"/>
            <w:vAlign w:val="center"/>
          </w:tcPr>
          <w:p w14:paraId="60BC675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批复规模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（㎡）</w:t>
            </w:r>
          </w:p>
        </w:tc>
        <w:tc>
          <w:tcPr>
            <w:tcW w:w="849" w:type="dxa"/>
            <w:noWrap w:val="0"/>
            <w:vAlign w:val="center"/>
          </w:tcPr>
          <w:p w14:paraId="1E7A49AB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实际规模（㎡）</w:t>
            </w:r>
          </w:p>
        </w:tc>
        <w:tc>
          <w:tcPr>
            <w:tcW w:w="1129" w:type="dxa"/>
            <w:noWrap w:val="0"/>
            <w:vAlign w:val="center"/>
          </w:tcPr>
          <w:p w14:paraId="77F6E1A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规模控制率</w:t>
            </w:r>
          </w:p>
        </w:tc>
        <w:tc>
          <w:tcPr>
            <w:tcW w:w="1111" w:type="dxa"/>
            <w:noWrap w:val="0"/>
            <w:vAlign w:val="center"/>
          </w:tcPr>
          <w:p w14:paraId="251E5ED1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预算投资（万元）</w:t>
            </w:r>
          </w:p>
        </w:tc>
        <w:tc>
          <w:tcPr>
            <w:tcW w:w="969" w:type="dxa"/>
            <w:noWrap w:val="0"/>
            <w:vAlign w:val="center"/>
          </w:tcPr>
          <w:p w14:paraId="7B34148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实际投资（万元）</w:t>
            </w:r>
          </w:p>
        </w:tc>
        <w:tc>
          <w:tcPr>
            <w:tcW w:w="863" w:type="dxa"/>
            <w:noWrap w:val="0"/>
            <w:vAlign w:val="center"/>
          </w:tcPr>
          <w:p w14:paraId="61638E1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投资概算控制率</w:t>
            </w:r>
          </w:p>
        </w:tc>
      </w:tr>
      <w:tr w14:paraId="658D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 w14:paraId="6EEC19E2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CC7CA5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49" w:type="dxa"/>
            <w:noWrap w:val="0"/>
            <w:vAlign w:val="center"/>
          </w:tcPr>
          <w:p w14:paraId="6EB03040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29" w:type="dxa"/>
            <w:noWrap w:val="0"/>
            <w:vAlign w:val="center"/>
          </w:tcPr>
          <w:p w14:paraId="790C9CA1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11" w:type="dxa"/>
            <w:noWrap w:val="0"/>
            <w:vAlign w:val="center"/>
          </w:tcPr>
          <w:p w14:paraId="647F2607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69" w:type="dxa"/>
            <w:noWrap w:val="0"/>
            <w:vAlign w:val="center"/>
          </w:tcPr>
          <w:p w14:paraId="113A5CA5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center"/>
          </w:tcPr>
          <w:p w14:paraId="75713BB4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70E14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354" w:type="dxa"/>
            <w:noWrap w:val="0"/>
            <w:vAlign w:val="center"/>
          </w:tcPr>
          <w:p w14:paraId="37D2800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6110" w:type="dxa"/>
            <w:gridSpan w:val="6"/>
            <w:noWrap w:val="0"/>
            <w:vAlign w:val="center"/>
          </w:tcPr>
          <w:p w14:paraId="6170E9A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 w14:paraId="46A57ADC">
      <w:pPr>
        <w:pStyle w:val="10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lang w:val="en-US" w:eastAsia="zh-CN"/>
        </w:rPr>
      </w:pPr>
      <w:r>
        <w:rPr>
          <w:rFonts w:eastAsia="仿宋_GB2312"/>
          <w:kern w:val="0"/>
          <w:sz w:val="22"/>
        </w:rPr>
        <w:t>说明：“项目支出”需要填报基本支出以外的所有项目支出情况，“公用经费”填报基本支出中的一般商品和服务支出。</w:t>
      </w:r>
    </w:p>
    <w:p w14:paraId="7622C535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李向阳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2025.5.12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13974527048</w:t>
      </w:r>
    </w:p>
    <w:p w14:paraId="4E258AC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7E08A25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A04C8B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F0DE08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5C87C5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EEE02E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90352F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4DE4855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7C8083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3F8F25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1BAB9FC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4F60D2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14F118F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D664A4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16B0159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3107A4F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32F75C8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8FC0AC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3E39F0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B685FD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76BFF88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E5960B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1E6E45A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220FD9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49E54E4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附件1-2</w:t>
      </w:r>
    </w:p>
    <w:p w14:paraId="44012FB1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整体支出绩效自评表</w:t>
      </w:r>
    </w:p>
    <w:tbl>
      <w:tblPr>
        <w:tblStyle w:val="8"/>
        <w:tblW w:w="9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320"/>
        <w:gridCol w:w="1121"/>
        <w:gridCol w:w="996"/>
        <w:gridCol w:w="902"/>
        <w:gridCol w:w="1030"/>
        <w:gridCol w:w="789"/>
        <w:gridCol w:w="660"/>
        <w:gridCol w:w="1430"/>
      </w:tblGrid>
      <w:tr w14:paraId="788C0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4" w:type="dxa"/>
            <w:noWrap w:val="0"/>
            <w:vAlign w:val="center"/>
          </w:tcPr>
          <w:p w14:paraId="2386B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248" w:type="dxa"/>
            <w:gridSpan w:val="8"/>
            <w:noWrap w:val="0"/>
            <w:vAlign w:val="center"/>
          </w:tcPr>
          <w:p w14:paraId="5872D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30"/>
                <w:szCs w:val="30"/>
                <w:lang w:eastAsia="zh-CN"/>
              </w:rPr>
              <w:t>辰溪县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农村经营服务站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271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14" w:type="dxa"/>
            <w:vMerge w:val="restart"/>
            <w:noWrap w:val="0"/>
            <w:vAlign w:val="center"/>
          </w:tcPr>
          <w:p w14:paraId="5CA5B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年度预算申请</w:t>
            </w:r>
          </w:p>
          <w:p w14:paraId="17220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 w14:paraId="25560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587A9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年初</w:t>
            </w:r>
          </w:p>
          <w:p w14:paraId="34012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预算数</w:t>
            </w:r>
          </w:p>
        </w:tc>
        <w:tc>
          <w:tcPr>
            <w:tcW w:w="902" w:type="dxa"/>
            <w:noWrap w:val="0"/>
            <w:vAlign w:val="center"/>
          </w:tcPr>
          <w:p w14:paraId="1CDF5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全年预算数</w:t>
            </w:r>
          </w:p>
        </w:tc>
        <w:tc>
          <w:tcPr>
            <w:tcW w:w="1030" w:type="dxa"/>
            <w:noWrap w:val="0"/>
            <w:vAlign w:val="center"/>
          </w:tcPr>
          <w:p w14:paraId="57E07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全年执行数</w:t>
            </w:r>
          </w:p>
        </w:tc>
        <w:tc>
          <w:tcPr>
            <w:tcW w:w="789" w:type="dxa"/>
            <w:noWrap w:val="0"/>
            <w:vAlign w:val="center"/>
          </w:tcPr>
          <w:p w14:paraId="1517F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660" w:type="dxa"/>
            <w:noWrap w:val="0"/>
            <w:vAlign w:val="center"/>
          </w:tcPr>
          <w:p w14:paraId="33163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30" w:type="dxa"/>
            <w:noWrap w:val="0"/>
            <w:vAlign w:val="center"/>
          </w:tcPr>
          <w:p w14:paraId="218F1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9A86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42701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1" w:type="dxa"/>
            <w:gridSpan w:val="2"/>
            <w:noWrap w:val="0"/>
            <w:vAlign w:val="center"/>
          </w:tcPr>
          <w:p w14:paraId="37CD5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996" w:type="dxa"/>
            <w:noWrap w:val="0"/>
            <w:vAlign w:val="center"/>
          </w:tcPr>
          <w:p w14:paraId="0FA6D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270.71</w:t>
            </w:r>
          </w:p>
        </w:tc>
        <w:tc>
          <w:tcPr>
            <w:tcW w:w="902" w:type="dxa"/>
            <w:noWrap w:val="0"/>
            <w:vAlign w:val="center"/>
          </w:tcPr>
          <w:p w14:paraId="50165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386.11</w:t>
            </w:r>
          </w:p>
        </w:tc>
        <w:tc>
          <w:tcPr>
            <w:tcW w:w="1030" w:type="dxa"/>
            <w:noWrap w:val="0"/>
            <w:vAlign w:val="center"/>
          </w:tcPr>
          <w:p w14:paraId="7781B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411.02</w:t>
            </w:r>
          </w:p>
        </w:tc>
        <w:tc>
          <w:tcPr>
            <w:tcW w:w="789" w:type="dxa"/>
            <w:noWrap w:val="0"/>
            <w:vAlign w:val="center"/>
          </w:tcPr>
          <w:p w14:paraId="245BD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 w14:paraId="104BA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30" w:type="dxa"/>
            <w:noWrap w:val="0"/>
            <w:vAlign w:val="center"/>
          </w:tcPr>
          <w:p w14:paraId="2A6B2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790B1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60863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9" w:type="dxa"/>
            <w:gridSpan w:val="4"/>
            <w:noWrap w:val="0"/>
            <w:vAlign w:val="center"/>
          </w:tcPr>
          <w:p w14:paraId="088B2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按收入性质分：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45A12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按支出性质分：</w:t>
            </w:r>
          </w:p>
        </w:tc>
      </w:tr>
      <w:tr w14:paraId="3A228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74E44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9" w:type="dxa"/>
            <w:gridSpan w:val="4"/>
            <w:noWrap w:val="0"/>
            <w:vAlign w:val="center"/>
          </w:tcPr>
          <w:p w14:paraId="03F2A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270.71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293BC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其中：基本支出：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233.18</w:t>
            </w:r>
          </w:p>
        </w:tc>
      </w:tr>
      <w:tr w14:paraId="5C1F6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043DD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9" w:type="dxa"/>
            <w:gridSpan w:val="4"/>
            <w:noWrap w:val="0"/>
            <w:vAlign w:val="center"/>
          </w:tcPr>
          <w:p w14:paraId="2AF5F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政府性基金拨款：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6E665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177.84</w:t>
            </w:r>
          </w:p>
        </w:tc>
      </w:tr>
      <w:tr w14:paraId="11737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70DA8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9" w:type="dxa"/>
            <w:gridSpan w:val="4"/>
            <w:noWrap w:val="0"/>
            <w:vAlign w:val="center"/>
          </w:tcPr>
          <w:p w14:paraId="369D6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纳入专户管理的非税收入拨款：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2FC84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7BDE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4CF31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9" w:type="dxa"/>
            <w:gridSpan w:val="4"/>
            <w:noWrap w:val="0"/>
            <w:vAlign w:val="center"/>
          </w:tcPr>
          <w:p w14:paraId="1902D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40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其他资金：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74BBE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92A8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restart"/>
            <w:noWrap w:val="0"/>
            <w:vAlign w:val="center"/>
          </w:tcPr>
          <w:p w14:paraId="65A00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339" w:type="dxa"/>
            <w:gridSpan w:val="4"/>
            <w:noWrap w:val="0"/>
            <w:vAlign w:val="center"/>
          </w:tcPr>
          <w:p w14:paraId="422BB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25487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15BEE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1DBA0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9" w:type="dxa"/>
            <w:gridSpan w:val="4"/>
            <w:noWrap w:val="0"/>
            <w:vAlign w:val="center"/>
          </w:tcPr>
          <w:p w14:paraId="7E35BA35">
            <w:pPr>
              <w:keepNext w:val="0"/>
              <w:keepLines w:val="0"/>
              <w:pageBreakBefore w:val="0"/>
              <w:widowControl/>
              <w:tabs>
                <w:tab w:val="left" w:pos="554"/>
                <w:tab w:val="center" w:pos="22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完成各项农村改革工作，做好农村土地承包延包试点、村社分账、农村宅基地管理与改革；提质培育3-5个农民专业合作社省级示范社、省级示范家庭农场和市、县示范社示范场；规范农村产权土地流转交易体系运营；做好农村土地第二轮承包到期后再延长30年试点工作；指导村级集体经济发展，全县创建部分经济强村，加大农民负担日常监管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3909" w:type="dxa"/>
            <w:gridSpan w:val="4"/>
            <w:noWrap w:val="0"/>
            <w:vAlign w:val="center"/>
          </w:tcPr>
          <w:p w14:paraId="461DEE44">
            <w:pPr>
              <w:spacing w:line="560" w:lineRule="exact"/>
              <w:ind w:firstLine="400" w:firstLineChars="200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农村土地承包延包试点已经完成、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完成了 202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年农村集体资产年度清查工作。按照省、市部署及时间要求，顺利完成了202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年度的清产核资清查工作，并及时将清查结果录入清产核资系统。经清查核实，我县202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农村集体资产总额为1268915963.38万元。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、农村宅基地管理与改革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</w:rPr>
              <w:t>受理宅基地411宗，审批通过411宗，其中：拆旧建新201宗、异地新建210宗。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</w:rPr>
              <w:t>全县共有工商注册登记的合作社1181家，新增23家，家庭农场401家（其中：企业类183家新增15家、个体类218家新增13家）。我县农村产权交易体系，截止目前已完成交易10宗，流转面积2292.11亩，颁发流转证书10本</w:t>
            </w:r>
          </w:p>
        </w:tc>
      </w:tr>
      <w:tr w14:paraId="316A7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14" w:type="dxa"/>
            <w:vMerge w:val="restart"/>
            <w:noWrap w:val="0"/>
            <w:vAlign w:val="center"/>
          </w:tcPr>
          <w:p w14:paraId="16A64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6AC9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23971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40CAD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320" w:type="dxa"/>
            <w:noWrap w:val="0"/>
            <w:vAlign w:val="center"/>
          </w:tcPr>
          <w:p w14:paraId="2CB3C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21" w:type="dxa"/>
            <w:noWrap w:val="0"/>
            <w:vAlign w:val="center"/>
          </w:tcPr>
          <w:p w14:paraId="14E7D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996" w:type="dxa"/>
            <w:noWrap w:val="0"/>
            <w:vAlign w:val="center"/>
          </w:tcPr>
          <w:p w14:paraId="61ED3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02" w:type="dxa"/>
            <w:noWrap w:val="0"/>
            <w:vAlign w:val="center"/>
          </w:tcPr>
          <w:p w14:paraId="2B351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年度指标值</w:t>
            </w:r>
          </w:p>
        </w:tc>
        <w:tc>
          <w:tcPr>
            <w:tcW w:w="1030" w:type="dxa"/>
            <w:noWrap w:val="0"/>
            <w:vAlign w:val="center"/>
          </w:tcPr>
          <w:p w14:paraId="0230B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实际完成值</w:t>
            </w:r>
          </w:p>
        </w:tc>
        <w:tc>
          <w:tcPr>
            <w:tcW w:w="789" w:type="dxa"/>
            <w:noWrap w:val="0"/>
            <w:vAlign w:val="center"/>
          </w:tcPr>
          <w:p w14:paraId="63E9B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660" w:type="dxa"/>
            <w:noWrap w:val="0"/>
            <w:vAlign w:val="center"/>
          </w:tcPr>
          <w:p w14:paraId="2C5B2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30" w:type="dxa"/>
            <w:noWrap w:val="0"/>
            <w:vAlign w:val="top"/>
          </w:tcPr>
          <w:p w14:paraId="29DB3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 w14:paraId="25BA4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76D82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restart"/>
            <w:noWrap w:val="0"/>
            <w:vAlign w:val="center"/>
          </w:tcPr>
          <w:p w14:paraId="5A900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  <w:p w14:paraId="58911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21" w:type="dxa"/>
            <w:shd w:val="clear" w:color="auto" w:fill="auto"/>
            <w:noWrap w:val="0"/>
            <w:vAlign w:val="top"/>
          </w:tcPr>
          <w:p w14:paraId="649D7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经济成本指标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7CACE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部门预算总额</w:t>
            </w:r>
          </w:p>
        </w:tc>
        <w:tc>
          <w:tcPr>
            <w:tcW w:w="902" w:type="dxa"/>
            <w:noWrap w:val="0"/>
            <w:vAlign w:val="center"/>
          </w:tcPr>
          <w:p w14:paraId="08149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411.02</w:t>
            </w:r>
          </w:p>
        </w:tc>
        <w:tc>
          <w:tcPr>
            <w:tcW w:w="1030" w:type="dxa"/>
            <w:noWrap w:val="0"/>
            <w:vAlign w:val="center"/>
          </w:tcPr>
          <w:p w14:paraId="1A9E1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411.02</w:t>
            </w:r>
          </w:p>
        </w:tc>
        <w:tc>
          <w:tcPr>
            <w:tcW w:w="789" w:type="dxa"/>
            <w:noWrap w:val="0"/>
            <w:vAlign w:val="center"/>
          </w:tcPr>
          <w:p w14:paraId="40C3B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 w14:paraId="5DFE3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735DA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AA9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49D90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70210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1" w:type="dxa"/>
            <w:shd w:val="clear" w:color="auto" w:fill="auto"/>
            <w:noWrap w:val="0"/>
            <w:vAlign w:val="top"/>
          </w:tcPr>
          <w:p w14:paraId="17AC7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社会成本指标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46E2B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社会成本节约率</w:t>
            </w:r>
          </w:p>
        </w:tc>
        <w:tc>
          <w:tcPr>
            <w:tcW w:w="902" w:type="dxa"/>
            <w:noWrap w:val="0"/>
            <w:vAlign w:val="center"/>
          </w:tcPr>
          <w:p w14:paraId="40114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30" w:type="dxa"/>
            <w:noWrap w:val="0"/>
            <w:vAlign w:val="center"/>
          </w:tcPr>
          <w:p w14:paraId="55671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43E18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48CAF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5DAC9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A3E6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4E4F3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5349C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1" w:type="dxa"/>
            <w:shd w:val="clear" w:color="auto" w:fill="auto"/>
            <w:noWrap w:val="0"/>
            <w:vAlign w:val="top"/>
          </w:tcPr>
          <w:p w14:paraId="1E518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生态环境成本指标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2EEEB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生态环境成本节约率</w:t>
            </w:r>
          </w:p>
        </w:tc>
        <w:tc>
          <w:tcPr>
            <w:tcW w:w="902" w:type="dxa"/>
            <w:noWrap w:val="0"/>
            <w:vAlign w:val="center"/>
          </w:tcPr>
          <w:p w14:paraId="3E8D0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30" w:type="dxa"/>
            <w:noWrap w:val="0"/>
            <w:vAlign w:val="center"/>
          </w:tcPr>
          <w:p w14:paraId="2BB96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14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1A028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06E14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5F65A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D3AE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524D1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restart"/>
            <w:noWrap w:val="0"/>
            <w:vAlign w:val="center"/>
          </w:tcPr>
          <w:p w14:paraId="41163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1737A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21" w:type="dxa"/>
            <w:vMerge w:val="restart"/>
            <w:noWrap w:val="0"/>
            <w:vAlign w:val="center"/>
          </w:tcPr>
          <w:p w14:paraId="4154D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406E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全县乡镇数</w:t>
            </w:r>
          </w:p>
        </w:tc>
        <w:tc>
          <w:tcPr>
            <w:tcW w:w="902" w:type="dxa"/>
            <w:noWrap w:val="0"/>
            <w:vAlign w:val="center"/>
          </w:tcPr>
          <w:p w14:paraId="458EF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23个乡镇</w:t>
            </w:r>
          </w:p>
        </w:tc>
        <w:tc>
          <w:tcPr>
            <w:tcW w:w="1030" w:type="dxa"/>
            <w:noWrap w:val="0"/>
            <w:vAlign w:val="center"/>
          </w:tcPr>
          <w:p w14:paraId="7E8E3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64E4D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16C6A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16056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4A28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60CC0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542DB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 w14:paraId="2AFC6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22F0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农民申请宅基地宗数</w:t>
            </w:r>
          </w:p>
        </w:tc>
        <w:tc>
          <w:tcPr>
            <w:tcW w:w="902" w:type="dxa"/>
            <w:noWrap w:val="0"/>
            <w:vAlign w:val="center"/>
          </w:tcPr>
          <w:p w14:paraId="6909B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264宗</w:t>
            </w:r>
          </w:p>
        </w:tc>
        <w:tc>
          <w:tcPr>
            <w:tcW w:w="1030" w:type="dxa"/>
            <w:noWrap w:val="0"/>
            <w:vAlign w:val="center"/>
          </w:tcPr>
          <w:p w14:paraId="2059E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688C8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3EC43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28971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 w14:paraId="54503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5AD0F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49B6C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 w14:paraId="22CC9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57CD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农户宣传、培训</w:t>
            </w:r>
          </w:p>
        </w:tc>
        <w:tc>
          <w:tcPr>
            <w:tcW w:w="902" w:type="dxa"/>
            <w:noWrap w:val="0"/>
            <w:vAlign w:val="center"/>
          </w:tcPr>
          <w:p w14:paraId="47974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10次</w:t>
            </w:r>
          </w:p>
        </w:tc>
        <w:tc>
          <w:tcPr>
            <w:tcW w:w="1030" w:type="dxa"/>
            <w:noWrap w:val="0"/>
            <w:vAlign w:val="center"/>
          </w:tcPr>
          <w:p w14:paraId="6861A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22914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7886C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7FA14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 w14:paraId="2BB7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15BD0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6DED6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 w14:paraId="1425A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04DD5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财政供养人员数控制</w:t>
            </w:r>
          </w:p>
        </w:tc>
        <w:tc>
          <w:tcPr>
            <w:tcW w:w="902" w:type="dxa"/>
            <w:noWrap w:val="0"/>
            <w:vAlign w:val="center"/>
          </w:tcPr>
          <w:p w14:paraId="38860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16人</w:t>
            </w:r>
          </w:p>
        </w:tc>
        <w:tc>
          <w:tcPr>
            <w:tcW w:w="1030" w:type="dxa"/>
            <w:noWrap w:val="0"/>
            <w:vAlign w:val="center"/>
          </w:tcPr>
          <w:p w14:paraId="1830D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5A9FA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37026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40B15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60206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24BB4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24CE6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1073A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4125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验收达标率</w:t>
            </w:r>
          </w:p>
        </w:tc>
        <w:tc>
          <w:tcPr>
            <w:tcW w:w="902" w:type="dxa"/>
            <w:shd w:val="clear" w:color="auto" w:fill="auto"/>
            <w:noWrap w:val="0"/>
            <w:vAlign w:val="center"/>
          </w:tcPr>
          <w:p w14:paraId="64D87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≥99%</w:t>
            </w:r>
          </w:p>
        </w:tc>
        <w:tc>
          <w:tcPr>
            <w:tcW w:w="1030" w:type="dxa"/>
            <w:noWrap w:val="0"/>
            <w:vAlign w:val="center"/>
          </w:tcPr>
          <w:p w14:paraId="38765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5F489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04C5B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2FCF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FD35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1263C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2E7D0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16189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996" w:type="dxa"/>
            <w:noWrap w:val="0"/>
            <w:vAlign w:val="center"/>
          </w:tcPr>
          <w:p w14:paraId="15224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工作完成时间</w:t>
            </w:r>
          </w:p>
        </w:tc>
        <w:tc>
          <w:tcPr>
            <w:tcW w:w="902" w:type="dxa"/>
            <w:shd w:val="clear" w:color="auto" w:fill="auto"/>
            <w:noWrap w:val="0"/>
            <w:vAlign w:val="center"/>
          </w:tcPr>
          <w:p w14:paraId="334B6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2024年12月31日前</w:t>
            </w:r>
          </w:p>
        </w:tc>
        <w:tc>
          <w:tcPr>
            <w:tcW w:w="1030" w:type="dxa"/>
            <w:noWrap w:val="0"/>
            <w:vAlign w:val="center"/>
          </w:tcPr>
          <w:p w14:paraId="3847E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4FE6C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31B44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400F3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2352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02F28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restart"/>
            <w:noWrap w:val="0"/>
            <w:vAlign w:val="center"/>
          </w:tcPr>
          <w:p w14:paraId="4D309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16885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1121" w:type="dxa"/>
            <w:noWrap w:val="0"/>
            <w:vAlign w:val="center"/>
          </w:tcPr>
          <w:p w14:paraId="5A3E1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经济效益指标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42AC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有序推进农村土地流转，农民增加收入</w:t>
            </w:r>
          </w:p>
        </w:tc>
        <w:tc>
          <w:tcPr>
            <w:tcW w:w="902" w:type="dxa"/>
            <w:shd w:val="clear" w:color="auto" w:fill="auto"/>
            <w:noWrap w:val="0"/>
            <w:vAlign w:val="center"/>
          </w:tcPr>
          <w:p w14:paraId="7E83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定性</w:t>
            </w:r>
          </w:p>
        </w:tc>
        <w:tc>
          <w:tcPr>
            <w:tcW w:w="1030" w:type="dxa"/>
            <w:noWrap w:val="0"/>
            <w:vAlign w:val="center"/>
          </w:tcPr>
          <w:p w14:paraId="574AF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效果明显</w:t>
            </w:r>
          </w:p>
        </w:tc>
        <w:tc>
          <w:tcPr>
            <w:tcW w:w="789" w:type="dxa"/>
            <w:noWrap w:val="0"/>
            <w:vAlign w:val="center"/>
          </w:tcPr>
          <w:p w14:paraId="422BA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60" w:type="dxa"/>
            <w:noWrap w:val="0"/>
            <w:vAlign w:val="center"/>
          </w:tcPr>
          <w:p w14:paraId="6AB02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0" w:type="dxa"/>
            <w:noWrap w:val="0"/>
            <w:vAlign w:val="center"/>
          </w:tcPr>
          <w:p w14:paraId="5E857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推进行业发展，服务于民</w:t>
            </w:r>
          </w:p>
        </w:tc>
      </w:tr>
      <w:tr w14:paraId="4797B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0E8DB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0EE71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03C63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社会效益指标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2253F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维护社会和谐稳定</w:t>
            </w:r>
          </w:p>
        </w:tc>
        <w:tc>
          <w:tcPr>
            <w:tcW w:w="902" w:type="dxa"/>
            <w:noWrap w:val="0"/>
            <w:vAlign w:val="center"/>
          </w:tcPr>
          <w:p w14:paraId="7B9F8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定性</w:t>
            </w:r>
          </w:p>
        </w:tc>
        <w:tc>
          <w:tcPr>
            <w:tcW w:w="1030" w:type="dxa"/>
            <w:noWrap w:val="0"/>
            <w:vAlign w:val="center"/>
          </w:tcPr>
          <w:p w14:paraId="46A89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效果明显</w:t>
            </w:r>
          </w:p>
        </w:tc>
        <w:tc>
          <w:tcPr>
            <w:tcW w:w="789" w:type="dxa"/>
            <w:noWrap w:val="0"/>
            <w:vAlign w:val="center"/>
          </w:tcPr>
          <w:p w14:paraId="19327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60" w:type="dxa"/>
            <w:noWrap w:val="0"/>
            <w:vAlign w:val="center"/>
          </w:tcPr>
          <w:p w14:paraId="33339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0" w:type="dxa"/>
            <w:noWrap w:val="0"/>
            <w:vAlign w:val="center"/>
          </w:tcPr>
          <w:p w14:paraId="5DA54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推进行业发展，服务于民</w:t>
            </w:r>
          </w:p>
        </w:tc>
      </w:tr>
      <w:tr w14:paraId="1DC7A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5A09E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03EDE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21DA9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生态效益指标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47B9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制止农民违规耕地建房，保护生态环境</w:t>
            </w:r>
          </w:p>
        </w:tc>
        <w:tc>
          <w:tcPr>
            <w:tcW w:w="902" w:type="dxa"/>
            <w:noWrap w:val="0"/>
            <w:vAlign w:val="center"/>
          </w:tcPr>
          <w:p w14:paraId="28DE9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定性</w:t>
            </w:r>
          </w:p>
        </w:tc>
        <w:tc>
          <w:tcPr>
            <w:tcW w:w="1030" w:type="dxa"/>
            <w:noWrap w:val="0"/>
            <w:vAlign w:val="center"/>
          </w:tcPr>
          <w:p w14:paraId="2CC4A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 效果明显</w:t>
            </w:r>
          </w:p>
        </w:tc>
        <w:tc>
          <w:tcPr>
            <w:tcW w:w="789" w:type="dxa"/>
            <w:noWrap w:val="0"/>
            <w:vAlign w:val="center"/>
          </w:tcPr>
          <w:p w14:paraId="756D3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60" w:type="dxa"/>
            <w:noWrap w:val="0"/>
            <w:vAlign w:val="center"/>
          </w:tcPr>
          <w:p w14:paraId="0F6A9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0" w:type="dxa"/>
            <w:noWrap w:val="0"/>
            <w:vAlign w:val="center"/>
          </w:tcPr>
          <w:p w14:paraId="7A673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推进行业发展，服务于民</w:t>
            </w:r>
          </w:p>
        </w:tc>
      </w:tr>
      <w:tr w14:paraId="39E71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4092A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2CD5E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noWrap w:val="0"/>
            <w:vAlign w:val="center"/>
          </w:tcPr>
          <w:p w14:paraId="337E7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996" w:type="dxa"/>
            <w:noWrap w:val="0"/>
            <w:vAlign w:val="center"/>
          </w:tcPr>
          <w:p w14:paraId="1186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持续维护农民合法权利和利益</w:t>
            </w:r>
          </w:p>
        </w:tc>
        <w:tc>
          <w:tcPr>
            <w:tcW w:w="902" w:type="dxa"/>
            <w:noWrap w:val="0"/>
            <w:vAlign w:val="center"/>
          </w:tcPr>
          <w:p w14:paraId="0E1A9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定性</w:t>
            </w:r>
          </w:p>
        </w:tc>
        <w:tc>
          <w:tcPr>
            <w:tcW w:w="1030" w:type="dxa"/>
            <w:noWrap w:val="0"/>
            <w:vAlign w:val="center"/>
          </w:tcPr>
          <w:p w14:paraId="61200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 效果明显</w:t>
            </w:r>
          </w:p>
        </w:tc>
        <w:tc>
          <w:tcPr>
            <w:tcW w:w="789" w:type="dxa"/>
            <w:noWrap w:val="0"/>
            <w:vAlign w:val="center"/>
          </w:tcPr>
          <w:p w14:paraId="0506C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660" w:type="dxa"/>
            <w:noWrap w:val="0"/>
            <w:vAlign w:val="center"/>
          </w:tcPr>
          <w:p w14:paraId="5D2C8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32A31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提高生产生活条件</w:t>
            </w:r>
          </w:p>
        </w:tc>
      </w:tr>
      <w:tr w14:paraId="165FC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4" w:type="dxa"/>
            <w:vMerge w:val="continue"/>
            <w:noWrap w:val="0"/>
            <w:vAlign w:val="center"/>
          </w:tcPr>
          <w:p w14:paraId="64259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DA3E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0B8E4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73D21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21" w:type="dxa"/>
            <w:noWrap w:val="0"/>
            <w:vAlign w:val="center"/>
          </w:tcPr>
          <w:p w14:paraId="211F5E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 w14:paraId="06567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农民满意度</w:t>
            </w:r>
          </w:p>
        </w:tc>
        <w:tc>
          <w:tcPr>
            <w:tcW w:w="902" w:type="dxa"/>
            <w:shd w:val="clear" w:color="auto" w:fill="auto"/>
            <w:noWrap w:val="0"/>
            <w:vAlign w:val="center"/>
          </w:tcPr>
          <w:p w14:paraId="3EFF1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≥95</w:t>
            </w:r>
          </w:p>
        </w:tc>
        <w:tc>
          <w:tcPr>
            <w:tcW w:w="1030" w:type="dxa"/>
            <w:noWrap w:val="0"/>
            <w:vAlign w:val="center"/>
          </w:tcPr>
          <w:p w14:paraId="7B8B1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89" w:type="dxa"/>
            <w:noWrap w:val="0"/>
            <w:vAlign w:val="center"/>
          </w:tcPr>
          <w:p w14:paraId="32F9C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 w14:paraId="7DC11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0" w:type="dxa"/>
            <w:noWrap w:val="0"/>
            <w:vAlign w:val="center"/>
          </w:tcPr>
          <w:p w14:paraId="3046E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F0DA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83" w:type="dxa"/>
            <w:gridSpan w:val="6"/>
            <w:noWrap w:val="0"/>
            <w:vAlign w:val="center"/>
          </w:tcPr>
          <w:p w14:paraId="3A930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89" w:type="dxa"/>
            <w:noWrap w:val="0"/>
            <w:vAlign w:val="center"/>
          </w:tcPr>
          <w:p w14:paraId="6CF07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660" w:type="dxa"/>
            <w:noWrap w:val="0"/>
            <w:vAlign w:val="center"/>
          </w:tcPr>
          <w:p w14:paraId="65C18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430" w:type="dxa"/>
            <w:noWrap w:val="0"/>
            <w:vAlign w:val="center"/>
          </w:tcPr>
          <w:p w14:paraId="27FB1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 w14:paraId="0AF7B71A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李向阳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 2025.5.12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13974527048</w:t>
      </w:r>
    </w:p>
    <w:p w14:paraId="7A94AE38">
      <w:pPr>
        <w:rPr>
          <w:rFonts w:hint="default"/>
          <w:lang w:val="en-US" w:eastAsia="zh-CN"/>
        </w:rPr>
      </w:pPr>
    </w:p>
    <w:sectPr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6036ACFB-092B-4003-82F2-4EAFA2E7552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1EEA099-339D-4D21-87B8-07CF276ABD0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02F4FFDA-5C74-4487-B4D3-E83C17B4609C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8FC2B08-BE8E-49CF-9632-01A46F25FFC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774512F4-1752-458C-8536-D39754936C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58809B13-1719-4294-92E8-83DC7147422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6D010D5E-42D0-43E4-8B2F-06AD72B4BB3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C1C1A16C-89D7-4182-B90B-F6E7F9EB0F1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9" w:fontKey="{07C22393-CBFF-4D3F-9788-146542323C5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C27483BF-1E5E-42C1-9C22-94026CBF187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9F75B"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3657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09000C">
                          <w:pPr>
                            <w:pStyle w:val="5"/>
                          </w:pP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09000C">
                    <w:pPr>
                      <w:pStyle w:val="5"/>
                    </w:pP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3F687"/>
    <w:multiLevelType w:val="singleLevel"/>
    <w:tmpl w:val="AE73F6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ECB7210"/>
    <w:multiLevelType w:val="singleLevel"/>
    <w:tmpl w:val="BECB721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89B3276"/>
    <w:multiLevelType w:val="singleLevel"/>
    <w:tmpl w:val="F89B327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1CC893C"/>
    <w:multiLevelType w:val="singleLevel"/>
    <w:tmpl w:val="31CC893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E028B4E"/>
    <w:multiLevelType w:val="singleLevel"/>
    <w:tmpl w:val="3E028B4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NDNmZGY5ODE4YTVlYjYxZjc0MjRkNGFmZDRkY2UifQ=="/>
    <w:docVar w:name="KSO_WPS_MARK_KEY" w:val="9920a277-c0c3-43b4-93d3-1636fe398e0b"/>
  </w:docVars>
  <w:rsids>
    <w:rsidRoot w:val="753C4E9B"/>
    <w:rsid w:val="001D7D62"/>
    <w:rsid w:val="00396CDA"/>
    <w:rsid w:val="00666271"/>
    <w:rsid w:val="01EC4E59"/>
    <w:rsid w:val="046A73C6"/>
    <w:rsid w:val="05E95AA6"/>
    <w:rsid w:val="0B40745D"/>
    <w:rsid w:val="0C180A78"/>
    <w:rsid w:val="0CAF7D6D"/>
    <w:rsid w:val="0D276746"/>
    <w:rsid w:val="0D464D9C"/>
    <w:rsid w:val="0DD52794"/>
    <w:rsid w:val="0E956870"/>
    <w:rsid w:val="10C666A5"/>
    <w:rsid w:val="11BA287E"/>
    <w:rsid w:val="1223366A"/>
    <w:rsid w:val="143877FD"/>
    <w:rsid w:val="17C820DA"/>
    <w:rsid w:val="180C1959"/>
    <w:rsid w:val="18E450DC"/>
    <w:rsid w:val="19E805B2"/>
    <w:rsid w:val="1FC3703C"/>
    <w:rsid w:val="22FE234B"/>
    <w:rsid w:val="256D3EDC"/>
    <w:rsid w:val="26331717"/>
    <w:rsid w:val="277E6F02"/>
    <w:rsid w:val="29990575"/>
    <w:rsid w:val="29AF65E8"/>
    <w:rsid w:val="2AF6742D"/>
    <w:rsid w:val="2E833798"/>
    <w:rsid w:val="312A2265"/>
    <w:rsid w:val="337543FF"/>
    <w:rsid w:val="353D719E"/>
    <w:rsid w:val="36FC0F5D"/>
    <w:rsid w:val="375773F8"/>
    <w:rsid w:val="38CC5315"/>
    <w:rsid w:val="393E32BB"/>
    <w:rsid w:val="3A390E16"/>
    <w:rsid w:val="419B2857"/>
    <w:rsid w:val="41D71DA8"/>
    <w:rsid w:val="45D249F5"/>
    <w:rsid w:val="47571378"/>
    <w:rsid w:val="4C3036F4"/>
    <w:rsid w:val="4C6611ED"/>
    <w:rsid w:val="540C5299"/>
    <w:rsid w:val="552A0475"/>
    <w:rsid w:val="578D10CB"/>
    <w:rsid w:val="5A5915AC"/>
    <w:rsid w:val="5E864F20"/>
    <w:rsid w:val="647569CF"/>
    <w:rsid w:val="69A53040"/>
    <w:rsid w:val="6A0A4076"/>
    <w:rsid w:val="6A12486A"/>
    <w:rsid w:val="6EDE4426"/>
    <w:rsid w:val="72EC12E0"/>
    <w:rsid w:val="753C4E9B"/>
    <w:rsid w:val="77CA616D"/>
    <w:rsid w:val="781113A7"/>
    <w:rsid w:val="791E6510"/>
    <w:rsid w:val="7C8D4A41"/>
    <w:rsid w:val="7C90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paragraph" w:styleId="3">
    <w:name w:val="Body Text Indent"/>
    <w:basedOn w:val="1"/>
    <w:autoRedefine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标题1"/>
    <w:basedOn w:val="4"/>
    <w:autoRedefine/>
    <w:qFormat/>
    <w:uiPriority w:val="0"/>
    <w:rPr>
      <w:rFonts w:eastAsia="黑体"/>
    </w:rPr>
  </w:style>
  <w:style w:type="paragraph" w:customStyle="1" w:styleId="11">
    <w:name w:val="首行缩进"/>
    <w:basedOn w:val="1"/>
    <w:autoRedefine/>
    <w:qFormat/>
    <w:uiPriority w:val="0"/>
    <w:pPr>
      <w:ind w:firstLine="480" w:firstLineChars="200"/>
    </w:pPr>
    <w:rPr>
      <w:lang w:val="zh-CN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4075</Words>
  <Characters>4372</Characters>
  <Lines>0</Lines>
  <Paragraphs>0</Paragraphs>
  <TotalTime>2</TotalTime>
  <ScaleCrop>false</ScaleCrop>
  <LinksUpToDate>false</LinksUpToDate>
  <CharactersWithSpaces>4625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2024-02-22T02:03:00Z</dcterms:created>
  <dc:creator>1402836399</dc:creator>
  <cp:lastModifiedBy>Administrator</cp:lastModifiedBy>
  <cp:lastPrinted>2025-05-12T07:43:00Z</cp:lastPrinted>
  <dcterms:modified xsi:type="dcterms:W3CDTF">2025-05-14T02:49:06Z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4B545E2748234224AA7888E0D1AE4147_13</vt:lpwstr>
  </property>
  <property fmtid="{D5CDD505-2E9C-101B-9397-08002B2CF9AE}" pid="4" name="KSOTemplateDocerSaveRecord">
    <vt:lpwstr>eyJoZGlkIjoiMjE3MzExMzBkOWVmMTI3ZjE1MTg1Mzc3ZGJlNjk2MzEifQ==</vt:lpwstr>
  </property>
</Properties>
</file>