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37CF2">
      <w:pPr>
        <w:spacing w:line="252" w:lineRule="auto"/>
        <w:rPr>
          <w:rFonts w:ascii="Arial"/>
          <w:sz w:val="21"/>
        </w:rPr>
      </w:pPr>
    </w:p>
    <w:p w14:paraId="2437F925">
      <w:pPr>
        <w:spacing w:line="252" w:lineRule="auto"/>
        <w:rPr>
          <w:rFonts w:ascii="Arial"/>
          <w:sz w:val="21"/>
        </w:rPr>
      </w:pPr>
    </w:p>
    <w:p w14:paraId="1248D3F4">
      <w:pPr>
        <w:spacing w:line="252" w:lineRule="auto"/>
        <w:rPr>
          <w:rFonts w:ascii="Arial"/>
          <w:sz w:val="21"/>
        </w:rPr>
      </w:pPr>
    </w:p>
    <w:p w14:paraId="2EF2D06D">
      <w:pPr>
        <w:spacing w:line="253" w:lineRule="auto"/>
        <w:rPr>
          <w:rFonts w:ascii="Arial"/>
          <w:sz w:val="21"/>
        </w:rPr>
      </w:pPr>
    </w:p>
    <w:p w14:paraId="4FDE0CF4">
      <w:pPr>
        <w:spacing w:line="253" w:lineRule="auto"/>
        <w:rPr>
          <w:rFonts w:ascii="Arial"/>
          <w:sz w:val="21"/>
        </w:rPr>
      </w:pPr>
    </w:p>
    <w:p w14:paraId="3044EE07">
      <w:pPr>
        <w:spacing w:before="160" w:line="766" w:lineRule="exact"/>
        <w:jc w:val="center"/>
        <w:rPr>
          <w:rFonts w:ascii="宋体" w:hAnsi="宋体" w:eastAsia="宋体" w:cs="宋体"/>
          <w:sz w:val="44"/>
          <w:szCs w:val="44"/>
        </w:rPr>
      </w:pPr>
      <w:r>
        <w:rPr>
          <w:rFonts w:ascii="宋体" w:hAnsi="宋体" w:eastAsia="宋体" w:cs="宋体"/>
          <w:b/>
          <w:bCs/>
          <w:spacing w:val="14"/>
          <w:position w:val="19"/>
          <w:sz w:val="44"/>
          <w:szCs w:val="44"/>
        </w:rPr>
        <w:t>202</w:t>
      </w:r>
      <w:r>
        <w:rPr>
          <w:rFonts w:hint="eastAsia" w:ascii="宋体" w:hAnsi="宋体" w:eastAsia="宋体" w:cs="宋体"/>
          <w:b/>
          <w:bCs/>
          <w:spacing w:val="14"/>
          <w:position w:val="19"/>
          <w:sz w:val="44"/>
          <w:szCs w:val="44"/>
          <w:lang w:val="en-US" w:eastAsia="zh-CN"/>
        </w:rPr>
        <w:t>4</w:t>
      </w:r>
      <w:r>
        <w:rPr>
          <w:rFonts w:ascii="宋体" w:hAnsi="宋体" w:eastAsia="宋体" w:cs="宋体"/>
          <w:b/>
          <w:bCs/>
          <w:spacing w:val="14"/>
          <w:position w:val="19"/>
          <w:sz w:val="44"/>
          <w:szCs w:val="44"/>
        </w:rPr>
        <w:t>年度</w:t>
      </w:r>
      <w:r>
        <w:rPr>
          <w:rFonts w:hint="eastAsia" w:ascii="宋体" w:hAnsi="宋体" w:eastAsia="宋体" w:cs="宋体"/>
          <w:b/>
          <w:bCs/>
          <w:spacing w:val="14"/>
          <w:position w:val="19"/>
          <w:sz w:val="44"/>
          <w:szCs w:val="44"/>
          <w:lang w:eastAsia="zh-CN"/>
        </w:rPr>
        <w:t>辰溪县农业农村局</w:t>
      </w:r>
      <w:r>
        <w:rPr>
          <w:rFonts w:ascii="宋体" w:hAnsi="宋体" w:eastAsia="宋体" w:cs="宋体"/>
          <w:b/>
          <w:bCs/>
          <w:spacing w:val="14"/>
          <w:position w:val="19"/>
          <w:sz w:val="44"/>
          <w:szCs w:val="44"/>
        </w:rPr>
        <w:t>部门整体支出</w:t>
      </w:r>
    </w:p>
    <w:p w14:paraId="4B17310C">
      <w:pPr>
        <w:spacing w:before="2" w:line="217" w:lineRule="auto"/>
        <w:jc w:val="center"/>
        <w:rPr>
          <w:rFonts w:ascii="宋体" w:hAnsi="宋体" w:eastAsia="宋体" w:cs="宋体"/>
          <w:sz w:val="44"/>
          <w:szCs w:val="44"/>
        </w:rPr>
      </w:pPr>
      <w:r>
        <w:rPr>
          <w:rFonts w:ascii="宋体" w:hAnsi="宋体" w:eastAsia="宋体" w:cs="宋体"/>
          <w:b/>
          <w:bCs/>
          <w:spacing w:val="3"/>
          <w:sz w:val="44"/>
          <w:szCs w:val="44"/>
        </w:rPr>
        <w:t>绩效自评报告</w:t>
      </w:r>
    </w:p>
    <w:p w14:paraId="40BC9FEE">
      <w:pPr>
        <w:spacing w:line="246" w:lineRule="auto"/>
        <w:rPr>
          <w:rFonts w:ascii="Arial"/>
          <w:sz w:val="44"/>
          <w:szCs w:val="44"/>
        </w:rPr>
      </w:pPr>
    </w:p>
    <w:p w14:paraId="7C330A7A">
      <w:pPr>
        <w:spacing w:line="246" w:lineRule="auto"/>
        <w:rPr>
          <w:rFonts w:ascii="Arial"/>
          <w:sz w:val="44"/>
          <w:szCs w:val="44"/>
        </w:rPr>
      </w:pPr>
    </w:p>
    <w:p w14:paraId="5921B9CB">
      <w:pPr>
        <w:spacing w:line="246" w:lineRule="auto"/>
        <w:rPr>
          <w:rFonts w:ascii="Arial"/>
          <w:sz w:val="44"/>
          <w:szCs w:val="44"/>
        </w:rPr>
      </w:pPr>
    </w:p>
    <w:p w14:paraId="796954A0">
      <w:pPr>
        <w:spacing w:line="246" w:lineRule="auto"/>
        <w:rPr>
          <w:rFonts w:ascii="Arial"/>
          <w:sz w:val="21"/>
        </w:rPr>
      </w:pPr>
    </w:p>
    <w:p w14:paraId="437C2475">
      <w:pPr>
        <w:spacing w:line="246" w:lineRule="auto"/>
        <w:rPr>
          <w:rFonts w:ascii="Arial"/>
          <w:sz w:val="21"/>
        </w:rPr>
      </w:pPr>
    </w:p>
    <w:p w14:paraId="54973F3D">
      <w:pPr>
        <w:spacing w:line="246" w:lineRule="auto"/>
        <w:rPr>
          <w:rFonts w:ascii="Arial"/>
          <w:sz w:val="21"/>
        </w:rPr>
      </w:pPr>
    </w:p>
    <w:p w14:paraId="7B8B3BFE">
      <w:pPr>
        <w:spacing w:line="246" w:lineRule="auto"/>
        <w:rPr>
          <w:rFonts w:ascii="Arial"/>
          <w:sz w:val="21"/>
        </w:rPr>
      </w:pPr>
    </w:p>
    <w:p w14:paraId="3DC86CCA">
      <w:pPr>
        <w:spacing w:line="246" w:lineRule="auto"/>
        <w:rPr>
          <w:rFonts w:ascii="Arial"/>
          <w:sz w:val="21"/>
        </w:rPr>
      </w:pPr>
    </w:p>
    <w:p w14:paraId="7429606A">
      <w:pPr>
        <w:spacing w:line="246" w:lineRule="auto"/>
        <w:rPr>
          <w:rFonts w:ascii="Arial"/>
          <w:sz w:val="21"/>
        </w:rPr>
      </w:pPr>
    </w:p>
    <w:p w14:paraId="0BB98739">
      <w:pPr>
        <w:spacing w:line="246" w:lineRule="auto"/>
        <w:rPr>
          <w:rFonts w:ascii="Arial"/>
          <w:sz w:val="21"/>
        </w:rPr>
      </w:pPr>
    </w:p>
    <w:p w14:paraId="64E61C61">
      <w:pPr>
        <w:spacing w:line="246" w:lineRule="auto"/>
        <w:rPr>
          <w:rFonts w:ascii="Arial"/>
          <w:sz w:val="21"/>
        </w:rPr>
      </w:pPr>
    </w:p>
    <w:p w14:paraId="53A97F01">
      <w:pPr>
        <w:spacing w:line="246" w:lineRule="auto"/>
        <w:rPr>
          <w:rFonts w:ascii="Arial"/>
          <w:sz w:val="21"/>
        </w:rPr>
      </w:pPr>
    </w:p>
    <w:p w14:paraId="37221A05">
      <w:pPr>
        <w:spacing w:line="246" w:lineRule="auto"/>
        <w:rPr>
          <w:rFonts w:ascii="Arial"/>
          <w:sz w:val="21"/>
        </w:rPr>
      </w:pPr>
    </w:p>
    <w:p w14:paraId="392D863C">
      <w:pPr>
        <w:spacing w:line="246" w:lineRule="auto"/>
        <w:rPr>
          <w:rFonts w:ascii="Arial"/>
          <w:sz w:val="21"/>
        </w:rPr>
      </w:pPr>
    </w:p>
    <w:p w14:paraId="48E92CE7">
      <w:pPr>
        <w:spacing w:line="246" w:lineRule="auto"/>
        <w:rPr>
          <w:rFonts w:ascii="Arial"/>
          <w:sz w:val="21"/>
        </w:rPr>
      </w:pPr>
    </w:p>
    <w:p w14:paraId="31C19E43">
      <w:pPr>
        <w:spacing w:line="246" w:lineRule="auto"/>
        <w:rPr>
          <w:rFonts w:ascii="Arial"/>
          <w:sz w:val="21"/>
        </w:rPr>
      </w:pPr>
    </w:p>
    <w:p w14:paraId="12A96AA5">
      <w:pPr>
        <w:spacing w:line="246" w:lineRule="auto"/>
        <w:rPr>
          <w:rFonts w:ascii="Arial"/>
          <w:sz w:val="21"/>
        </w:rPr>
      </w:pPr>
    </w:p>
    <w:p w14:paraId="7D95728C">
      <w:pPr>
        <w:spacing w:line="246" w:lineRule="auto"/>
        <w:rPr>
          <w:rFonts w:ascii="Arial"/>
          <w:sz w:val="21"/>
        </w:rPr>
      </w:pPr>
    </w:p>
    <w:p w14:paraId="7780B703">
      <w:pPr>
        <w:spacing w:line="246" w:lineRule="auto"/>
        <w:rPr>
          <w:rFonts w:ascii="Arial"/>
          <w:sz w:val="21"/>
        </w:rPr>
      </w:pPr>
    </w:p>
    <w:p w14:paraId="7D053AFB">
      <w:pPr>
        <w:spacing w:line="246" w:lineRule="auto"/>
        <w:rPr>
          <w:rFonts w:ascii="Arial"/>
          <w:sz w:val="21"/>
        </w:rPr>
      </w:pPr>
    </w:p>
    <w:p w14:paraId="2A8BC4D2">
      <w:pPr>
        <w:pStyle w:val="3"/>
        <w:spacing w:before="104" w:line="221" w:lineRule="auto"/>
        <w:jc w:val="center"/>
        <w:rPr>
          <w:sz w:val="32"/>
          <w:szCs w:val="32"/>
        </w:rPr>
      </w:pPr>
      <w:r>
        <w:rPr>
          <w:spacing w:val="-10"/>
          <w:sz w:val="32"/>
          <w:szCs w:val="32"/>
        </w:rPr>
        <w:t xml:space="preserve">部门(单位)名称： </w:t>
      </w:r>
      <w:r>
        <w:rPr>
          <w:spacing w:val="19"/>
          <w:sz w:val="32"/>
          <w:szCs w:val="32"/>
          <w:u w:val="single" w:color="auto"/>
        </w:rPr>
        <w:t xml:space="preserve"> </w:t>
      </w:r>
      <w:r>
        <w:rPr>
          <w:rFonts w:hint="eastAsia"/>
          <w:spacing w:val="19"/>
          <w:sz w:val="32"/>
          <w:szCs w:val="32"/>
          <w:u w:val="single" w:color="auto"/>
          <w:lang w:eastAsia="zh-CN"/>
        </w:rPr>
        <w:t>辰溪县农业农村局</w:t>
      </w:r>
      <w:r>
        <w:rPr>
          <w:spacing w:val="19"/>
          <w:sz w:val="32"/>
          <w:szCs w:val="32"/>
          <w:u w:val="single" w:color="auto"/>
        </w:rPr>
        <w:t xml:space="preserve"> </w:t>
      </w:r>
      <w:r>
        <w:rPr>
          <w:spacing w:val="-10"/>
          <w:sz w:val="32"/>
          <w:szCs w:val="32"/>
          <w:u w:val="single" w:color="auto"/>
        </w:rPr>
        <w:t>( 盖 章 )</w:t>
      </w:r>
    </w:p>
    <w:p w14:paraId="57BDC29D">
      <w:pPr>
        <w:spacing w:before="296" w:line="225" w:lineRule="auto"/>
        <w:jc w:val="center"/>
        <w:rPr>
          <w:rFonts w:ascii="楷体" w:hAnsi="楷体" w:eastAsia="楷体" w:cs="楷体"/>
          <w:sz w:val="25"/>
          <w:szCs w:val="25"/>
        </w:rPr>
      </w:pPr>
      <w:r>
        <w:rPr>
          <w:rFonts w:hint="eastAsia" w:ascii="楷体" w:hAnsi="楷体" w:eastAsia="楷体" w:cs="楷体"/>
          <w:spacing w:val="-8"/>
          <w:sz w:val="25"/>
          <w:szCs w:val="25"/>
          <w:lang w:val="en-US" w:eastAsia="zh-CN"/>
        </w:rPr>
        <w:t xml:space="preserve">     2025</w:t>
      </w:r>
      <w:r>
        <w:rPr>
          <w:rFonts w:ascii="楷体" w:hAnsi="楷体" w:eastAsia="楷体" w:cs="楷体"/>
          <w:spacing w:val="-8"/>
          <w:sz w:val="25"/>
          <w:szCs w:val="25"/>
        </w:rPr>
        <w:t xml:space="preserve">年  </w:t>
      </w:r>
      <w:r>
        <w:rPr>
          <w:rFonts w:hint="eastAsia" w:ascii="楷体" w:hAnsi="楷体" w:eastAsia="楷体" w:cs="楷体"/>
          <w:spacing w:val="-8"/>
          <w:sz w:val="25"/>
          <w:szCs w:val="25"/>
          <w:lang w:val="en-US" w:eastAsia="zh-CN"/>
        </w:rPr>
        <w:t xml:space="preserve">5 </w:t>
      </w:r>
      <w:r>
        <w:rPr>
          <w:rFonts w:ascii="楷体" w:hAnsi="楷体" w:eastAsia="楷体" w:cs="楷体"/>
          <w:spacing w:val="-8"/>
          <w:sz w:val="25"/>
          <w:szCs w:val="25"/>
        </w:rPr>
        <w:t>月</w:t>
      </w:r>
      <w:r>
        <w:rPr>
          <w:rFonts w:ascii="楷体" w:hAnsi="楷体" w:eastAsia="楷体" w:cs="楷体"/>
          <w:spacing w:val="19"/>
          <w:sz w:val="25"/>
          <w:szCs w:val="25"/>
        </w:rPr>
        <w:t xml:space="preserve"> </w:t>
      </w:r>
    </w:p>
    <w:p w14:paraId="45657CA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hint="eastAsia" w:ascii="方正小标宋_GBK" w:hAnsi="方正小标宋_GBK" w:eastAsia="方正小标宋_GBK" w:cs="方正小标宋_GBK"/>
          <w:i w:val="0"/>
          <w:iCs w:val="0"/>
          <w:caps w:val="0"/>
          <w:color w:val="000000"/>
          <w:spacing w:val="0"/>
          <w:sz w:val="44"/>
          <w:szCs w:val="44"/>
          <w:shd w:val="clear" w:fill="FFFFFF"/>
        </w:rPr>
      </w:pPr>
    </w:p>
    <w:p w14:paraId="274D605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shd w:val="clear" w:fill="FFFFFF"/>
        </w:rPr>
        <w:t>部门整体支出绩效自评报告</w:t>
      </w:r>
    </w:p>
    <w:p w14:paraId="573B8C0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ascii="仿宋_GB2312" w:eastAsia="仿宋_GB2312" w:cs="仿宋_GB2312"/>
          <w:i w:val="0"/>
          <w:iCs w:val="0"/>
          <w:caps w:val="0"/>
          <w:color w:val="000000"/>
          <w:spacing w:val="0"/>
          <w:sz w:val="24"/>
          <w:szCs w:val="24"/>
        </w:rPr>
      </w:pPr>
    </w:p>
    <w:p w14:paraId="3E04E443">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rPr>
        <w:t>部门、单位基本情况</w:t>
      </w:r>
    </w:p>
    <w:p w14:paraId="6F31A1E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ascii="楷体_GB2312" w:eastAsia="楷体_GB2312" w:cs="楷体_GB2312"/>
          <w:i w:val="0"/>
          <w:iCs w:val="0"/>
          <w:caps w:val="0"/>
          <w:color w:val="000000"/>
          <w:spacing w:val="0"/>
          <w:sz w:val="32"/>
          <w:szCs w:val="32"/>
        </w:rPr>
      </w:pPr>
      <w:r>
        <w:rPr>
          <w:rFonts w:hint="eastAsia" w:ascii="仿宋" w:hAnsi="仿宋" w:eastAsia="仿宋" w:cs="仿宋"/>
          <w:sz w:val="32"/>
          <w:szCs w:val="32"/>
          <w:lang w:val="en-US" w:eastAsia="zh-CN"/>
        </w:rPr>
        <w:t xml:space="preserve">   </w:t>
      </w:r>
      <w:r>
        <w:rPr>
          <w:rFonts w:hint="default" w:ascii="楷体_GB2312" w:eastAsia="楷体_GB2312" w:cs="楷体_GB2312"/>
          <w:i w:val="0"/>
          <w:iCs w:val="0"/>
          <w:caps w:val="0"/>
          <w:color w:val="000000"/>
          <w:spacing w:val="0"/>
          <w:sz w:val="32"/>
          <w:szCs w:val="32"/>
          <w:shd w:val="clear" w:fill="FFFFFF"/>
        </w:rPr>
        <w:t>（一）机构设置情况</w:t>
      </w:r>
    </w:p>
    <w:p w14:paraId="35EBF95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pacing w:val="-6"/>
          <w:sz w:val="32"/>
          <w:szCs w:val="32"/>
          <w:lang w:eastAsia="zh-CN"/>
        </w:rPr>
        <w:t>辰溪县农业农村局作为一级部门预算单位，内设科室为：</w:t>
      </w:r>
      <w:r>
        <w:rPr>
          <w:rFonts w:hint="eastAsia" w:ascii="仿宋" w:hAnsi="仿宋" w:eastAsia="仿宋" w:cs="仿宋"/>
          <w:b w:val="0"/>
          <w:bCs w:val="0"/>
          <w:sz w:val="32"/>
          <w:szCs w:val="32"/>
          <w:lang w:val="en-US" w:eastAsia="zh-CN"/>
        </w:rPr>
        <w:t>办公室（人事财务股）、改革与发展规划股、乡村产业发展股、农村社会事业促进股、科技教育股、法规与农产品质量安全监管股、农业综合管理股、农业资源保护与农田建设股。</w:t>
      </w:r>
    </w:p>
    <w:p w14:paraId="2C7F016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楷体_GB2312" w:eastAsia="楷体_GB2312" w:cs="楷体_GB2312"/>
          <w:i w:val="0"/>
          <w:iCs w:val="0"/>
          <w:caps w:val="0"/>
          <w:color w:val="000000"/>
          <w:spacing w:val="0"/>
          <w:sz w:val="32"/>
          <w:szCs w:val="32"/>
        </w:rPr>
      </w:pPr>
      <w:r>
        <w:rPr>
          <w:rFonts w:hint="default" w:ascii="楷体_GB2312" w:eastAsia="楷体_GB2312" w:cs="楷体_GB2312"/>
          <w:i w:val="0"/>
          <w:iCs w:val="0"/>
          <w:caps w:val="0"/>
          <w:color w:val="000000"/>
          <w:spacing w:val="0"/>
          <w:sz w:val="32"/>
          <w:szCs w:val="32"/>
          <w:shd w:val="clear" w:fill="FFFFFF"/>
        </w:rPr>
        <w:t>（二）人员编制情况</w:t>
      </w:r>
    </w:p>
    <w:p w14:paraId="445F7354">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2024年，辰溪县农业农村局行政编制20个，机关后勤编制2个，事业编制119个。年末实有行政人员28人，事业人员109人。</w:t>
      </w:r>
    </w:p>
    <w:p w14:paraId="7F7751F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楷体_GB2312" w:eastAsia="楷体_GB2312" w:cs="楷体_GB2312"/>
          <w:i w:val="0"/>
          <w:iCs w:val="0"/>
          <w:caps w:val="0"/>
          <w:color w:val="000000"/>
          <w:spacing w:val="0"/>
          <w:sz w:val="32"/>
          <w:szCs w:val="32"/>
        </w:rPr>
      </w:pPr>
      <w:r>
        <w:rPr>
          <w:rFonts w:hint="default" w:ascii="楷体_GB2312" w:eastAsia="楷体_GB2312" w:cs="楷体_GB2312"/>
          <w:i w:val="0"/>
          <w:iCs w:val="0"/>
          <w:caps w:val="0"/>
          <w:color w:val="000000"/>
          <w:spacing w:val="0"/>
          <w:sz w:val="32"/>
          <w:szCs w:val="32"/>
          <w:shd w:val="clear" w:fill="FFFFFF"/>
        </w:rPr>
        <w:t>（三）主要职能职责</w:t>
      </w:r>
    </w:p>
    <w:p w14:paraId="4B131E7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⑴筹研究和组织实施“三农”工作的发展中长期规划、重大政策。指导农业综合执法。参与涉农的价格、收储、金融保险、进出口等政策制定。</w:t>
      </w:r>
    </w:p>
    <w:p w14:paraId="0254077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⑵统筹推动发展农村社会事业、农村公共服务、农村文化、农村基础设施和乡村治理。牵头组织改善农村人居环境。指导农村精神文明和优秀农耕文化建设。指导农业行业安全生产工作。</w:t>
      </w:r>
    </w:p>
    <w:p w14:paraId="56E67DC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⑶研究提出深化农村经济体制改革和巩固完善农村基本经营制度的政策建议。负责农民承包地、农村宅基地改革和管理有关工作。负责农村集体产权制度改革，指导农村集体经济组织发展和集体资产管理工作。指导农民合作经济组织、农业社会化服务体系、新型农业经营主体建设与发展。</w:t>
      </w:r>
    </w:p>
    <w:p w14:paraId="31417CEA">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⑷指导乡村特色产业、农产品加工业、休闲农业和乡镇企业发展工作。提出促进大宗农产品流通的建议，培育、保护农业品牌。统计综合农业农村经济信息，监测分析农业农村经济运行。承担农业统计和农业农村信息化有关工作。</w:t>
      </w:r>
    </w:p>
    <w:p w14:paraId="795E621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⑸负责种植业、畜牧业、渔业、农垦、农业机械化等农业各产业的监督管理。指导粮食等农产品生产。组织构建现代农业产业体系、生产体系、经营体系，指导农业标准化生产。负责渔政监督管理。</w:t>
      </w:r>
    </w:p>
    <w:p w14:paraId="64DF925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⑹负责农产品质量安全监督管理。组织开展农产品质量安全监测、追溯、风险评估，统计综合农产品质量安全有关信息。贯彻执行农产品质量安全国家和省级标准，参与制定农产品质量安全地方标准并会同有关部门组织实施。指导农业检验检测体系建设。</w:t>
      </w:r>
    </w:p>
    <w:p w14:paraId="3CFBC34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⑺组织农业资源区划工作。指导农用地、渔业水域以及农业生物物种资源的保护与管理，负责水生野生动植物保护、耕地及永久基本农田质量保护工作。指导农产品产地环境管理和农业清洁生产。指导设施农业、生态循环农业、节水农业发展以及农村可再生能源综合开发利用、农业生物质产业发展。牵头管理外来物种。</w:t>
      </w:r>
    </w:p>
    <w:p w14:paraId="592E5F2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⑻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14:paraId="32313AF9">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⑼负责农业减灾、农作物重大病虫害防控和动植物重大疫病防治工作。指导动植物防疫检疫体系建设，组织、监督县内动植物防疫检疫工作，协助发布并组织扑灭疫情。</w:t>
      </w:r>
    </w:p>
    <w:p w14:paraId="5E7D660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⑽负责农业投资管理。编制农业投资项目建设规划，提出农业投资规模和方向、扶持农业农村发展财政项目的建议，按规定权限审批农业投资项目，负责农业投资项目资金安排和监督管理。</w:t>
      </w:r>
    </w:p>
    <w:p w14:paraId="4646469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⑾推动农业科技体制改革和农业科技创新体系建设。指导农业产业技术体系和农技推广体系建设，参与开展农业领域的高新技术和应用技术研究、科技成果转化和技术推广。负责农业转基因生物安全监督管理和农业植物新品种保护。</w:t>
      </w:r>
    </w:p>
    <w:p w14:paraId="7CAC8CD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⑿指导农业农村人才工作。拟订农业农村人才队伍建设规划并组织实施，指导农业教育和农业职业技能开发，指导新型职业农民培育、农业科技人才培养和农村实用人才培训工作。</w:t>
      </w:r>
    </w:p>
    <w:p w14:paraId="1B07E23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⒀组织参与农业对外合作工作。承办有关农业涉外事务，组织开展农业贸易促进和有关对外交流合作，具体执行有关农业援外项目。</w:t>
      </w:r>
    </w:p>
    <w:p w14:paraId="2597AE5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⒁贯彻执行上级有关农业综合开发的方针政策，提出农田建设项目需求建议，承担耕地质量管理相关工作，开展永久基本农田保护。承担农业综合开发项目、农田整治项目、农田水利建设项目管理工作。</w:t>
      </w:r>
    </w:p>
    <w:p w14:paraId="78589A5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黑体" w:hAnsi="黑体" w:eastAsia="黑体" w:cs="黑体"/>
          <w:i w:val="0"/>
          <w:iCs w:val="0"/>
          <w:caps w:val="0"/>
          <w:color w:val="000000"/>
          <w:spacing w:val="0"/>
          <w:sz w:val="32"/>
          <w:szCs w:val="32"/>
          <w:shd w:val="clear" w:fill="FFFFFF"/>
        </w:rPr>
      </w:pPr>
      <w:r>
        <w:rPr>
          <w:rFonts w:hint="eastAsia" w:ascii="仿宋" w:hAnsi="仿宋" w:eastAsia="仿宋" w:cs="仿宋"/>
          <w:b w:val="0"/>
          <w:bCs w:val="0"/>
          <w:sz w:val="32"/>
          <w:szCs w:val="32"/>
          <w:lang w:val="en-US" w:eastAsia="zh-CN"/>
        </w:rPr>
        <w:t>⒂完成县委、县政府及农村工作领导小组交办的其他任务。</w:t>
      </w:r>
    </w:p>
    <w:p w14:paraId="479EA75D">
      <w:pPr>
        <w:pStyle w:val="8"/>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楷体_GB2312" w:eastAsia="楷体_GB2312" w:cs="楷体_GB2312"/>
          <w:i w:val="0"/>
          <w:iCs w:val="0"/>
          <w:caps w:val="0"/>
          <w:color w:val="000000"/>
          <w:spacing w:val="0"/>
          <w:sz w:val="32"/>
          <w:szCs w:val="32"/>
          <w:shd w:val="clear" w:fill="FFFFFF"/>
        </w:rPr>
      </w:pPr>
      <w:r>
        <w:rPr>
          <w:rFonts w:hint="default" w:ascii="楷体_GB2312" w:eastAsia="楷体_GB2312" w:cs="楷体_GB2312"/>
          <w:i w:val="0"/>
          <w:iCs w:val="0"/>
          <w:caps w:val="0"/>
          <w:color w:val="000000"/>
          <w:spacing w:val="0"/>
          <w:sz w:val="32"/>
          <w:szCs w:val="32"/>
          <w:shd w:val="clear" w:fill="FFFFFF"/>
        </w:rPr>
        <w:t>绩效目标设定情况</w:t>
      </w:r>
    </w:p>
    <w:p w14:paraId="66873197">
      <w:pPr>
        <w:pStyle w:val="8"/>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粮食播种面积48.6万亩以上，粮食总产量20.9万吨。</w:t>
      </w:r>
    </w:p>
    <w:p w14:paraId="210E9111">
      <w:pPr>
        <w:pStyle w:val="8"/>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农产品质量安全水平提升，全年不发生农产品质量安全事件。</w:t>
      </w:r>
    </w:p>
    <w:p w14:paraId="0F031A24">
      <w:pPr>
        <w:pStyle w:val="8"/>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leftChars="0" w:right="0" w:rightChars="0" w:firstLine="0" w:firstLineChars="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重污染耕地落实退出水稻生产进行风险管控、同步开展施石灰改良治理，带动完成全年受污染耕地安全利率达到92%以上。</w:t>
      </w:r>
    </w:p>
    <w:p w14:paraId="06F6B632">
      <w:pPr>
        <w:pStyle w:val="8"/>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leftChars="0" w:right="0" w:rightChars="0" w:firstLine="0" w:firstLineChars="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完成“非粮化”历史存量204.68亩的整治工作。</w:t>
      </w:r>
    </w:p>
    <w:p w14:paraId="469244CC">
      <w:pPr>
        <w:pStyle w:val="8"/>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leftChars="0" w:right="0" w:rightChars="0" w:firstLine="0" w:firstLineChars="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主要农作物测土配方施肥技术覆盖率90%以上，绿肥办点示范1000亩</w:t>
      </w:r>
    </w:p>
    <w:p w14:paraId="28136554">
      <w:pPr>
        <w:keepNext w:val="0"/>
        <w:keepLines w:val="0"/>
        <w:pageBreakBefore w:val="0"/>
        <w:numPr>
          <w:ilvl w:val="0"/>
          <w:numId w:val="0"/>
        </w:numPr>
        <w:kinsoku/>
        <w:wordWrap/>
        <w:overflowPunct/>
        <w:topLinePunct w:val="0"/>
        <w:autoSpaceDE/>
        <w:autoSpaceDN/>
        <w:bidi w:val="0"/>
        <w:adjustRightInd/>
        <w:snapToGrid w:val="0"/>
        <w:spacing w:line="520" w:lineRule="exact"/>
        <w:ind w:firstLine="0"/>
        <w:textAlignment w:val="auto"/>
        <w:rPr>
          <w:rFonts w:hint="eastAsia" w:ascii="黑体" w:hAnsi="黑体" w:eastAsia="黑体" w:cs="黑体"/>
          <w:i w:val="0"/>
          <w:iCs w:val="0"/>
          <w:caps w:val="0"/>
          <w:color w:val="000000"/>
          <w:spacing w:val="0"/>
          <w:kern w:val="0"/>
          <w:sz w:val="32"/>
          <w:szCs w:val="32"/>
          <w:shd w:val="clear" w:fill="FFFFFF"/>
          <w:lang w:val="en-US" w:eastAsia="zh-CN" w:bidi="ar"/>
        </w:rPr>
      </w:pPr>
      <w:r>
        <w:rPr>
          <w:rFonts w:hint="eastAsia" w:ascii="黑体" w:hAnsi="黑体" w:eastAsia="黑体" w:cs="黑体"/>
          <w:i w:val="0"/>
          <w:iCs w:val="0"/>
          <w:caps w:val="0"/>
          <w:color w:val="000000"/>
          <w:spacing w:val="0"/>
          <w:kern w:val="0"/>
          <w:sz w:val="32"/>
          <w:szCs w:val="32"/>
          <w:shd w:val="clear" w:fill="FFFFFF"/>
          <w:lang w:val="en-US" w:eastAsia="zh-CN" w:bidi="ar"/>
        </w:rPr>
        <w:t>二、部门整体支出管理及使用情况</w:t>
      </w:r>
    </w:p>
    <w:p w14:paraId="1BF148B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（一）预算执行、使用、管理总体情况。</w:t>
      </w:r>
    </w:p>
    <w:p w14:paraId="4726C30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2024年预算执行率100%，，其中基本支出2045.37万元，项目支出24692.44万元。</w:t>
      </w:r>
    </w:p>
    <w:p w14:paraId="160BF71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（二）部门预算执行情况</w:t>
      </w:r>
    </w:p>
    <w:p w14:paraId="5D99BDE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640" w:right="0" w:firstLine="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1.基本支出情况</w:t>
      </w:r>
    </w:p>
    <w:p w14:paraId="2BEF59CD">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基本支出</w:t>
      </w:r>
      <w:r>
        <w:rPr>
          <w:rFonts w:hint="eastAsia" w:ascii="仿宋" w:hAnsi="仿宋" w:eastAsia="仿宋" w:cs="仿宋"/>
          <w:sz w:val="32"/>
          <w:szCs w:val="32"/>
          <w:lang w:val="en-US" w:eastAsia="zh-CN"/>
        </w:rPr>
        <w:t>2045.37万元，其中：工资福利支出1576.29万元、商品和服务支出412.98万元、对个人和家庭补助支出</w:t>
      </w:r>
      <w:bookmarkStart w:id="0" w:name="_GoBack"/>
      <w:r>
        <w:rPr>
          <w:rFonts w:hint="eastAsia" w:ascii="仿宋" w:hAnsi="仿宋" w:eastAsia="仿宋" w:cs="仿宋"/>
          <w:sz w:val="32"/>
          <w:szCs w:val="32"/>
          <w:lang w:val="en-US" w:eastAsia="zh-CN"/>
        </w:rPr>
        <w:t>49.62万元、办公设备购置支出6.48万元。</w:t>
      </w:r>
    </w:p>
    <w:p w14:paraId="4709D24C">
      <w:pPr>
        <w:pStyle w:val="8"/>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640" w:right="0" w:firstLine="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项目支出情况</w:t>
      </w:r>
    </w:p>
    <w:p w14:paraId="40CA6ED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640" w:leftChars="0" w:right="0" w:rightChars="0"/>
        <w:textAlignment w:val="auto"/>
        <w:rPr>
          <w:rFonts w:hint="eastAsia" w:ascii="仿宋" w:hAnsi="仿宋" w:eastAsia="仿宋" w:cs="仿宋"/>
          <w:i w:val="0"/>
          <w:iCs w:val="0"/>
          <w:caps w:val="0"/>
          <w:color w:val="000000"/>
          <w:spacing w:val="0"/>
          <w:sz w:val="32"/>
          <w:szCs w:val="32"/>
          <w:shd w:val="clear" w:fill="FFFFFF"/>
          <w:lang w:val="en-US"/>
        </w:rPr>
      </w:pPr>
      <w:r>
        <w:rPr>
          <w:rFonts w:hint="eastAsia" w:ascii="仿宋" w:hAnsi="仿宋" w:eastAsia="仿宋" w:cs="仿宋"/>
          <w:sz w:val="32"/>
          <w:szCs w:val="32"/>
          <w:lang w:val="en-US" w:eastAsia="zh-CN"/>
        </w:rPr>
        <w:t>项目支出：24692.44万元（其中本级预算内项目支出363.69万元），主要用于2120501人居环境整治建设30万元；2120814高标准农田建设项目52.37万元，2120814自主发展产业奖补、庭院经济、公益性岗位补贴290.75万元；2120899“怀乡怀品”农产品展销会20万元；2129999自主发展产业奖补、庭院经济、公益性岗位补贴3364.3万元；2130106、2130108农业专项资金38.52万元、142.78万元；2130109农产品质量安全监管30.74万元、农产品标准化品牌建设43.08万元；2130109农业专项资金25万元；2130114湖南和美乡村篮球赛（村BA）赛事233.73万元；2130119农业专项资金703.16万元；2130122农业生产专项150.70万元；2130122改种补贴土壤治理资金184.97万元；2130122农业生产专项4601.29万元；2130122辰溪县柑桔品化处理厂建设项目27万元；2130135改种补贴治理资金125.20万元；2130135农业生产专项生态资源保护7.47万元；2130135农业生产专项273.54万元；2130135辰溪县第三次全国土壤普查21.21万元；2130148农业专项资金63.7万元；2130153基本农田抛荒治理专项41.99万元；2130153农业生产专项24万元；2130153农业专项资金303.57万元；2130153慈善基金会援辰项目1044.92万元；2130153高标准农田建设项目4645.79万元；2130199项目前期可研、设计218.71万元；2130507农业专项资金42万元；2130599涉农资金项目7686.09万元；2130599高标准农田建设项目60万元；2130706发展村集体经济专项资金30万元；2130706农业专项资金70万元；2130901农业专项资金85.85万元；2210105涉农资金项目10万元。</w:t>
      </w:r>
    </w:p>
    <w:p w14:paraId="6413ECB9">
      <w:pPr>
        <w:pStyle w:val="8"/>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"三公"经费使用和管理情况</w:t>
      </w:r>
    </w:p>
    <w:p w14:paraId="6C63064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eastAsia="zh-CN"/>
        </w:rPr>
        <w:t>本</w:t>
      </w:r>
      <w:r>
        <w:rPr>
          <w:rFonts w:hint="eastAsia" w:ascii="仿宋" w:hAnsi="仿宋" w:eastAsia="仿宋" w:cs="仿宋"/>
          <w:sz w:val="32"/>
          <w:szCs w:val="32"/>
        </w:rPr>
        <w:t>部门202</w:t>
      </w:r>
      <w:r>
        <w:rPr>
          <w:rFonts w:hint="eastAsia" w:ascii="仿宋" w:hAnsi="仿宋" w:eastAsia="仿宋" w:cs="仿宋"/>
          <w:sz w:val="32"/>
          <w:szCs w:val="32"/>
          <w:lang w:val="en-US" w:eastAsia="zh-CN"/>
        </w:rPr>
        <w:t>4</w:t>
      </w:r>
      <w:r>
        <w:rPr>
          <w:rFonts w:hint="eastAsia" w:ascii="仿宋" w:hAnsi="仿宋" w:eastAsia="仿宋" w:cs="仿宋"/>
          <w:sz w:val="32"/>
          <w:szCs w:val="32"/>
        </w:rPr>
        <w:t>年度“三公经费”预算数</w:t>
      </w:r>
      <w:r>
        <w:rPr>
          <w:rFonts w:hint="eastAsia" w:ascii="仿宋" w:hAnsi="仿宋" w:eastAsia="仿宋" w:cs="仿宋"/>
          <w:sz w:val="32"/>
          <w:szCs w:val="32"/>
          <w:lang w:val="en-US" w:eastAsia="zh-CN"/>
        </w:rPr>
        <w:t>16.5</w:t>
      </w:r>
      <w:r>
        <w:rPr>
          <w:rFonts w:hint="eastAsia" w:ascii="仿宋" w:hAnsi="仿宋" w:eastAsia="仿宋" w:cs="仿宋"/>
          <w:sz w:val="32"/>
          <w:szCs w:val="32"/>
        </w:rPr>
        <w:t>万元，</w:t>
      </w:r>
      <w:r>
        <w:rPr>
          <w:rFonts w:hint="eastAsia" w:ascii="仿宋" w:hAnsi="仿宋" w:eastAsia="仿宋" w:cs="仿宋"/>
          <w:sz w:val="32"/>
          <w:szCs w:val="32"/>
          <w:lang w:val="en-US" w:eastAsia="zh-CN"/>
        </w:rPr>
        <w:t>2024年“三公经费”决算数为13.26万元，其中，公务接待费8.98万元，公务用车购置及运行费4.28万元（公务用车运行万元、公务用车购置0万元），因公出国（境）费0万元。</w:t>
      </w:r>
    </w:p>
    <w:p w14:paraId="3C6107E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仿宋" w:hAnsi="仿宋" w:eastAsia="仿宋" w:cs="仿宋"/>
          <w:i w:val="0"/>
          <w:iCs w:val="0"/>
          <w:caps w:val="0"/>
          <w:color w:val="000000"/>
          <w:spacing w:val="0"/>
          <w:sz w:val="32"/>
          <w:szCs w:val="32"/>
          <w:shd w:val="clear" w:fill="FFFFFF"/>
        </w:rPr>
      </w:pPr>
    </w:p>
    <w:p w14:paraId="68F94626">
      <w:pPr>
        <w:pStyle w:val="3"/>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360" w:lineRule="auto"/>
        <w:ind w:leftChars="0"/>
        <w:textAlignment w:val="auto"/>
        <w:rPr>
          <w:rFonts w:hint="eastAsia" w:ascii="黑体" w:hAnsi="黑体" w:eastAsia="黑体" w:cs="黑体"/>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lang w:eastAsia="zh-CN"/>
        </w:rPr>
        <w:t>三、</w:t>
      </w:r>
      <w:r>
        <w:rPr>
          <w:rFonts w:hint="eastAsia" w:ascii="黑体" w:hAnsi="黑体" w:eastAsia="黑体" w:cs="黑体"/>
          <w:i w:val="0"/>
          <w:iCs w:val="0"/>
          <w:caps w:val="0"/>
          <w:color w:val="000000"/>
          <w:spacing w:val="0"/>
          <w:sz w:val="32"/>
          <w:szCs w:val="32"/>
          <w:shd w:val="clear" w:fill="FFFFFF"/>
        </w:rPr>
        <w:t>政府性基金预算支出情况</w:t>
      </w:r>
    </w:p>
    <w:p w14:paraId="7DD76BC6">
      <w:pPr>
        <w:pStyle w:val="3"/>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360" w:lineRule="auto"/>
        <w:ind w:lef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政府性基金预算支出363.12万元，其中：2120814农业生产发展343.12万元；2120899其他国有土地使用权出让收入安排的支出20万元。</w:t>
      </w:r>
    </w:p>
    <w:p w14:paraId="5760D99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rPr>
      </w:pPr>
    </w:p>
    <w:p w14:paraId="50ED53C5">
      <w:pPr>
        <w:pStyle w:val="4"/>
        <w:numPr>
          <w:ilvl w:val="0"/>
          <w:numId w:val="0"/>
        </w:numPr>
        <w:ind w:leftChars="0"/>
        <w:rPr>
          <w:rFonts w:hint="eastAsia" w:ascii="黑体" w:hAnsi="黑体" w:eastAsia="黑体" w:cs="黑体"/>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lang w:eastAsia="zh-CN"/>
        </w:rPr>
        <w:t>四、</w:t>
      </w:r>
      <w:r>
        <w:rPr>
          <w:rFonts w:hint="eastAsia" w:ascii="黑体" w:hAnsi="黑体" w:eastAsia="黑体" w:cs="黑体"/>
          <w:i w:val="0"/>
          <w:iCs w:val="0"/>
          <w:caps w:val="0"/>
          <w:color w:val="000000"/>
          <w:spacing w:val="0"/>
          <w:sz w:val="32"/>
          <w:szCs w:val="32"/>
          <w:shd w:val="clear" w:fill="FFFFFF"/>
        </w:rPr>
        <w:t>国有资本经营预算支出情况</w:t>
      </w:r>
    </w:p>
    <w:p w14:paraId="4541D023">
      <w:pPr>
        <w:pStyle w:val="4"/>
        <w:numPr>
          <w:ilvl w:val="0"/>
          <w:numId w:val="0"/>
        </w:numPr>
        <w:ind w:leftChars="0" w:firstLine="640" w:firstLineChars="200"/>
        <w:rPr>
          <w:rFonts w:hint="default"/>
          <w:lang w:val="en-US" w:eastAsia="zh-CN"/>
        </w:rPr>
      </w:pPr>
      <w:r>
        <w:rPr>
          <w:rFonts w:hint="eastAsia" w:ascii="仿宋" w:hAnsi="仿宋" w:eastAsia="仿宋" w:cs="仿宋"/>
          <w:sz w:val="32"/>
          <w:szCs w:val="32"/>
          <w:lang w:val="en-US" w:eastAsia="zh-CN"/>
        </w:rPr>
        <w:t>国有资本经营预算支出为0。</w:t>
      </w:r>
    </w:p>
    <w:p w14:paraId="42CD856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rPr>
      </w:pPr>
    </w:p>
    <w:p w14:paraId="48ED98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黑体" w:hAnsi="黑体" w:eastAsia="黑体" w:cs="黑体"/>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lang w:eastAsia="zh-CN"/>
        </w:rPr>
        <w:t>五、</w:t>
      </w:r>
      <w:r>
        <w:rPr>
          <w:rFonts w:hint="eastAsia" w:ascii="黑体" w:hAnsi="黑体" w:eastAsia="黑体" w:cs="黑体"/>
          <w:i w:val="0"/>
          <w:iCs w:val="0"/>
          <w:caps w:val="0"/>
          <w:color w:val="000000"/>
          <w:spacing w:val="0"/>
          <w:sz w:val="32"/>
          <w:szCs w:val="32"/>
          <w:shd w:val="clear" w:fill="FFFFFF"/>
        </w:rPr>
        <w:t>社会保险基金预算支出情况</w:t>
      </w:r>
    </w:p>
    <w:p w14:paraId="35DDBD5E">
      <w:pPr>
        <w:pStyle w:val="4"/>
        <w:keepNext w:val="0"/>
        <w:keepLines w:val="0"/>
        <w:pageBreakBefore w:val="0"/>
        <w:kinsoku/>
        <w:wordWrap/>
        <w:overflowPunct/>
        <w:topLinePunct w:val="0"/>
        <w:autoSpaceDE/>
        <w:autoSpaceDN/>
        <w:bidi w:val="0"/>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社会保险基金预算支出为0。</w:t>
      </w:r>
    </w:p>
    <w:bookmarkEnd w:id="0"/>
    <w:p w14:paraId="73E29938">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黑体" w:hAnsi="黑体" w:eastAsia="黑体" w:cs="黑体"/>
          <w:i w:val="0"/>
          <w:iCs w:val="0"/>
          <w:caps w:val="0"/>
          <w:color w:val="000000"/>
          <w:spacing w:val="0"/>
          <w:sz w:val="32"/>
          <w:szCs w:val="32"/>
          <w:shd w:val="clear" w:fill="FFFFFF"/>
        </w:rPr>
      </w:pPr>
    </w:p>
    <w:p w14:paraId="28A4E1D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rPr>
        <w:t>六、部门整体支出绩效情况</w:t>
      </w:r>
    </w:p>
    <w:p w14:paraId="14EFE75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楷体_GB2312" w:eastAsia="楷体_GB2312" w:cs="楷体_GB2312"/>
          <w:i w:val="0"/>
          <w:iCs w:val="0"/>
          <w:caps w:val="0"/>
          <w:color w:val="000000"/>
          <w:spacing w:val="0"/>
          <w:sz w:val="32"/>
          <w:szCs w:val="32"/>
        </w:rPr>
      </w:pPr>
      <w:r>
        <w:rPr>
          <w:rFonts w:hint="default" w:ascii="楷体_GB2312" w:eastAsia="楷体_GB2312" w:cs="楷体_GB2312"/>
          <w:i w:val="0"/>
          <w:iCs w:val="0"/>
          <w:caps w:val="0"/>
          <w:color w:val="000000"/>
          <w:spacing w:val="0"/>
          <w:sz w:val="32"/>
          <w:szCs w:val="32"/>
          <w:shd w:val="clear" w:fill="FFFFFF"/>
        </w:rPr>
        <w:t>（一）综合评价结论。</w:t>
      </w:r>
      <w:r>
        <w:rPr>
          <w:rFonts w:hint="default" w:ascii="仿宋_GB2312" w:eastAsia="仿宋_GB2312" w:cs="仿宋_GB2312"/>
          <w:i w:val="0"/>
          <w:iCs w:val="0"/>
          <w:caps w:val="0"/>
          <w:color w:val="000000"/>
          <w:spacing w:val="0"/>
          <w:sz w:val="32"/>
          <w:szCs w:val="32"/>
          <w:shd w:val="clear" w:fill="FFFFFF"/>
        </w:rPr>
        <w:t>反映自评得分及评价等级。</w:t>
      </w:r>
    </w:p>
    <w:p w14:paraId="4AC0FBD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仿宋_GB2312" w:eastAsia="仿宋_GB2312" w:cs="仿宋_GB2312"/>
          <w:i w:val="0"/>
          <w:iCs w:val="0"/>
          <w:caps w:val="0"/>
          <w:color w:val="000000"/>
          <w:spacing w:val="0"/>
          <w:sz w:val="32"/>
          <w:szCs w:val="32"/>
          <w:shd w:val="clear" w:fill="FFFFFF"/>
        </w:rPr>
      </w:pPr>
      <w:r>
        <w:rPr>
          <w:rFonts w:hint="default" w:ascii="楷体_GB2312" w:eastAsia="楷体_GB2312" w:cs="楷体_GB2312"/>
          <w:i w:val="0"/>
          <w:iCs w:val="0"/>
          <w:caps w:val="0"/>
          <w:color w:val="000000"/>
          <w:spacing w:val="0"/>
          <w:sz w:val="32"/>
          <w:szCs w:val="32"/>
          <w:shd w:val="clear" w:fill="FFFFFF"/>
        </w:rPr>
        <w:t>（二）评价指标分析（或综合评价情况）。</w:t>
      </w:r>
      <w:r>
        <w:rPr>
          <w:rFonts w:hint="default" w:ascii="仿宋_GB2312" w:eastAsia="仿宋_GB2312" w:cs="仿宋_GB2312"/>
          <w:i w:val="0"/>
          <w:iCs w:val="0"/>
          <w:caps w:val="0"/>
          <w:color w:val="000000"/>
          <w:spacing w:val="0"/>
          <w:sz w:val="32"/>
          <w:szCs w:val="32"/>
          <w:shd w:val="clear" w:fill="FFFFFF"/>
        </w:rPr>
        <w:t>围绕部门职责、行业发展规划，以预算资金管理为主线，从整体绩效目标设定、预算配置、预算执行、预算管理、资产管理、职责履行、履职效益等方面综合分析。</w:t>
      </w:r>
      <w:r>
        <w:rPr>
          <w:rFonts w:hint="default" w:ascii="Times New Roman" w:hAnsi="Times New Roman" w:eastAsia="楷体_GB2312" w:cs="Times New Roman"/>
          <w:i w:val="0"/>
          <w:iCs w:val="0"/>
          <w:caps w:val="0"/>
          <w:color w:val="000000"/>
          <w:spacing w:val="0"/>
          <w:sz w:val="32"/>
          <w:szCs w:val="32"/>
          <w:shd w:val="clear" w:fill="FFFFFF"/>
        </w:rPr>
        <w:t>总</w:t>
      </w:r>
      <w:r>
        <w:rPr>
          <w:rFonts w:hint="default" w:ascii="仿宋_GB2312" w:eastAsia="仿宋_GB2312" w:cs="仿宋_GB2312"/>
          <w:i w:val="0"/>
          <w:iCs w:val="0"/>
          <w:caps w:val="0"/>
          <w:color w:val="000000"/>
          <w:spacing w:val="0"/>
          <w:sz w:val="32"/>
          <w:szCs w:val="32"/>
          <w:shd w:val="clear" w:fill="FFFFFF"/>
        </w:rPr>
        <w:t>结归纳本部门"四本预算"支出的绩效目标完成情况，实现产出和取得效益的情况。</w:t>
      </w:r>
    </w:p>
    <w:p w14:paraId="0AE54BEC">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rPr>
        <w:t>（一）投入情况分析，包括预算编制、目标设定分析等</w:t>
      </w:r>
      <w:r>
        <w:rPr>
          <w:rFonts w:hint="eastAsia" w:ascii="仿宋_GB2312" w:hAnsi="仿宋_GB2312" w:eastAsia="仿宋_GB2312" w:cs="仿宋_GB2312"/>
          <w:b/>
          <w:bCs/>
          <w:kern w:val="0"/>
          <w:sz w:val="32"/>
          <w:szCs w:val="32"/>
          <w:lang w:eastAsia="zh-CN"/>
        </w:rPr>
        <w:t>。</w:t>
      </w:r>
    </w:p>
    <w:p w14:paraId="35EE4285">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1、预算编制：</w:t>
      </w:r>
    </w:p>
    <w:p w14:paraId="182E3244">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b/>
          <w:bCs/>
          <w:sz w:val="32"/>
          <w:szCs w:val="32"/>
        </w:rPr>
      </w:pPr>
      <w:r>
        <w:rPr>
          <w:rFonts w:hint="eastAsia" w:ascii="仿宋" w:hAnsi="仿宋" w:eastAsia="仿宋" w:cs="仿宋"/>
          <w:sz w:val="32"/>
          <w:szCs w:val="32"/>
        </w:rPr>
        <w:t>本部门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14:paraId="77D46260">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 w:hAnsi="仿宋" w:eastAsia="仿宋" w:cs="仿宋"/>
          <w:sz w:val="32"/>
          <w:szCs w:val="32"/>
        </w:rPr>
      </w:pPr>
      <w:r>
        <w:rPr>
          <w:rFonts w:hint="eastAsia" w:ascii="仿宋_GB2312" w:hAnsi="仿宋_GB2312" w:eastAsia="仿宋_GB2312" w:cs="仿宋_GB2312"/>
          <w:b/>
          <w:bCs/>
          <w:sz w:val="32"/>
          <w:szCs w:val="32"/>
        </w:rPr>
        <w:t>财政供养人员控制率</w:t>
      </w:r>
      <w:r>
        <w:rPr>
          <w:rFonts w:hint="eastAsia" w:ascii="仿宋_GB2312" w:hAnsi="仿宋_GB2312" w:eastAsia="仿宋_GB2312" w:cs="仿宋_GB2312"/>
          <w:sz w:val="32"/>
          <w:szCs w:val="32"/>
        </w:rPr>
        <w:t>，</w:t>
      </w:r>
      <w:r>
        <w:rPr>
          <w:rFonts w:hint="eastAsia" w:ascii="仿宋" w:hAnsi="仿宋" w:eastAsia="仿宋" w:cs="仿宋"/>
          <w:sz w:val="32"/>
          <w:szCs w:val="32"/>
          <w:lang w:eastAsia="zh-CN"/>
        </w:rPr>
        <w:t>本</w:t>
      </w:r>
      <w:r>
        <w:rPr>
          <w:rFonts w:hint="eastAsia" w:ascii="仿宋" w:hAnsi="仿宋" w:eastAsia="仿宋" w:cs="仿宋"/>
          <w:sz w:val="32"/>
          <w:szCs w:val="32"/>
        </w:rPr>
        <w:t>部门202</w:t>
      </w:r>
      <w:r>
        <w:rPr>
          <w:rFonts w:hint="eastAsia" w:ascii="仿宋" w:hAnsi="仿宋" w:eastAsia="仿宋" w:cs="仿宋"/>
          <w:sz w:val="32"/>
          <w:szCs w:val="32"/>
          <w:lang w:val="en-US" w:eastAsia="zh-CN"/>
        </w:rPr>
        <w:t>4</w:t>
      </w:r>
      <w:r>
        <w:rPr>
          <w:rFonts w:hint="eastAsia" w:ascii="仿宋" w:hAnsi="仿宋" w:eastAsia="仿宋" w:cs="仿宋"/>
          <w:sz w:val="32"/>
          <w:szCs w:val="32"/>
        </w:rPr>
        <w:t>年度实际在职人员数</w:t>
      </w:r>
      <w:r>
        <w:rPr>
          <w:rFonts w:hint="eastAsia" w:ascii="仿宋" w:hAnsi="仿宋" w:eastAsia="仿宋" w:cs="仿宋"/>
          <w:sz w:val="32"/>
          <w:szCs w:val="32"/>
          <w:lang w:val="en-US" w:eastAsia="zh-CN"/>
        </w:rPr>
        <w:t>137</w:t>
      </w:r>
      <w:r>
        <w:rPr>
          <w:rFonts w:hint="eastAsia" w:ascii="仿宋" w:hAnsi="仿宋" w:eastAsia="仿宋" w:cs="仿宋"/>
          <w:sz w:val="32"/>
          <w:szCs w:val="32"/>
        </w:rPr>
        <w:t>人，编制数</w:t>
      </w:r>
      <w:r>
        <w:rPr>
          <w:rFonts w:hint="eastAsia" w:ascii="仿宋" w:hAnsi="仿宋" w:eastAsia="仿宋" w:cs="仿宋"/>
          <w:sz w:val="32"/>
          <w:szCs w:val="32"/>
          <w:lang w:val="en-US" w:eastAsia="zh-CN"/>
        </w:rPr>
        <w:t>129</w:t>
      </w:r>
      <w:r>
        <w:rPr>
          <w:rFonts w:hint="eastAsia" w:ascii="仿宋" w:hAnsi="仿宋" w:eastAsia="仿宋" w:cs="仿宋"/>
          <w:sz w:val="32"/>
          <w:szCs w:val="32"/>
        </w:rPr>
        <w:t>人，在职人员控制率为</w:t>
      </w:r>
      <w:r>
        <w:rPr>
          <w:rFonts w:hint="eastAsia" w:ascii="仿宋" w:hAnsi="仿宋" w:eastAsia="仿宋" w:cs="仿宋"/>
          <w:sz w:val="32"/>
          <w:szCs w:val="32"/>
          <w:lang w:val="en-US" w:eastAsia="zh-CN"/>
        </w:rPr>
        <w:t>106.2</w:t>
      </w:r>
      <w:r>
        <w:rPr>
          <w:rFonts w:hint="eastAsia" w:ascii="仿宋" w:hAnsi="仿宋" w:eastAsia="仿宋" w:cs="仿宋"/>
          <w:sz w:val="32"/>
          <w:szCs w:val="32"/>
        </w:rPr>
        <w:t>%。部门实际在职人数，以财政部门确定的部门决算编制口径为准。部门编制数，是机构编制部门核定批复的部门人员编制数。</w:t>
      </w:r>
    </w:p>
    <w:p w14:paraId="2042618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b/>
          <w:bCs/>
          <w:sz w:val="32"/>
          <w:szCs w:val="32"/>
          <w:lang w:eastAsia="zh-CN"/>
        </w:rPr>
        <w:t>控制情况：</w:t>
      </w:r>
      <w:r>
        <w:rPr>
          <w:rFonts w:hint="eastAsia" w:ascii="仿宋" w:hAnsi="仿宋" w:eastAsia="仿宋" w:cs="仿宋"/>
          <w:b w:val="0"/>
          <w:bCs w:val="0"/>
          <w:sz w:val="32"/>
          <w:szCs w:val="32"/>
          <w:lang w:eastAsia="zh-CN"/>
        </w:rPr>
        <w:t>本</w:t>
      </w:r>
      <w:r>
        <w:rPr>
          <w:rFonts w:hint="eastAsia" w:ascii="仿宋" w:hAnsi="仿宋" w:eastAsia="仿宋" w:cs="仿宋"/>
          <w:sz w:val="32"/>
          <w:szCs w:val="32"/>
        </w:rPr>
        <w:t>部门202</w:t>
      </w:r>
      <w:r>
        <w:rPr>
          <w:rFonts w:hint="eastAsia" w:ascii="仿宋" w:hAnsi="仿宋" w:eastAsia="仿宋" w:cs="仿宋"/>
          <w:sz w:val="32"/>
          <w:szCs w:val="32"/>
          <w:lang w:val="en-US" w:eastAsia="zh-CN"/>
        </w:rPr>
        <w:t>4</w:t>
      </w:r>
      <w:r>
        <w:rPr>
          <w:rFonts w:hint="eastAsia" w:ascii="仿宋" w:hAnsi="仿宋" w:eastAsia="仿宋" w:cs="仿宋"/>
          <w:sz w:val="32"/>
          <w:szCs w:val="32"/>
        </w:rPr>
        <w:t>年度“三公经费”预算数</w:t>
      </w:r>
      <w:r>
        <w:rPr>
          <w:rFonts w:hint="eastAsia" w:ascii="仿宋" w:hAnsi="仿宋" w:eastAsia="仿宋" w:cs="仿宋"/>
          <w:sz w:val="32"/>
          <w:szCs w:val="32"/>
          <w:lang w:val="en-US" w:eastAsia="zh-CN"/>
        </w:rPr>
        <w:t>16.5</w:t>
      </w:r>
      <w:r>
        <w:rPr>
          <w:rFonts w:hint="eastAsia" w:ascii="仿宋" w:hAnsi="仿宋" w:eastAsia="仿宋" w:cs="仿宋"/>
          <w:sz w:val="32"/>
          <w:szCs w:val="32"/>
        </w:rPr>
        <w:t>万元，</w:t>
      </w:r>
      <w:r>
        <w:rPr>
          <w:rFonts w:hint="eastAsia" w:ascii="仿宋" w:hAnsi="仿宋" w:eastAsia="仿宋" w:cs="仿宋"/>
          <w:sz w:val="32"/>
          <w:szCs w:val="32"/>
          <w:lang w:val="en-US" w:eastAsia="zh-CN"/>
        </w:rPr>
        <w:t>2024年“三公经费”决算数为13.26万元，其中，公务接待费8.98万元，公务用车购置及运行费4.28万元（公务用车运行万元、公务用车购置0万元），因公出国（境）费0万元。</w:t>
      </w:r>
    </w:p>
    <w:p w14:paraId="4CA7277E">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重点支出安排率，</w:t>
      </w:r>
      <w:r>
        <w:rPr>
          <w:rFonts w:hint="eastAsia" w:ascii="仿宋_GB2312" w:hAnsi="仿宋_GB2312" w:eastAsia="仿宋_GB2312" w:cs="仿宋_GB2312"/>
          <w:sz w:val="32"/>
          <w:szCs w:val="32"/>
        </w:rPr>
        <w:t>本年度预算安排的重点支出，用以部门对履行主要职责或完成重点任务的保障程度。</w:t>
      </w:r>
    </w:p>
    <w:p w14:paraId="114520EB">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本年度预算安排的，与本部门履职和发展密切相关、具有明显社会和经济影响。</w:t>
      </w:r>
    </w:p>
    <w:p w14:paraId="79FF6725">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（二）执行管理情况分析，包括资金执行进度、调整情况、成本控制情况分析及项目完成进度情况等。</w:t>
      </w:r>
    </w:p>
    <w:p w14:paraId="25C8A02B">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1、资金执行进度，本部门按照县财政的要求，及时分月、分季度上报相应计划，待县财政审核通过后，严格按计划执行，各季度执行情况良好。</w:t>
      </w:r>
    </w:p>
    <w:p w14:paraId="1E9D16B6">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基本支出202</w:t>
      </w:r>
      <w:r>
        <w:rPr>
          <w:rFonts w:hint="eastAsia" w:ascii="仿宋" w:hAnsi="仿宋" w:eastAsia="仿宋" w:cs="仿宋"/>
          <w:sz w:val="32"/>
          <w:szCs w:val="32"/>
          <w:lang w:val="en-US" w:eastAsia="zh-CN"/>
        </w:rPr>
        <w:t>4</w:t>
      </w:r>
      <w:r>
        <w:rPr>
          <w:rFonts w:hint="eastAsia" w:ascii="仿宋" w:hAnsi="仿宋" w:eastAsia="仿宋" w:cs="仿宋"/>
          <w:sz w:val="32"/>
          <w:szCs w:val="32"/>
        </w:rPr>
        <w:t>年按月进行申报，其中日常公用经费按月进行申报并支付，</w:t>
      </w:r>
      <w:r>
        <w:rPr>
          <w:rFonts w:hint="eastAsia" w:ascii="仿宋" w:hAnsi="仿宋" w:eastAsia="仿宋" w:cs="仿宋"/>
          <w:sz w:val="32"/>
          <w:szCs w:val="32"/>
          <w:lang w:eastAsia="zh-CN"/>
        </w:rPr>
        <w:t>本年度</w:t>
      </w:r>
      <w:r>
        <w:rPr>
          <w:rFonts w:hint="eastAsia" w:ascii="仿宋" w:hAnsi="仿宋" w:eastAsia="仿宋" w:cs="仿宋"/>
          <w:sz w:val="32"/>
          <w:szCs w:val="32"/>
        </w:rPr>
        <w:t>执行进度100%。</w:t>
      </w:r>
    </w:p>
    <w:p w14:paraId="707ACF0C">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本年度预算完成数</w:t>
      </w:r>
      <w:r>
        <w:rPr>
          <w:rFonts w:hint="eastAsia" w:ascii="仿宋" w:hAnsi="仿宋" w:eastAsia="仿宋" w:cs="仿宋"/>
          <w:sz w:val="32"/>
          <w:szCs w:val="32"/>
          <w:lang w:val="en-US" w:eastAsia="zh-CN"/>
        </w:rPr>
        <w:t>26737.81</w:t>
      </w:r>
      <w:r>
        <w:rPr>
          <w:rFonts w:hint="eastAsia" w:ascii="仿宋" w:hAnsi="仿宋" w:eastAsia="仿宋" w:cs="仿宋"/>
          <w:sz w:val="32"/>
          <w:szCs w:val="32"/>
        </w:rPr>
        <w:t>万元，预算调整数</w:t>
      </w:r>
      <w:r>
        <w:rPr>
          <w:rFonts w:hint="eastAsia" w:ascii="仿宋" w:hAnsi="仿宋" w:eastAsia="仿宋" w:cs="仿宋"/>
          <w:sz w:val="32"/>
          <w:szCs w:val="32"/>
          <w:lang w:val="en-US" w:eastAsia="zh-CN"/>
        </w:rPr>
        <w:t>26737.81</w:t>
      </w:r>
      <w:r>
        <w:rPr>
          <w:rFonts w:hint="eastAsia" w:ascii="仿宋" w:hAnsi="仿宋" w:eastAsia="仿宋" w:cs="仿宋"/>
          <w:sz w:val="32"/>
          <w:szCs w:val="32"/>
        </w:rPr>
        <w:t>万元，预算</w:t>
      </w:r>
      <w:r>
        <w:rPr>
          <w:rFonts w:hint="eastAsia" w:ascii="仿宋" w:hAnsi="仿宋" w:eastAsia="仿宋" w:cs="仿宋"/>
          <w:sz w:val="32"/>
          <w:szCs w:val="32"/>
          <w:lang w:eastAsia="zh-CN"/>
        </w:rPr>
        <w:t>执行</w:t>
      </w:r>
      <w:r>
        <w:rPr>
          <w:rFonts w:hint="eastAsia" w:ascii="仿宋" w:hAnsi="仿宋" w:eastAsia="仿宋" w:cs="仿宋"/>
          <w:sz w:val="32"/>
          <w:szCs w:val="32"/>
        </w:rPr>
        <w:t>率为</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14:paraId="3E103E03">
      <w:pPr>
        <w:keepNext w:val="0"/>
        <w:keepLines w:val="0"/>
        <w:pageBreakBefore w:val="0"/>
        <w:widowControl/>
        <w:shd w:val="clear" w:color="auto" w:fill="FFFFFF"/>
        <w:kinsoku/>
        <w:wordWrap/>
        <w:overflowPunct/>
        <w:topLinePunct w:val="0"/>
        <w:autoSpaceDE/>
        <w:autoSpaceDN/>
        <w:bidi w:val="0"/>
        <w:spacing w:before="125" w:after="125" w:line="52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、成本控制情况，本年度实际支出的公用经费总额</w:t>
      </w:r>
      <w:r>
        <w:rPr>
          <w:rFonts w:hint="eastAsia" w:ascii="仿宋" w:hAnsi="仿宋" w:eastAsia="仿宋" w:cs="仿宋"/>
          <w:spacing w:val="-11"/>
          <w:sz w:val="32"/>
          <w:szCs w:val="32"/>
          <w:lang w:val="en-US" w:eastAsia="zh-CN"/>
        </w:rPr>
        <w:t>13.26</w:t>
      </w:r>
      <w:r>
        <w:rPr>
          <w:rFonts w:hint="eastAsia" w:ascii="仿宋" w:hAnsi="仿宋" w:eastAsia="仿宋" w:cs="仿宋"/>
          <w:spacing w:val="-11"/>
          <w:sz w:val="32"/>
          <w:szCs w:val="32"/>
        </w:rPr>
        <w:t>万元，预算调整数安排的公用经费总额</w:t>
      </w:r>
      <w:r>
        <w:rPr>
          <w:rFonts w:hint="eastAsia" w:ascii="仿宋" w:hAnsi="仿宋" w:eastAsia="仿宋" w:cs="仿宋"/>
          <w:spacing w:val="-11"/>
          <w:sz w:val="32"/>
          <w:szCs w:val="32"/>
          <w:lang w:val="en-US" w:eastAsia="zh-CN"/>
        </w:rPr>
        <w:t>16.5</w:t>
      </w:r>
      <w:r>
        <w:rPr>
          <w:rFonts w:hint="eastAsia" w:ascii="仿宋" w:hAnsi="仿宋" w:eastAsia="仿宋" w:cs="仿宋"/>
          <w:spacing w:val="-11"/>
          <w:sz w:val="32"/>
          <w:szCs w:val="32"/>
        </w:rPr>
        <w:t>万元，公用经费控制率为</w:t>
      </w:r>
      <w:r>
        <w:rPr>
          <w:rFonts w:hint="eastAsia" w:ascii="仿宋" w:hAnsi="仿宋" w:eastAsia="仿宋" w:cs="仿宋"/>
          <w:spacing w:val="-11"/>
          <w:sz w:val="32"/>
          <w:szCs w:val="32"/>
          <w:lang w:val="en-US" w:eastAsia="zh-CN"/>
        </w:rPr>
        <w:t>100</w:t>
      </w:r>
      <w:r>
        <w:rPr>
          <w:rFonts w:hint="eastAsia" w:ascii="仿宋" w:hAnsi="仿宋" w:eastAsia="仿宋" w:cs="仿宋"/>
          <w:spacing w:val="-11"/>
          <w:sz w:val="32"/>
          <w:szCs w:val="32"/>
        </w:rPr>
        <w:t>%。</w:t>
      </w:r>
    </w:p>
    <w:p w14:paraId="41E5DC7A">
      <w:pPr>
        <w:keepNext w:val="0"/>
        <w:keepLines w:val="0"/>
        <w:pageBreakBefore w:val="0"/>
        <w:kinsoku/>
        <w:wordWrap/>
        <w:overflowPunct/>
        <w:topLinePunct w:val="0"/>
        <w:autoSpaceDE/>
        <w:autoSpaceDN/>
        <w:bidi w:val="0"/>
        <w:adjustRightInd w:val="0"/>
        <w:snapToGrid w:val="0"/>
        <w:spacing w:line="520" w:lineRule="exact"/>
        <w:ind w:firstLine="572" w:firstLineChars="200"/>
        <w:textAlignment w:val="auto"/>
        <w:rPr>
          <w:rFonts w:hint="eastAsia" w:ascii="仿宋" w:hAnsi="仿宋" w:eastAsia="仿宋" w:cs="仿宋"/>
          <w:spacing w:val="-17"/>
          <w:sz w:val="32"/>
          <w:szCs w:val="32"/>
          <w:lang w:val="en-US" w:eastAsia="zh-CN"/>
        </w:rPr>
      </w:pPr>
      <w:r>
        <w:rPr>
          <w:rFonts w:hint="eastAsia" w:ascii="仿宋" w:hAnsi="仿宋" w:eastAsia="仿宋" w:cs="仿宋"/>
          <w:spacing w:val="-17"/>
          <w:sz w:val="32"/>
          <w:szCs w:val="32"/>
          <w:lang w:val="en-US" w:eastAsia="zh-CN"/>
        </w:rPr>
        <w:t>3</w:t>
      </w:r>
      <w:r>
        <w:rPr>
          <w:rFonts w:hint="eastAsia" w:ascii="仿宋" w:hAnsi="仿宋" w:eastAsia="仿宋" w:cs="仿宋"/>
          <w:spacing w:val="-17"/>
          <w:sz w:val="32"/>
          <w:szCs w:val="32"/>
        </w:rPr>
        <w:t>、</w:t>
      </w:r>
      <w:r>
        <w:rPr>
          <w:rFonts w:hint="eastAsia" w:ascii="仿宋" w:hAnsi="仿宋" w:eastAsia="仿宋" w:cs="仿宋"/>
          <w:spacing w:val="-17"/>
          <w:kern w:val="0"/>
          <w:sz w:val="32"/>
          <w:szCs w:val="32"/>
        </w:rPr>
        <w:t>项目完成进度情况</w:t>
      </w:r>
      <w:r>
        <w:rPr>
          <w:rFonts w:hint="eastAsia" w:ascii="仿宋" w:hAnsi="仿宋" w:eastAsia="仿宋" w:cs="仿宋"/>
          <w:spacing w:val="-17"/>
          <w:kern w:val="0"/>
          <w:sz w:val="32"/>
          <w:szCs w:val="32"/>
          <w:lang w:eastAsia="zh-CN"/>
        </w:rPr>
        <w:t>，本年度项目工作按期、有序进行，完成进度</w:t>
      </w:r>
      <w:r>
        <w:rPr>
          <w:rFonts w:hint="eastAsia" w:ascii="仿宋" w:hAnsi="仿宋" w:eastAsia="仿宋" w:cs="仿宋"/>
          <w:spacing w:val="-17"/>
          <w:kern w:val="0"/>
          <w:sz w:val="32"/>
          <w:szCs w:val="32"/>
          <w:lang w:val="en-US" w:eastAsia="zh-CN"/>
        </w:rPr>
        <w:t>100%。</w:t>
      </w:r>
    </w:p>
    <w:p w14:paraId="7E29D785">
      <w:pPr>
        <w:keepNext w:val="0"/>
        <w:keepLines w:val="0"/>
        <w:pageBreakBefore w:val="0"/>
        <w:numPr>
          <w:ilvl w:val="0"/>
          <w:numId w:val="0"/>
        </w:numPr>
        <w:kinsoku/>
        <w:wordWrap/>
        <w:overflowPunct/>
        <w:topLinePunct w:val="0"/>
        <w:autoSpaceDE/>
        <w:autoSpaceDN/>
        <w:bidi w:val="0"/>
        <w:adjustRightInd w:val="0"/>
        <w:snapToGrid w:val="0"/>
        <w:spacing w:line="520" w:lineRule="exact"/>
        <w:ind w:firstLine="643" w:firstLineChars="200"/>
        <w:rPr>
          <w:rFonts w:hint="eastAsia" w:ascii="仿宋_GB2312" w:hAnsi="仿宋_GB2312" w:eastAsia="仿宋_GB2312" w:cs="仿宋_GB2312"/>
          <w:b/>
          <w:bCs/>
          <w:sz w:val="32"/>
          <w:szCs w:val="32"/>
          <w:lang w:eastAsia="zh-CN"/>
        </w:rPr>
      </w:pPr>
    </w:p>
    <w:p w14:paraId="054FBEA4">
      <w:pPr>
        <w:keepNext w:val="0"/>
        <w:keepLines w:val="0"/>
        <w:pageBreakBefore w:val="0"/>
        <w:numPr>
          <w:ilvl w:val="0"/>
          <w:numId w:val="0"/>
        </w:numPr>
        <w:kinsoku/>
        <w:wordWrap/>
        <w:overflowPunct/>
        <w:topLinePunct w:val="0"/>
        <w:autoSpaceDE/>
        <w:autoSpaceDN/>
        <w:bidi w:val="0"/>
        <w:adjustRightInd w:val="0"/>
        <w:snapToGrid w:val="0"/>
        <w:spacing w:line="520" w:lineRule="exact"/>
        <w:ind w:firstLine="643" w:firstLineChars="200"/>
        <w:rPr>
          <w:rFonts w:hint="eastAsia" w:ascii="仿宋_GB2312" w:hAnsi="仿宋_GB2312" w:eastAsia="仿宋_GB2312" w:cs="仿宋_GB2312"/>
          <w:b/>
          <w:bCs/>
          <w:sz w:val="32"/>
          <w:szCs w:val="32"/>
          <w:lang w:eastAsia="zh-CN"/>
        </w:rPr>
      </w:pPr>
    </w:p>
    <w:p w14:paraId="0B8F873F">
      <w:pPr>
        <w:keepNext w:val="0"/>
        <w:keepLines w:val="0"/>
        <w:pageBreakBefore w:val="0"/>
        <w:numPr>
          <w:ilvl w:val="0"/>
          <w:numId w:val="0"/>
        </w:numPr>
        <w:kinsoku/>
        <w:wordWrap/>
        <w:overflowPunct/>
        <w:topLinePunct w:val="0"/>
        <w:autoSpaceDE/>
        <w:autoSpaceDN/>
        <w:bidi w:val="0"/>
        <w:adjustRightInd w:val="0"/>
        <w:snapToGrid w:val="0"/>
        <w:spacing w:line="52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支出绩效情况分析，包括基本支出和项目支出的运行效果情况等。</w:t>
      </w:r>
    </w:p>
    <w:p w14:paraId="1537A6D5">
      <w:pPr>
        <w:keepNext w:val="0"/>
        <w:keepLines w:val="0"/>
        <w:pageBreakBefore w:val="0"/>
        <w:numPr>
          <w:ilvl w:val="0"/>
          <w:numId w:val="0"/>
        </w:numPr>
        <w:kinsoku/>
        <w:wordWrap/>
        <w:overflowPunct/>
        <w:topLinePunct w:val="0"/>
        <w:autoSpaceDE/>
        <w:autoSpaceDN/>
        <w:bidi w:val="0"/>
        <w:adjustRightInd w:val="0"/>
        <w:snapToGrid w:val="0"/>
        <w:spacing w:line="520" w:lineRule="exact"/>
        <w:ind w:leftChars="20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基本支出的运行效果情况</w:t>
      </w:r>
    </w:p>
    <w:p w14:paraId="4433F727">
      <w:pPr>
        <w:keepNext w:val="0"/>
        <w:keepLines w:val="0"/>
        <w:pageBreakBefore w:val="0"/>
        <w:kinsoku/>
        <w:wordWrap/>
        <w:overflowPunct/>
        <w:topLinePunct w:val="0"/>
        <w:autoSpaceDE/>
        <w:autoSpaceDN/>
        <w:bidi w:val="0"/>
        <w:spacing w:line="520" w:lineRule="exact"/>
        <w:ind w:firstLine="596" w:firstLineChars="200"/>
        <w:rPr>
          <w:rFonts w:hint="eastAsia" w:ascii="仿宋" w:hAnsi="仿宋" w:eastAsia="仿宋" w:cs="仿宋"/>
          <w:spacing w:val="-11"/>
          <w:sz w:val="32"/>
          <w:szCs w:val="32"/>
          <w:lang w:eastAsia="zh-CN"/>
        </w:rPr>
      </w:pPr>
      <w:r>
        <w:rPr>
          <w:rFonts w:hint="eastAsia" w:ascii="仿宋" w:hAnsi="仿宋" w:eastAsia="仿宋" w:cs="仿宋"/>
          <w:spacing w:val="-11"/>
          <w:sz w:val="32"/>
          <w:szCs w:val="32"/>
        </w:rPr>
        <w:t>行政运转保障。202</w:t>
      </w:r>
      <w:r>
        <w:rPr>
          <w:rFonts w:hint="eastAsia" w:ascii="仿宋" w:hAnsi="仿宋" w:eastAsia="仿宋" w:cs="仿宋"/>
          <w:spacing w:val="-11"/>
          <w:sz w:val="32"/>
          <w:szCs w:val="32"/>
          <w:lang w:val="en-US" w:eastAsia="zh-CN"/>
        </w:rPr>
        <w:t>4</w:t>
      </w:r>
      <w:r>
        <w:rPr>
          <w:rFonts w:hint="eastAsia" w:ascii="仿宋" w:hAnsi="仿宋" w:eastAsia="仿宋" w:cs="仿宋"/>
          <w:spacing w:val="-11"/>
          <w:sz w:val="32"/>
          <w:szCs w:val="32"/>
        </w:rPr>
        <w:t>年度，本部门基本支出运行经费支出</w:t>
      </w:r>
      <w:r>
        <w:rPr>
          <w:rFonts w:hint="eastAsia" w:ascii="仿宋" w:hAnsi="仿宋" w:eastAsia="仿宋" w:cs="仿宋"/>
          <w:spacing w:val="-11"/>
          <w:sz w:val="32"/>
          <w:szCs w:val="32"/>
          <w:lang w:val="en-US" w:eastAsia="zh-CN"/>
        </w:rPr>
        <w:t>2045.37万元</w:t>
      </w:r>
      <w:r>
        <w:rPr>
          <w:rFonts w:hint="eastAsia" w:ascii="仿宋" w:hAnsi="仿宋" w:eastAsia="仿宋" w:cs="仿宋"/>
          <w:spacing w:val="-11"/>
          <w:sz w:val="32"/>
          <w:szCs w:val="32"/>
        </w:rPr>
        <w:t>，比</w:t>
      </w:r>
      <w:r>
        <w:rPr>
          <w:rFonts w:hint="eastAsia" w:ascii="仿宋" w:hAnsi="仿宋" w:eastAsia="仿宋" w:cs="仿宋"/>
          <w:spacing w:val="-11"/>
          <w:sz w:val="32"/>
          <w:szCs w:val="32"/>
          <w:lang w:eastAsia="zh-CN"/>
        </w:rPr>
        <w:t>上</w:t>
      </w:r>
      <w:r>
        <w:rPr>
          <w:rFonts w:hint="eastAsia" w:ascii="仿宋" w:hAnsi="仿宋" w:eastAsia="仿宋" w:cs="仿宋"/>
          <w:spacing w:val="-11"/>
          <w:sz w:val="32"/>
          <w:szCs w:val="32"/>
        </w:rPr>
        <w:t>年</w:t>
      </w:r>
      <w:r>
        <w:rPr>
          <w:rFonts w:hint="eastAsia" w:ascii="仿宋" w:hAnsi="仿宋" w:eastAsia="仿宋" w:cs="仿宋"/>
          <w:spacing w:val="-11"/>
          <w:sz w:val="32"/>
          <w:szCs w:val="32"/>
          <w:lang w:eastAsia="zh-CN"/>
        </w:rPr>
        <w:t>减少</w:t>
      </w:r>
      <w:r>
        <w:rPr>
          <w:rFonts w:hint="eastAsia" w:ascii="仿宋" w:hAnsi="仿宋" w:eastAsia="仿宋" w:cs="仿宋"/>
          <w:spacing w:val="-11"/>
          <w:sz w:val="32"/>
          <w:szCs w:val="32"/>
          <w:lang w:val="en-US" w:eastAsia="zh-CN"/>
        </w:rPr>
        <w:t>934.16</w:t>
      </w:r>
      <w:r>
        <w:rPr>
          <w:rFonts w:hint="eastAsia" w:ascii="仿宋" w:hAnsi="仿宋" w:eastAsia="仿宋" w:cs="仿宋"/>
          <w:spacing w:val="-11"/>
          <w:sz w:val="32"/>
          <w:szCs w:val="32"/>
        </w:rPr>
        <w:t>万元</w:t>
      </w:r>
      <w:r>
        <w:rPr>
          <w:rFonts w:hint="eastAsia" w:ascii="仿宋" w:hAnsi="仿宋" w:eastAsia="仿宋" w:cs="仿宋"/>
          <w:spacing w:val="-11"/>
          <w:sz w:val="32"/>
          <w:szCs w:val="32"/>
          <w:lang w:eastAsia="zh-CN"/>
        </w:rPr>
        <w:t>，减少</w:t>
      </w:r>
      <w:r>
        <w:rPr>
          <w:rFonts w:hint="eastAsia" w:ascii="仿宋" w:hAnsi="仿宋" w:eastAsia="仿宋" w:cs="仿宋"/>
          <w:spacing w:val="-11"/>
          <w:sz w:val="32"/>
          <w:szCs w:val="32"/>
          <w:lang w:val="en-US" w:eastAsia="zh-CN"/>
        </w:rPr>
        <w:t>31.35</w:t>
      </w:r>
      <w:r>
        <w:rPr>
          <w:rFonts w:hint="eastAsia" w:ascii="仿宋" w:hAnsi="仿宋" w:eastAsia="仿宋" w:cs="仿宋"/>
          <w:spacing w:val="-11"/>
          <w:sz w:val="32"/>
          <w:szCs w:val="32"/>
        </w:rPr>
        <w:t>%</w:t>
      </w:r>
      <w:r>
        <w:rPr>
          <w:rFonts w:hint="eastAsia" w:ascii="仿宋" w:hAnsi="仿宋" w:eastAsia="仿宋" w:cs="仿宋"/>
          <w:spacing w:val="-11"/>
          <w:sz w:val="32"/>
          <w:szCs w:val="32"/>
          <w:lang w:eastAsia="zh-CN"/>
        </w:rPr>
        <w:t>，主要是励行节约，公用经费支出减少。</w:t>
      </w:r>
    </w:p>
    <w:p w14:paraId="6767F76A">
      <w:pPr>
        <w:keepNext w:val="0"/>
        <w:keepLines w:val="0"/>
        <w:pageBreakBefore w:val="0"/>
        <w:kinsoku/>
        <w:wordWrap/>
        <w:overflowPunct/>
        <w:topLinePunct w:val="0"/>
        <w:autoSpaceDE/>
        <w:autoSpaceDN/>
        <w:bidi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财政拨款支出主要用于保障本部门机构正常运转、完成日常工作任务以及承担本部门事业发展相关工作。</w:t>
      </w:r>
    </w:p>
    <w:p w14:paraId="7DDACD42">
      <w:pPr>
        <w:keepNext w:val="0"/>
        <w:keepLines w:val="0"/>
        <w:pageBreakBefore w:val="0"/>
        <w:kinsoku/>
        <w:wordWrap/>
        <w:overflowPunct/>
        <w:topLinePunct w:val="0"/>
        <w:autoSpaceDE/>
        <w:autoSpaceDN/>
        <w:bidi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基本支出，是用于保障行政机关、事业单位等机构正常运转的日常支出，包括基本工资、津贴补贴等人员经费以及办公费、印刷费、水电费、委托业务费等日常公用经费。</w:t>
      </w:r>
    </w:p>
    <w:p w14:paraId="4F711C8D">
      <w:pPr>
        <w:keepNext w:val="0"/>
        <w:keepLines w:val="0"/>
        <w:pageBreakBefore w:val="0"/>
        <w:numPr>
          <w:ilvl w:val="0"/>
          <w:numId w:val="6"/>
        </w:numPr>
        <w:kinsoku/>
        <w:wordWrap/>
        <w:overflowPunct/>
        <w:topLinePunct w:val="0"/>
        <w:autoSpaceDE/>
        <w:autoSpaceDN/>
        <w:bidi w:val="0"/>
        <w:adjustRightInd w:val="0"/>
        <w:snapToGrid w:val="0"/>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项目支出的运行效果情况</w:t>
      </w:r>
      <w:r>
        <w:rPr>
          <w:rFonts w:hint="eastAsia" w:ascii="仿宋" w:hAnsi="仿宋" w:eastAsia="仿宋" w:cs="仿宋"/>
          <w:sz w:val="32"/>
          <w:szCs w:val="32"/>
          <w:lang w:val="en-US" w:eastAsia="zh-CN"/>
        </w:rPr>
        <w:t xml:space="preserve">  </w:t>
      </w:r>
    </w:p>
    <w:p w14:paraId="490611AC">
      <w:pPr>
        <w:pStyle w:val="15"/>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kern w:val="2"/>
          <w:sz w:val="32"/>
          <w:szCs w:val="32"/>
          <w:lang w:val="en-US" w:eastAsia="zh-CN" w:bidi="ar-SA"/>
        </w:rPr>
        <w:t>严守财经制度，做到专款专用，确保依法依规操作。按照项目相关方责任划分，签订并完善了项目实施协议书，明确了项目管理主体、监督主体以及项目建设内容、建设规模、资金使用方向、利益联结机制和违约责任机制，确保项目高效有序运行和资金安全有效使用。</w:t>
      </w:r>
    </w:p>
    <w:p w14:paraId="438AAADA">
      <w:pPr>
        <w:keepNext w:val="0"/>
        <w:keepLines w:val="0"/>
        <w:pageBreakBefore w:val="0"/>
        <w:numPr>
          <w:ilvl w:val="0"/>
          <w:numId w:val="0"/>
        </w:numPr>
        <w:kinsoku/>
        <w:wordWrap/>
        <w:overflowPunct/>
        <w:topLinePunct w:val="0"/>
        <w:autoSpaceDE/>
        <w:autoSpaceDN/>
        <w:bidi w:val="0"/>
        <w:ind w:firstLine="420" w:firstLineChars="200"/>
        <w:rPr>
          <w:rFonts w:hint="eastAsia" w:ascii="仿宋" w:hAnsi="仿宋" w:eastAsia="仿宋" w:cs="仿宋"/>
          <w:lang w:val="en-US" w:eastAsia="zh-CN"/>
        </w:rPr>
      </w:pPr>
    </w:p>
    <w:p w14:paraId="6804A244">
      <w:pPr>
        <w:keepNext w:val="0"/>
        <w:keepLines w:val="0"/>
        <w:pageBreakBefore w:val="0"/>
        <w:kinsoku/>
        <w:wordWrap/>
        <w:overflowPunct/>
        <w:topLinePunct w:val="0"/>
        <w:autoSpaceDE/>
        <w:autoSpaceDN/>
        <w:bidi w:val="0"/>
        <w:ind w:firstLine="640" w:firstLineChars="200"/>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严格按照财政资金管理要求，统筹合理使用和管理资金，按照实际需要先制定方案再按方案使用资金。资金的拨付有完整的审批程序和手续，资金使用无截流、挤占、挪用、虚列支出等情况。</w:t>
      </w:r>
    </w:p>
    <w:p w14:paraId="2AC657A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default" w:ascii="仿宋_GB2312" w:eastAsia="仿宋_GB2312" w:cs="仿宋_GB2312"/>
          <w:i w:val="0"/>
          <w:iCs w:val="0"/>
          <w:caps w:val="0"/>
          <w:color w:val="000000"/>
          <w:spacing w:val="0"/>
          <w:sz w:val="32"/>
          <w:szCs w:val="32"/>
          <w:shd w:val="clear" w:fill="FFFFFF"/>
        </w:rPr>
      </w:pPr>
    </w:p>
    <w:p w14:paraId="3C99AC7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shd w:val="clear" w:fill="FFFFFF"/>
        </w:rPr>
      </w:pPr>
    </w:p>
    <w:p w14:paraId="2383F9C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rPr>
        <w:t>七、存在的问题及原因分析</w:t>
      </w:r>
    </w:p>
    <w:p w14:paraId="592E41F4">
      <w:pPr>
        <w:pStyle w:val="8"/>
        <w:keepNext w:val="0"/>
        <w:keepLines w:val="0"/>
        <w:pageBreakBefore w:val="0"/>
        <w:widowControl/>
        <w:numPr>
          <w:ilvl w:val="0"/>
          <w:numId w:val="0"/>
        </w:numPr>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 w:hAnsi="仿宋" w:eastAsia="仿宋" w:cs="仿宋"/>
          <w:kern w:val="2"/>
          <w:sz w:val="32"/>
          <w:szCs w:val="32"/>
          <w:u w:val="none"/>
        </w:rPr>
      </w:pPr>
      <w:r>
        <w:rPr>
          <w:rFonts w:hint="eastAsia" w:ascii="仿宋" w:hAnsi="仿宋" w:eastAsia="仿宋" w:cs="仿宋"/>
          <w:kern w:val="2"/>
          <w:sz w:val="32"/>
          <w:szCs w:val="32"/>
          <w:u w:val="none"/>
        </w:rPr>
        <w:t>1、绩效评价管理制度尚不健全。办公室还尚未制定相关的管理办法和实施细则，无与实际相结合并具有指导意义的绩效管理工作机制和流程，绩效评价开展缺乏强有力的制度保障。</w:t>
      </w:r>
    </w:p>
    <w:p w14:paraId="407EC262">
      <w:pPr>
        <w:pStyle w:val="8"/>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16" w:firstLineChars="200"/>
        <w:jc w:val="both"/>
        <w:rPr>
          <w:rFonts w:hint="eastAsia" w:ascii="仿宋" w:hAnsi="仿宋" w:eastAsia="仿宋" w:cs="仿宋"/>
          <w:spacing w:val="-6"/>
          <w:kern w:val="2"/>
          <w:sz w:val="32"/>
          <w:szCs w:val="32"/>
          <w:u w:val="none"/>
        </w:rPr>
      </w:pPr>
      <w:r>
        <w:rPr>
          <w:rFonts w:hint="eastAsia" w:ascii="仿宋" w:hAnsi="仿宋" w:eastAsia="仿宋" w:cs="仿宋"/>
          <w:spacing w:val="-6"/>
          <w:kern w:val="2"/>
          <w:sz w:val="32"/>
          <w:szCs w:val="32"/>
          <w:u w:val="none"/>
        </w:rPr>
        <w:t>2、绩效评价指标体系还不够完善、合理。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p>
    <w:p w14:paraId="53B89806">
      <w:pPr>
        <w:pStyle w:val="8"/>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 w:hAnsi="仿宋" w:eastAsia="仿宋" w:cs="仿宋"/>
          <w:kern w:val="2"/>
          <w:sz w:val="32"/>
          <w:szCs w:val="32"/>
          <w:u w:val="none"/>
        </w:rPr>
      </w:pPr>
      <w:r>
        <w:rPr>
          <w:rFonts w:hint="eastAsia" w:ascii="仿宋" w:hAnsi="仿宋" w:eastAsia="仿宋" w:cs="仿宋"/>
          <w:kern w:val="2"/>
          <w:sz w:val="32"/>
          <w:szCs w:val="32"/>
          <w:u w:val="none"/>
        </w:rPr>
        <w:t>3、对绩效评价工作的认识不够。单位对财务绩效不重视，认为绩效评价只是财务部门的事情，相关项目职责部门配合不够，往往只能提供有限的财经资料或简单的工作计划、工作总结，绩效评价工作资料非常有限，内容粗浅。大多数时候只能借用工作计划，工作总结等做为绩效自评报告的主要内容。</w:t>
      </w:r>
    </w:p>
    <w:p w14:paraId="3B31DC0E">
      <w:pPr>
        <w:pStyle w:val="8"/>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 w:hAnsi="仿宋" w:eastAsia="仿宋" w:cs="仿宋"/>
          <w:kern w:val="2"/>
          <w:sz w:val="32"/>
          <w:szCs w:val="32"/>
          <w:u w:val="none"/>
        </w:rPr>
      </w:pPr>
      <w:r>
        <w:rPr>
          <w:rFonts w:hint="eastAsia" w:ascii="仿宋" w:hAnsi="仿宋" w:eastAsia="仿宋" w:cs="仿宋"/>
          <w:kern w:val="2"/>
          <w:sz w:val="32"/>
          <w:szCs w:val="32"/>
          <w:u w:val="none"/>
        </w:rPr>
        <w:t>4、人员素质有待进一步提高。由于预算绩效管理工作开展时间短，涉及面广，专业性强，加上缺乏系统的培训，单位对预算绩效管理理解不充分，对预算绩效管理业务不精通，在一定程度上影响了绩效评价工作质量。</w:t>
      </w:r>
    </w:p>
    <w:p w14:paraId="17998AA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jc w:val="left"/>
        <w:textAlignment w:val="auto"/>
        <w:rPr>
          <w:rFonts w:hint="eastAsia" w:ascii="仿宋" w:hAnsi="仿宋" w:eastAsia="仿宋" w:cs="仿宋"/>
          <w:i w:val="0"/>
          <w:iCs w:val="0"/>
          <w:caps w:val="0"/>
          <w:color w:val="000000"/>
          <w:spacing w:val="0"/>
          <w:sz w:val="32"/>
          <w:szCs w:val="32"/>
          <w:shd w:val="clear" w:fill="FFFFFF"/>
        </w:rPr>
      </w:pPr>
    </w:p>
    <w:p w14:paraId="36082582">
      <w:pPr>
        <w:pStyle w:val="8"/>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rPr>
        <w:t>下一步改进措施</w:t>
      </w:r>
    </w:p>
    <w:p w14:paraId="609420C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 xml:space="preserve"> </w:t>
      </w:r>
      <w:r>
        <w:rPr>
          <w:rFonts w:hint="eastAsia" w:ascii="仿宋" w:hAnsi="仿宋" w:eastAsia="仿宋" w:cs="仿宋"/>
          <w:b w:val="0"/>
          <w:bCs w:val="0"/>
          <w:i w:val="0"/>
          <w:iCs w:val="0"/>
          <w:caps w:val="0"/>
          <w:color w:val="000000"/>
          <w:spacing w:val="0"/>
          <w:sz w:val="32"/>
          <w:szCs w:val="32"/>
          <w:shd w:val="clear" w:fill="FFFFFF"/>
          <w:lang w:val="en-US" w:eastAsia="zh-CN"/>
        </w:rPr>
        <w:t xml:space="preserve"> 认真积极对待绩效评价工作，尽力完善工作中的不足。</w:t>
      </w:r>
    </w:p>
    <w:p w14:paraId="106A32B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rPr>
        <w:t>九、其他需要说明的情况</w:t>
      </w:r>
    </w:p>
    <w:p w14:paraId="547743B2">
      <w:pPr>
        <w:pStyle w:val="8"/>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 w:hAnsi="仿宋" w:eastAsia="仿宋" w:cs="仿宋"/>
          <w:kern w:val="2"/>
          <w:sz w:val="32"/>
          <w:szCs w:val="32"/>
          <w:u w:val="none"/>
          <w:lang w:val="en-US" w:eastAsia="zh-CN"/>
        </w:rPr>
      </w:pPr>
      <w:r>
        <w:rPr>
          <w:rFonts w:hint="eastAsia" w:ascii="仿宋" w:hAnsi="仿宋" w:eastAsia="仿宋" w:cs="仿宋"/>
          <w:color w:val="auto"/>
          <w:sz w:val="32"/>
          <w:szCs w:val="32"/>
          <w:lang w:val="en-US" w:eastAsia="zh-CN"/>
        </w:rPr>
        <w:t>由于本级财政相对困难，对各类项目建设资金的支付不够到位，历史欠账较多，在一定程度上影响了工作质效。</w:t>
      </w:r>
    </w:p>
    <w:p w14:paraId="79BF833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480" w:firstLineChars="200"/>
        <w:jc w:val="left"/>
        <w:textAlignment w:val="auto"/>
        <w:rPr>
          <w:rFonts w:hint="eastAsia" w:ascii="仿宋" w:hAnsi="仿宋" w:eastAsia="仿宋" w:cs="仿宋"/>
          <w:i w:val="0"/>
          <w:iCs w:val="0"/>
          <w:caps w:val="0"/>
          <w:color w:val="000000"/>
          <w:spacing w:val="0"/>
          <w:sz w:val="24"/>
          <w:szCs w:val="24"/>
          <w:lang w:eastAsia="zh-CN"/>
        </w:rPr>
      </w:pPr>
    </w:p>
    <w:p w14:paraId="3CD5420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jc w:val="left"/>
        <w:textAlignment w:val="auto"/>
        <w:rPr>
          <w:rFonts w:hint="default" w:ascii="仿宋_GB2312" w:eastAsia="仿宋_GB2312" w:cs="仿宋_GB2312"/>
          <w:i w:val="0"/>
          <w:iCs w:val="0"/>
          <w:caps w:val="0"/>
          <w:color w:val="000000"/>
          <w:spacing w:val="0"/>
          <w:sz w:val="32"/>
          <w:szCs w:val="32"/>
          <w:shd w:val="clear" w:fill="FFFFFF"/>
        </w:rPr>
      </w:pPr>
      <w:r>
        <w:rPr>
          <w:rFonts w:hint="default" w:ascii="仿宋_GB2312" w:eastAsia="仿宋_GB2312" w:cs="仿宋_GB2312"/>
          <w:i w:val="0"/>
          <w:iCs w:val="0"/>
          <w:caps w:val="0"/>
          <w:color w:val="000000"/>
          <w:spacing w:val="0"/>
          <w:sz w:val="32"/>
          <w:szCs w:val="32"/>
          <w:shd w:val="clear" w:fill="FFFFFF"/>
        </w:rPr>
        <w:t>报告应包括以下附件：</w:t>
      </w:r>
    </w:p>
    <w:p w14:paraId="66A5D3F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jc w:val="left"/>
        <w:textAlignment w:val="auto"/>
        <w:rPr>
          <w:rFonts w:hint="default" w:ascii="仿宋_GB2312" w:eastAsia="仿宋_GB2312" w:cs="仿宋_GB2312"/>
          <w:i w:val="0"/>
          <w:iCs w:val="0"/>
          <w:caps w:val="0"/>
          <w:color w:val="000000"/>
          <w:spacing w:val="0"/>
          <w:sz w:val="32"/>
          <w:szCs w:val="32"/>
          <w:shd w:val="clear" w:fill="FFFFFF"/>
        </w:rPr>
      </w:pPr>
      <w:r>
        <w:rPr>
          <w:rFonts w:hint="eastAsia" w:ascii="仿宋_GB2312" w:eastAsia="仿宋_GB2312" w:cs="仿宋_GB2312"/>
          <w:i w:val="0"/>
          <w:iCs w:val="0"/>
          <w:caps w:val="0"/>
          <w:color w:val="000000"/>
          <w:spacing w:val="0"/>
          <w:sz w:val="32"/>
          <w:szCs w:val="32"/>
          <w:shd w:val="clear" w:fill="FFFFFF"/>
          <w:lang w:val="en-US" w:eastAsia="zh-CN"/>
        </w:rPr>
        <w:t>1.</w:t>
      </w:r>
      <w:r>
        <w:rPr>
          <w:rFonts w:hint="default" w:ascii="仿宋_GB2312" w:eastAsia="仿宋_GB2312" w:cs="仿宋_GB2312"/>
          <w:i w:val="0"/>
          <w:iCs w:val="0"/>
          <w:caps w:val="0"/>
          <w:color w:val="000000"/>
          <w:spacing w:val="0"/>
          <w:sz w:val="32"/>
          <w:szCs w:val="32"/>
          <w:shd w:val="clear" w:fill="FFFFFF"/>
        </w:rPr>
        <w:t>部门整体支出绩效评价基础数据表</w:t>
      </w:r>
      <w:r>
        <w:rPr>
          <w:rFonts w:hint="eastAsia" w:ascii="仿宋_GB2312" w:eastAsia="仿宋_GB2312" w:cs="仿宋_GB2312"/>
          <w:i w:val="0"/>
          <w:iCs w:val="0"/>
          <w:caps w:val="0"/>
          <w:color w:val="000000"/>
          <w:spacing w:val="0"/>
          <w:sz w:val="32"/>
          <w:szCs w:val="32"/>
          <w:shd w:val="clear" w:fill="FFFFFF"/>
          <w:lang w:val="en-US" w:eastAsia="zh-CN"/>
        </w:rPr>
        <w:t xml:space="preserve">  </w:t>
      </w:r>
    </w:p>
    <w:p w14:paraId="27B791A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jc w:val="left"/>
        <w:textAlignment w:val="auto"/>
        <w:rPr>
          <w:rFonts w:hint="default" w:ascii="仿宋_GB2312" w:eastAsia="仿宋_GB2312" w:cs="仿宋_GB2312"/>
          <w:i w:val="0"/>
          <w:iCs w:val="0"/>
          <w:caps w:val="0"/>
          <w:color w:val="000000"/>
          <w:spacing w:val="0"/>
          <w:sz w:val="32"/>
          <w:szCs w:val="32"/>
          <w:shd w:val="clear" w:fill="FFFFFF"/>
        </w:rPr>
      </w:pPr>
      <w:r>
        <w:rPr>
          <w:rFonts w:hint="eastAsia" w:ascii="仿宋_GB2312" w:eastAsia="仿宋_GB2312" w:cs="仿宋_GB2312"/>
          <w:i w:val="0"/>
          <w:iCs w:val="0"/>
          <w:caps w:val="0"/>
          <w:color w:val="000000"/>
          <w:spacing w:val="0"/>
          <w:sz w:val="32"/>
          <w:szCs w:val="32"/>
          <w:shd w:val="clear" w:fill="FFFFFF"/>
          <w:lang w:val="en-US" w:eastAsia="zh-CN"/>
        </w:rPr>
        <w:t>2.</w:t>
      </w:r>
      <w:r>
        <w:rPr>
          <w:rFonts w:hint="default" w:ascii="仿宋_GB2312" w:eastAsia="仿宋_GB2312" w:cs="仿宋_GB2312"/>
          <w:i w:val="0"/>
          <w:iCs w:val="0"/>
          <w:caps w:val="0"/>
          <w:color w:val="000000"/>
          <w:spacing w:val="0"/>
          <w:sz w:val="32"/>
          <w:szCs w:val="32"/>
          <w:shd w:val="clear" w:fill="FFFFFF"/>
        </w:rPr>
        <w:t>部门整体支出绩效自评表</w:t>
      </w:r>
    </w:p>
    <w:p w14:paraId="672A0B1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2F9A6E9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341DD8B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0E219C1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3499499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2471C0B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0A462FC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1EB8C60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52EFE02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537DE2F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11A4CB1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480885D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pPr>
    </w:p>
    <w:p w14:paraId="7039390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default" w:ascii="Calibri" w:hAnsi="Calibri" w:cs="Calibri"/>
          <w:i w:val="0"/>
          <w:iCs w:val="0"/>
          <w:caps w:val="0"/>
          <w:color w:val="000000"/>
          <w:spacing w:val="0"/>
          <w:sz w:val="24"/>
          <w:szCs w:val="24"/>
        </w:rPr>
        <w:sectPr>
          <w:footerReference r:id="rId3" w:type="default"/>
          <w:pgSz w:w="11906" w:h="16838"/>
          <w:pgMar w:top="2098" w:right="1800" w:bottom="1984" w:left="1587" w:header="851" w:footer="992" w:gutter="0"/>
          <w:cols w:space="425" w:num="1"/>
          <w:docGrid w:type="lines" w:linePitch="312" w:charSpace="0"/>
        </w:sectPr>
      </w:pPr>
    </w:p>
    <w:p w14:paraId="1688756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r>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t xml:space="preserve">附件1-1 </w:t>
      </w:r>
    </w:p>
    <w:p w14:paraId="6A68B179">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000000"/>
          <w:kern w:val="0"/>
          <w:sz w:val="36"/>
          <w:szCs w:val="36"/>
          <w:lang w:val="en-US" w:eastAsia="zh-CN"/>
        </w:rPr>
      </w:pPr>
      <w:r>
        <w:rPr>
          <w:rFonts w:hint="eastAsia" w:ascii="方正小标宋简体" w:hAnsi="方正小标宋简体" w:eastAsia="方正小标宋简体" w:cs="方正小标宋简体"/>
          <w:color w:val="000000"/>
          <w:kern w:val="0"/>
          <w:sz w:val="36"/>
          <w:szCs w:val="36"/>
          <w:lang w:val="en-US" w:eastAsia="zh-CN"/>
        </w:rPr>
        <w:t>部门整体支出绩效评价基础数据表</w:t>
      </w:r>
    </w:p>
    <w:p w14:paraId="6A913125">
      <w:pPr>
        <w:widowControl/>
        <w:tabs>
          <w:tab w:val="left" w:pos="3611"/>
          <w:tab w:val="left" w:pos="4791"/>
          <w:tab w:val="left" w:pos="5951"/>
          <w:tab w:val="left" w:pos="7071"/>
          <w:tab w:val="left" w:pos="8191"/>
          <w:tab w:val="left" w:pos="9311"/>
        </w:tabs>
        <w:ind w:left="91"/>
        <w:jc w:val="left"/>
        <w:rPr>
          <w:rFonts w:hint="default" w:eastAsia="仿宋_GB2312"/>
          <w:kern w:val="0"/>
          <w:sz w:val="24"/>
          <w:lang w:val="en-US" w:eastAsia="zh-CN"/>
        </w:rPr>
      </w:pPr>
      <w:r>
        <w:rPr>
          <w:rFonts w:hint="eastAsia" w:eastAsia="仿宋_GB2312"/>
          <w:kern w:val="0"/>
          <w:sz w:val="24"/>
          <w:lang w:val="en-US" w:eastAsia="zh-CN"/>
        </w:rPr>
        <w:t xml:space="preserve">填报单位：                                        </w:t>
      </w:r>
    </w:p>
    <w:tbl>
      <w:tblPr>
        <w:tblStyle w:val="10"/>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4"/>
        <w:gridCol w:w="1189"/>
        <w:gridCol w:w="849"/>
        <w:gridCol w:w="1129"/>
        <w:gridCol w:w="1111"/>
        <w:gridCol w:w="969"/>
        <w:gridCol w:w="863"/>
      </w:tblGrid>
      <w:tr w14:paraId="053D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vMerge w:val="restart"/>
            <w:noWrap w:val="0"/>
            <w:vAlign w:val="center"/>
          </w:tcPr>
          <w:p w14:paraId="5A787EBD">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财政供养人员情况</w:t>
            </w:r>
          </w:p>
        </w:tc>
        <w:tc>
          <w:tcPr>
            <w:tcW w:w="2038" w:type="dxa"/>
            <w:gridSpan w:val="2"/>
            <w:noWrap w:val="0"/>
            <w:vAlign w:val="center"/>
          </w:tcPr>
          <w:p w14:paraId="3C396971">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编制数</w:t>
            </w:r>
          </w:p>
        </w:tc>
        <w:tc>
          <w:tcPr>
            <w:tcW w:w="2240" w:type="dxa"/>
            <w:gridSpan w:val="2"/>
            <w:noWrap w:val="0"/>
            <w:vAlign w:val="center"/>
          </w:tcPr>
          <w:p w14:paraId="18BAB836">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年实际在职人数</w:t>
            </w:r>
          </w:p>
        </w:tc>
        <w:tc>
          <w:tcPr>
            <w:tcW w:w="1832" w:type="dxa"/>
            <w:gridSpan w:val="2"/>
            <w:noWrap w:val="0"/>
            <w:vAlign w:val="center"/>
          </w:tcPr>
          <w:p w14:paraId="264A58B9">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控制率</w:t>
            </w:r>
          </w:p>
        </w:tc>
      </w:tr>
      <w:tr w14:paraId="3CB47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354" w:type="dxa"/>
            <w:vMerge w:val="continue"/>
            <w:noWrap w:val="0"/>
            <w:vAlign w:val="center"/>
          </w:tcPr>
          <w:p w14:paraId="2428B38B">
            <w:pPr>
              <w:widowControl/>
              <w:jc w:val="left"/>
              <w:rPr>
                <w:rFonts w:hint="eastAsia" w:ascii="仿宋" w:hAnsi="仿宋" w:eastAsia="仿宋" w:cs="仿宋"/>
                <w:b w:val="0"/>
                <w:bCs w:val="0"/>
                <w:kern w:val="0"/>
                <w:sz w:val="20"/>
                <w:szCs w:val="20"/>
              </w:rPr>
            </w:pPr>
          </w:p>
        </w:tc>
        <w:tc>
          <w:tcPr>
            <w:tcW w:w="2038" w:type="dxa"/>
            <w:gridSpan w:val="2"/>
            <w:noWrap w:val="0"/>
            <w:vAlign w:val="center"/>
          </w:tcPr>
          <w:p w14:paraId="03B0C896">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129</w:t>
            </w:r>
          </w:p>
        </w:tc>
        <w:tc>
          <w:tcPr>
            <w:tcW w:w="2240" w:type="dxa"/>
            <w:gridSpan w:val="2"/>
            <w:noWrap w:val="0"/>
            <w:vAlign w:val="center"/>
          </w:tcPr>
          <w:p w14:paraId="0982D7CF">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137</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DF0B13C">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106.2%</w:t>
            </w:r>
            <w:r>
              <w:rPr>
                <w:rFonts w:hint="eastAsia" w:ascii="仿宋" w:hAnsi="仿宋" w:eastAsia="仿宋" w:cs="仿宋"/>
                <w:b w:val="0"/>
                <w:bCs w:val="0"/>
                <w:kern w:val="0"/>
                <w:sz w:val="20"/>
                <w:szCs w:val="20"/>
                <w:lang w:eastAsia="zh-CN"/>
              </w:rPr>
              <w:t xml:space="preserve"> </w:t>
            </w:r>
          </w:p>
        </w:tc>
      </w:tr>
      <w:tr w14:paraId="7FD89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78BBEB78">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经费控制情况</w:t>
            </w:r>
          </w:p>
        </w:tc>
        <w:tc>
          <w:tcPr>
            <w:tcW w:w="2038" w:type="dxa"/>
            <w:gridSpan w:val="2"/>
            <w:noWrap w:val="0"/>
            <w:vAlign w:val="center"/>
          </w:tcPr>
          <w:p w14:paraId="512AF48A">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23</w:t>
            </w:r>
            <w:r>
              <w:rPr>
                <w:rFonts w:hint="eastAsia" w:ascii="仿宋" w:hAnsi="仿宋" w:eastAsia="仿宋" w:cs="仿宋"/>
                <w:b w:val="0"/>
                <w:bCs w:val="0"/>
                <w:kern w:val="0"/>
                <w:sz w:val="20"/>
                <w:szCs w:val="20"/>
              </w:rPr>
              <w:t>年决算数</w:t>
            </w:r>
          </w:p>
        </w:tc>
        <w:tc>
          <w:tcPr>
            <w:tcW w:w="2240" w:type="dxa"/>
            <w:gridSpan w:val="2"/>
            <w:noWrap w:val="0"/>
            <w:vAlign w:val="center"/>
          </w:tcPr>
          <w:p w14:paraId="40C32674">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年预算数</w:t>
            </w:r>
          </w:p>
        </w:tc>
        <w:tc>
          <w:tcPr>
            <w:tcW w:w="1832" w:type="dxa"/>
            <w:gridSpan w:val="2"/>
            <w:noWrap w:val="0"/>
            <w:vAlign w:val="center"/>
          </w:tcPr>
          <w:p w14:paraId="7143CFFC">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年决算数</w:t>
            </w:r>
          </w:p>
        </w:tc>
      </w:tr>
      <w:tr w14:paraId="6A6F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F42135C">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三公经费</w:t>
            </w:r>
          </w:p>
        </w:tc>
        <w:tc>
          <w:tcPr>
            <w:tcW w:w="2038" w:type="dxa"/>
            <w:gridSpan w:val="2"/>
            <w:noWrap w:val="0"/>
            <w:vAlign w:val="center"/>
          </w:tcPr>
          <w:p w14:paraId="5B12EB07">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15.4</w:t>
            </w:r>
          </w:p>
        </w:tc>
        <w:tc>
          <w:tcPr>
            <w:tcW w:w="2240" w:type="dxa"/>
            <w:gridSpan w:val="2"/>
            <w:noWrap w:val="0"/>
            <w:vAlign w:val="center"/>
          </w:tcPr>
          <w:p w14:paraId="490FE2F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16.5</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0BD64D4A">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13.26</w:t>
            </w:r>
            <w:r>
              <w:rPr>
                <w:rFonts w:hint="eastAsia" w:ascii="仿宋" w:hAnsi="仿宋" w:eastAsia="仿宋" w:cs="仿宋"/>
                <w:b w:val="0"/>
                <w:bCs w:val="0"/>
                <w:kern w:val="0"/>
                <w:sz w:val="20"/>
                <w:szCs w:val="20"/>
                <w:lang w:eastAsia="zh-CN"/>
              </w:rPr>
              <w:t xml:space="preserve"> </w:t>
            </w:r>
          </w:p>
        </w:tc>
      </w:tr>
      <w:tr w14:paraId="36399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EA94C8C">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1、公务用车购置和维护经费</w:t>
            </w:r>
          </w:p>
        </w:tc>
        <w:tc>
          <w:tcPr>
            <w:tcW w:w="2038" w:type="dxa"/>
            <w:gridSpan w:val="2"/>
            <w:noWrap w:val="0"/>
            <w:vAlign w:val="center"/>
          </w:tcPr>
          <w:p w14:paraId="380B4099">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6.1</w:t>
            </w:r>
          </w:p>
        </w:tc>
        <w:tc>
          <w:tcPr>
            <w:tcW w:w="2240" w:type="dxa"/>
            <w:gridSpan w:val="2"/>
            <w:noWrap w:val="0"/>
            <w:vAlign w:val="center"/>
          </w:tcPr>
          <w:p w14:paraId="0E0ED7B4">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6</w:t>
            </w:r>
          </w:p>
        </w:tc>
        <w:tc>
          <w:tcPr>
            <w:tcW w:w="1832" w:type="dxa"/>
            <w:gridSpan w:val="2"/>
            <w:noWrap w:val="0"/>
            <w:vAlign w:val="center"/>
          </w:tcPr>
          <w:p w14:paraId="4B6E1C2E">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4.28</w:t>
            </w:r>
          </w:p>
        </w:tc>
      </w:tr>
      <w:tr w14:paraId="5D155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1984A03D">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其中：公车购置</w:t>
            </w:r>
          </w:p>
        </w:tc>
        <w:tc>
          <w:tcPr>
            <w:tcW w:w="2038" w:type="dxa"/>
            <w:gridSpan w:val="2"/>
            <w:noWrap w:val="0"/>
            <w:vAlign w:val="center"/>
          </w:tcPr>
          <w:p w14:paraId="63799F5E">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c>
          <w:tcPr>
            <w:tcW w:w="2240" w:type="dxa"/>
            <w:gridSpan w:val="2"/>
            <w:noWrap w:val="0"/>
            <w:vAlign w:val="center"/>
          </w:tcPr>
          <w:p w14:paraId="595B2730">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3B5283C">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r>
      <w:tr w14:paraId="06C2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53100EF">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公车运行维护</w:t>
            </w:r>
          </w:p>
        </w:tc>
        <w:tc>
          <w:tcPr>
            <w:tcW w:w="2038" w:type="dxa"/>
            <w:gridSpan w:val="2"/>
            <w:noWrap w:val="0"/>
            <w:vAlign w:val="center"/>
          </w:tcPr>
          <w:p w14:paraId="3AB38E0A">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6.1</w:t>
            </w:r>
          </w:p>
        </w:tc>
        <w:tc>
          <w:tcPr>
            <w:tcW w:w="2240" w:type="dxa"/>
            <w:gridSpan w:val="2"/>
            <w:noWrap w:val="0"/>
            <w:vAlign w:val="center"/>
          </w:tcPr>
          <w:p w14:paraId="456208FE">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6</w:t>
            </w:r>
          </w:p>
        </w:tc>
        <w:tc>
          <w:tcPr>
            <w:tcW w:w="1832" w:type="dxa"/>
            <w:gridSpan w:val="2"/>
            <w:noWrap w:val="0"/>
            <w:vAlign w:val="center"/>
          </w:tcPr>
          <w:p w14:paraId="69D3C82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4.28</w:t>
            </w:r>
            <w:r>
              <w:rPr>
                <w:rFonts w:hint="eastAsia" w:ascii="仿宋" w:hAnsi="仿宋" w:eastAsia="仿宋" w:cs="仿宋"/>
                <w:b w:val="0"/>
                <w:bCs w:val="0"/>
                <w:kern w:val="0"/>
                <w:sz w:val="20"/>
                <w:szCs w:val="20"/>
                <w:lang w:eastAsia="zh-CN"/>
              </w:rPr>
              <w:t xml:space="preserve"> </w:t>
            </w:r>
          </w:p>
        </w:tc>
      </w:tr>
      <w:tr w14:paraId="25CFE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EE85CA4">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2、出国经费</w:t>
            </w:r>
          </w:p>
        </w:tc>
        <w:tc>
          <w:tcPr>
            <w:tcW w:w="2038" w:type="dxa"/>
            <w:gridSpan w:val="2"/>
            <w:noWrap w:val="0"/>
            <w:vAlign w:val="center"/>
          </w:tcPr>
          <w:p w14:paraId="7BC47D97">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4F1D19E9">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c>
          <w:tcPr>
            <w:tcW w:w="1832" w:type="dxa"/>
            <w:gridSpan w:val="2"/>
            <w:noWrap w:val="0"/>
            <w:vAlign w:val="center"/>
          </w:tcPr>
          <w:p w14:paraId="4AE040C3">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r>
      <w:tr w14:paraId="55F2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5E7FF30">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3、公务接待</w:t>
            </w:r>
          </w:p>
        </w:tc>
        <w:tc>
          <w:tcPr>
            <w:tcW w:w="2038" w:type="dxa"/>
            <w:gridSpan w:val="2"/>
            <w:noWrap w:val="0"/>
            <w:vAlign w:val="center"/>
          </w:tcPr>
          <w:p w14:paraId="5549E77A">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9.3</w:t>
            </w:r>
          </w:p>
        </w:tc>
        <w:tc>
          <w:tcPr>
            <w:tcW w:w="2240" w:type="dxa"/>
            <w:gridSpan w:val="2"/>
            <w:noWrap w:val="0"/>
            <w:vAlign w:val="center"/>
          </w:tcPr>
          <w:p w14:paraId="01A9015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10.5</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3D3DEB3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8.98</w:t>
            </w:r>
            <w:r>
              <w:rPr>
                <w:rFonts w:hint="eastAsia" w:ascii="仿宋" w:hAnsi="仿宋" w:eastAsia="仿宋" w:cs="仿宋"/>
                <w:b w:val="0"/>
                <w:bCs w:val="0"/>
                <w:kern w:val="0"/>
                <w:sz w:val="20"/>
                <w:szCs w:val="20"/>
                <w:lang w:eastAsia="zh-CN"/>
              </w:rPr>
              <w:t xml:space="preserve"> </w:t>
            </w:r>
          </w:p>
        </w:tc>
      </w:tr>
      <w:tr w14:paraId="2610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8B849D6">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项目支出：</w:t>
            </w:r>
          </w:p>
        </w:tc>
        <w:tc>
          <w:tcPr>
            <w:tcW w:w="2038" w:type="dxa"/>
            <w:gridSpan w:val="2"/>
            <w:noWrap w:val="0"/>
            <w:vAlign w:val="center"/>
          </w:tcPr>
          <w:p w14:paraId="19034F56">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273725D2">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43EEB041">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345EF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7E3A9FA">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1、业务工作经费</w:t>
            </w:r>
          </w:p>
        </w:tc>
        <w:tc>
          <w:tcPr>
            <w:tcW w:w="2038" w:type="dxa"/>
            <w:gridSpan w:val="2"/>
            <w:noWrap w:val="0"/>
            <w:vAlign w:val="center"/>
          </w:tcPr>
          <w:p w14:paraId="35BACBDC">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19125.21</w:t>
            </w:r>
          </w:p>
        </w:tc>
        <w:tc>
          <w:tcPr>
            <w:tcW w:w="2240" w:type="dxa"/>
            <w:gridSpan w:val="2"/>
            <w:noWrap w:val="0"/>
            <w:vAlign w:val="center"/>
          </w:tcPr>
          <w:p w14:paraId="49FB16E7">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981</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5463414">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24692.44</w:t>
            </w:r>
          </w:p>
        </w:tc>
      </w:tr>
      <w:tr w14:paraId="146F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0D454486">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2、运行维护经费</w:t>
            </w:r>
          </w:p>
        </w:tc>
        <w:tc>
          <w:tcPr>
            <w:tcW w:w="2038" w:type="dxa"/>
            <w:gridSpan w:val="2"/>
            <w:noWrap w:val="0"/>
            <w:vAlign w:val="center"/>
          </w:tcPr>
          <w:p w14:paraId="5A3DCBB4">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1B469BAD">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036721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652EC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54" w:type="dxa"/>
            <w:noWrap w:val="0"/>
            <w:vAlign w:val="center"/>
          </w:tcPr>
          <w:p w14:paraId="740B3CA4">
            <w:pPr>
              <w:widowControl/>
              <w:ind w:firstLine="400" w:firstLineChars="200"/>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3、</w:t>
            </w:r>
            <w:r>
              <w:rPr>
                <w:rFonts w:hint="eastAsia" w:ascii="仿宋" w:hAnsi="仿宋" w:eastAsia="仿宋" w:cs="仿宋"/>
                <w:b w:val="0"/>
                <w:bCs w:val="0"/>
                <w:kern w:val="0"/>
                <w:sz w:val="20"/>
                <w:szCs w:val="20"/>
                <w:lang w:val="en-US" w:eastAsia="zh-CN"/>
              </w:rPr>
              <w:t>市级</w:t>
            </w:r>
            <w:r>
              <w:rPr>
                <w:rFonts w:hint="eastAsia" w:ascii="仿宋" w:hAnsi="仿宋" w:eastAsia="仿宋" w:cs="仿宋"/>
                <w:b w:val="0"/>
                <w:bCs w:val="0"/>
                <w:kern w:val="0"/>
                <w:sz w:val="20"/>
                <w:szCs w:val="20"/>
              </w:rPr>
              <w:t>专项资金</w:t>
            </w:r>
          </w:p>
          <w:p w14:paraId="7954756A">
            <w:pPr>
              <w:widowControl/>
              <w:ind w:firstLine="600" w:firstLineChars="300"/>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（一个专项一行）</w:t>
            </w:r>
          </w:p>
        </w:tc>
        <w:tc>
          <w:tcPr>
            <w:tcW w:w="2038" w:type="dxa"/>
            <w:gridSpan w:val="2"/>
            <w:noWrap w:val="0"/>
            <w:vAlign w:val="center"/>
          </w:tcPr>
          <w:p w14:paraId="0E56F0DC">
            <w:pPr>
              <w:widowControl/>
              <w:jc w:val="center"/>
              <w:rPr>
                <w:rFonts w:hint="eastAsia" w:ascii="仿宋" w:hAnsi="仿宋" w:eastAsia="仿宋" w:cs="仿宋"/>
                <w:b w:val="0"/>
                <w:bCs w:val="0"/>
                <w:kern w:val="0"/>
                <w:sz w:val="20"/>
                <w:szCs w:val="20"/>
              </w:rPr>
            </w:pPr>
          </w:p>
        </w:tc>
        <w:tc>
          <w:tcPr>
            <w:tcW w:w="2240" w:type="dxa"/>
            <w:gridSpan w:val="2"/>
            <w:noWrap w:val="0"/>
            <w:vAlign w:val="center"/>
          </w:tcPr>
          <w:p w14:paraId="5705D392">
            <w:pPr>
              <w:widowControl/>
              <w:jc w:val="center"/>
              <w:rPr>
                <w:rFonts w:hint="eastAsia" w:ascii="仿宋" w:hAnsi="仿宋" w:eastAsia="仿宋" w:cs="仿宋"/>
                <w:b w:val="0"/>
                <w:bCs w:val="0"/>
                <w:kern w:val="0"/>
                <w:sz w:val="20"/>
                <w:szCs w:val="20"/>
              </w:rPr>
            </w:pPr>
          </w:p>
        </w:tc>
        <w:tc>
          <w:tcPr>
            <w:tcW w:w="1832" w:type="dxa"/>
            <w:gridSpan w:val="2"/>
            <w:noWrap w:val="0"/>
            <w:vAlign w:val="center"/>
          </w:tcPr>
          <w:p w14:paraId="7EF72111">
            <w:pPr>
              <w:widowControl/>
              <w:jc w:val="center"/>
              <w:rPr>
                <w:rFonts w:hint="eastAsia" w:ascii="仿宋" w:hAnsi="仿宋" w:eastAsia="仿宋" w:cs="仿宋"/>
                <w:b w:val="0"/>
                <w:bCs w:val="0"/>
                <w:kern w:val="0"/>
                <w:sz w:val="20"/>
                <w:szCs w:val="20"/>
              </w:rPr>
            </w:pPr>
          </w:p>
        </w:tc>
      </w:tr>
      <w:tr w14:paraId="4DFAB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713E0C4">
            <w:pPr>
              <w:widowControl/>
              <w:ind w:firstLine="400" w:firstLineChars="200"/>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4、其他事业类发展资金</w:t>
            </w:r>
          </w:p>
        </w:tc>
        <w:tc>
          <w:tcPr>
            <w:tcW w:w="2038" w:type="dxa"/>
            <w:gridSpan w:val="2"/>
            <w:noWrap w:val="0"/>
            <w:vAlign w:val="center"/>
          </w:tcPr>
          <w:p w14:paraId="41A2F017">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6ABBB858">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23EFB04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0408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354" w:type="dxa"/>
            <w:noWrap w:val="0"/>
            <w:vAlign w:val="center"/>
          </w:tcPr>
          <w:p w14:paraId="3020140F">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w:t>
            </w:r>
          </w:p>
        </w:tc>
        <w:tc>
          <w:tcPr>
            <w:tcW w:w="2038" w:type="dxa"/>
            <w:gridSpan w:val="2"/>
            <w:noWrap w:val="0"/>
            <w:vAlign w:val="center"/>
          </w:tcPr>
          <w:p w14:paraId="6C844A16">
            <w:pPr>
              <w:widowControl/>
              <w:jc w:val="center"/>
              <w:rPr>
                <w:rFonts w:hint="eastAsia" w:ascii="仿宋" w:hAnsi="仿宋" w:eastAsia="仿宋" w:cs="仿宋"/>
                <w:b w:val="0"/>
                <w:bCs w:val="0"/>
                <w:kern w:val="0"/>
                <w:sz w:val="20"/>
                <w:szCs w:val="20"/>
              </w:rPr>
            </w:pPr>
          </w:p>
        </w:tc>
        <w:tc>
          <w:tcPr>
            <w:tcW w:w="2240" w:type="dxa"/>
            <w:gridSpan w:val="2"/>
            <w:noWrap w:val="0"/>
            <w:vAlign w:val="center"/>
          </w:tcPr>
          <w:p w14:paraId="56399D9C">
            <w:pPr>
              <w:widowControl/>
              <w:jc w:val="center"/>
              <w:rPr>
                <w:rFonts w:hint="eastAsia" w:ascii="仿宋" w:hAnsi="仿宋" w:eastAsia="仿宋" w:cs="仿宋"/>
                <w:b w:val="0"/>
                <w:bCs w:val="0"/>
                <w:kern w:val="0"/>
                <w:sz w:val="20"/>
                <w:szCs w:val="20"/>
              </w:rPr>
            </w:pPr>
          </w:p>
        </w:tc>
        <w:tc>
          <w:tcPr>
            <w:tcW w:w="1832" w:type="dxa"/>
            <w:gridSpan w:val="2"/>
            <w:noWrap w:val="0"/>
            <w:vAlign w:val="center"/>
          </w:tcPr>
          <w:p w14:paraId="1E7E8F04">
            <w:pPr>
              <w:widowControl/>
              <w:jc w:val="center"/>
              <w:rPr>
                <w:rFonts w:hint="eastAsia" w:ascii="仿宋" w:hAnsi="仿宋" w:eastAsia="仿宋" w:cs="仿宋"/>
                <w:b w:val="0"/>
                <w:bCs w:val="0"/>
                <w:kern w:val="0"/>
                <w:sz w:val="20"/>
                <w:szCs w:val="20"/>
              </w:rPr>
            </w:pPr>
          </w:p>
        </w:tc>
      </w:tr>
      <w:tr w14:paraId="15B1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1B703F0">
            <w:pPr>
              <w:widowControl/>
              <w:jc w:val="left"/>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公用经费</w:t>
            </w:r>
          </w:p>
        </w:tc>
        <w:tc>
          <w:tcPr>
            <w:tcW w:w="2038" w:type="dxa"/>
            <w:gridSpan w:val="2"/>
            <w:noWrap w:val="0"/>
            <w:vAlign w:val="center"/>
          </w:tcPr>
          <w:p w14:paraId="5BAAEFCD">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1071.5</w:t>
            </w:r>
          </w:p>
        </w:tc>
        <w:tc>
          <w:tcPr>
            <w:tcW w:w="2240" w:type="dxa"/>
            <w:gridSpan w:val="2"/>
            <w:noWrap w:val="0"/>
            <w:vAlign w:val="center"/>
          </w:tcPr>
          <w:p w14:paraId="4C77B4E5">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208</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41570E4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412.98</w:t>
            </w:r>
            <w:r>
              <w:rPr>
                <w:rFonts w:hint="eastAsia" w:ascii="仿宋" w:hAnsi="仿宋" w:eastAsia="仿宋" w:cs="仿宋"/>
                <w:b w:val="0"/>
                <w:bCs w:val="0"/>
                <w:kern w:val="0"/>
                <w:sz w:val="20"/>
                <w:szCs w:val="20"/>
                <w:lang w:eastAsia="zh-CN"/>
              </w:rPr>
              <w:t xml:space="preserve"> </w:t>
            </w:r>
          </w:p>
        </w:tc>
      </w:tr>
      <w:tr w14:paraId="76811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371AE681">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其中：办公费</w:t>
            </w:r>
          </w:p>
        </w:tc>
        <w:tc>
          <w:tcPr>
            <w:tcW w:w="2038" w:type="dxa"/>
            <w:gridSpan w:val="2"/>
            <w:noWrap w:val="0"/>
            <w:vAlign w:val="center"/>
          </w:tcPr>
          <w:p w14:paraId="4DCA4E65">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49.51</w:t>
            </w:r>
            <w:r>
              <w:rPr>
                <w:rFonts w:hint="eastAsia" w:ascii="仿宋" w:hAnsi="仿宋" w:eastAsia="仿宋" w:cs="仿宋"/>
                <w:b w:val="0"/>
                <w:bCs w:val="0"/>
                <w:color w:val="auto"/>
                <w:kern w:val="0"/>
                <w:sz w:val="20"/>
                <w:szCs w:val="20"/>
                <w:lang w:eastAsia="zh-CN"/>
              </w:rPr>
              <w:t xml:space="preserve"> </w:t>
            </w:r>
          </w:p>
        </w:tc>
        <w:tc>
          <w:tcPr>
            <w:tcW w:w="2240" w:type="dxa"/>
            <w:gridSpan w:val="2"/>
            <w:noWrap w:val="0"/>
            <w:vAlign w:val="center"/>
          </w:tcPr>
          <w:p w14:paraId="7031DA3B">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8</w:t>
            </w:r>
            <w:r>
              <w:rPr>
                <w:rFonts w:hint="eastAsia" w:ascii="仿宋" w:hAnsi="仿宋" w:eastAsia="仿宋" w:cs="仿宋"/>
                <w:b w:val="0"/>
                <w:bCs w:val="0"/>
                <w:color w:val="auto"/>
                <w:kern w:val="0"/>
                <w:sz w:val="20"/>
                <w:szCs w:val="20"/>
                <w:lang w:eastAsia="zh-CN"/>
              </w:rPr>
              <w:t xml:space="preserve"> </w:t>
            </w:r>
          </w:p>
        </w:tc>
        <w:tc>
          <w:tcPr>
            <w:tcW w:w="1832" w:type="dxa"/>
            <w:gridSpan w:val="2"/>
            <w:noWrap w:val="0"/>
            <w:vAlign w:val="center"/>
          </w:tcPr>
          <w:p w14:paraId="6E811BB0">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eastAsia="zh-CN"/>
              </w:rPr>
              <w:t xml:space="preserve"> </w:t>
            </w:r>
            <w:r>
              <w:rPr>
                <w:rFonts w:hint="eastAsia" w:ascii="仿宋" w:hAnsi="仿宋" w:eastAsia="仿宋" w:cs="仿宋"/>
                <w:b w:val="0"/>
                <w:bCs w:val="0"/>
                <w:color w:val="auto"/>
                <w:kern w:val="0"/>
                <w:sz w:val="20"/>
                <w:szCs w:val="20"/>
                <w:lang w:val="en-US" w:eastAsia="zh-CN"/>
              </w:rPr>
              <w:t>50.71</w:t>
            </w:r>
          </w:p>
        </w:tc>
      </w:tr>
      <w:tr w14:paraId="5E47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4577945">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水费、电费、差旅费</w:t>
            </w:r>
          </w:p>
        </w:tc>
        <w:tc>
          <w:tcPr>
            <w:tcW w:w="2038" w:type="dxa"/>
            <w:gridSpan w:val="2"/>
            <w:noWrap w:val="0"/>
            <w:vAlign w:val="center"/>
          </w:tcPr>
          <w:p w14:paraId="7CA7D6E9">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eastAsia="zh-CN"/>
              </w:rPr>
              <w:t xml:space="preserve"> </w:t>
            </w:r>
            <w:r>
              <w:rPr>
                <w:rFonts w:hint="eastAsia" w:ascii="仿宋" w:hAnsi="仿宋" w:eastAsia="仿宋" w:cs="仿宋"/>
                <w:b w:val="0"/>
                <w:bCs w:val="0"/>
                <w:color w:val="auto"/>
                <w:kern w:val="0"/>
                <w:sz w:val="20"/>
                <w:szCs w:val="20"/>
                <w:lang w:val="en-US" w:eastAsia="zh-CN"/>
              </w:rPr>
              <w:t>130.5</w:t>
            </w:r>
          </w:p>
        </w:tc>
        <w:tc>
          <w:tcPr>
            <w:tcW w:w="2240" w:type="dxa"/>
            <w:gridSpan w:val="2"/>
            <w:noWrap w:val="0"/>
            <w:vAlign w:val="center"/>
          </w:tcPr>
          <w:p w14:paraId="39D0C2A2">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23.1</w:t>
            </w:r>
            <w:r>
              <w:rPr>
                <w:rFonts w:hint="eastAsia" w:ascii="仿宋" w:hAnsi="仿宋" w:eastAsia="仿宋" w:cs="仿宋"/>
                <w:b w:val="0"/>
                <w:bCs w:val="0"/>
                <w:color w:val="auto"/>
                <w:kern w:val="0"/>
                <w:sz w:val="20"/>
                <w:szCs w:val="20"/>
                <w:lang w:eastAsia="zh-CN"/>
              </w:rPr>
              <w:t xml:space="preserve"> </w:t>
            </w:r>
          </w:p>
        </w:tc>
        <w:tc>
          <w:tcPr>
            <w:tcW w:w="1832" w:type="dxa"/>
            <w:gridSpan w:val="2"/>
            <w:noWrap w:val="0"/>
            <w:vAlign w:val="center"/>
          </w:tcPr>
          <w:p w14:paraId="002C4BAE">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45.76</w:t>
            </w:r>
            <w:r>
              <w:rPr>
                <w:rFonts w:hint="eastAsia" w:ascii="仿宋" w:hAnsi="仿宋" w:eastAsia="仿宋" w:cs="仿宋"/>
                <w:b w:val="0"/>
                <w:bCs w:val="0"/>
                <w:color w:val="auto"/>
                <w:kern w:val="0"/>
                <w:sz w:val="20"/>
                <w:szCs w:val="20"/>
                <w:lang w:eastAsia="zh-CN"/>
              </w:rPr>
              <w:t xml:space="preserve"> </w:t>
            </w:r>
          </w:p>
        </w:tc>
      </w:tr>
      <w:tr w14:paraId="13BE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354" w:type="dxa"/>
            <w:noWrap w:val="0"/>
            <w:vAlign w:val="center"/>
          </w:tcPr>
          <w:p w14:paraId="77E49DA4">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会议费、培训费</w:t>
            </w:r>
          </w:p>
        </w:tc>
        <w:tc>
          <w:tcPr>
            <w:tcW w:w="2038" w:type="dxa"/>
            <w:gridSpan w:val="2"/>
            <w:noWrap w:val="0"/>
            <w:vAlign w:val="center"/>
          </w:tcPr>
          <w:p w14:paraId="4ED79638">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eastAsia="zh-CN"/>
              </w:rPr>
              <w:t xml:space="preserve"> </w:t>
            </w:r>
            <w:r>
              <w:rPr>
                <w:rFonts w:hint="eastAsia" w:ascii="仿宋" w:hAnsi="仿宋" w:eastAsia="仿宋" w:cs="仿宋"/>
                <w:b w:val="0"/>
                <w:bCs w:val="0"/>
                <w:color w:val="auto"/>
                <w:kern w:val="0"/>
                <w:sz w:val="20"/>
                <w:szCs w:val="20"/>
                <w:lang w:val="en-US" w:eastAsia="zh-CN"/>
              </w:rPr>
              <w:t>13.21</w:t>
            </w:r>
          </w:p>
        </w:tc>
        <w:tc>
          <w:tcPr>
            <w:tcW w:w="2240" w:type="dxa"/>
            <w:gridSpan w:val="2"/>
            <w:noWrap w:val="0"/>
            <w:vAlign w:val="center"/>
          </w:tcPr>
          <w:p w14:paraId="2D0A86B0">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2</w:t>
            </w:r>
            <w:r>
              <w:rPr>
                <w:rFonts w:hint="eastAsia" w:ascii="仿宋" w:hAnsi="仿宋" w:eastAsia="仿宋" w:cs="仿宋"/>
                <w:b w:val="0"/>
                <w:bCs w:val="0"/>
                <w:color w:val="auto"/>
                <w:kern w:val="0"/>
                <w:sz w:val="20"/>
                <w:szCs w:val="20"/>
                <w:lang w:eastAsia="zh-CN"/>
              </w:rPr>
              <w:t xml:space="preserve"> </w:t>
            </w:r>
          </w:p>
        </w:tc>
        <w:tc>
          <w:tcPr>
            <w:tcW w:w="1832" w:type="dxa"/>
            <w:gridSpan w:val="2"/>
            <w:noWrap w:val="0"/>
            <w:vAlign w:val="center"/>
          </w:tcPr>
          <w:p w14:paraId="06B7C78F">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2.7</w:t>
            </w:r>
            <w:r>
              <w:rPr>
                <w:rFonts w:hint="eastAsia" w:ascii="仿宋" w:hAnsi="仿宋" w:eastAsia="仿宋" w:cs="仿宋"/>
                <w:b w:val="0"/>
                <w:bCs w:val="0"/>
                <w:color w:val="auto"/>
                <w:kern w:val="0"/>
                <w:sz w:val="20"/>
                <w:szCs w:val="20"/>
                <w:lang w:eastAsia="zh-CN"/>
              </w:rPr>
              <w:t xml:space="preserve"> </w:t>
            </w:r>
          </w:p>
        </w:tc>
      </w:tr>
      <w:tr w14:paraId="40B1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8D0E361">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政府采购金额</w:t>
            </w:r>
          </w:p>
        </w:tc>
        <w:tc>
          <w:tcPr>
            <w:tcW w:w="2038" w:type="dxa"/>
            <w:gridSpan w:val="2"/>
            <w:noWrap w:val="0"/>
            <w:vAlign w:val="center"/>
          </w:tcPr>
          <w:p w14:paraId="4B80A9DE">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w:t>
            </w:r>
          </w:p>
        </w:tc>
        <w:tc>
          <w:tcPr>
            <w:tcW w:w="2240" w:type="dxa"/>
            <w:gridSpan w:val="2"/>
            <w:noWrap w:val="0"/>
            <w:vAlign w:val="center"/>
          </w:tcPr>
          <w:p w14:paraId="460EBF24">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1000</w:t>
            </w:r>
          </w:p>
        </w:tc>
        <w:tc>
          <w:tcPr>
            <w:tcW w:w="1832" w:type="dxa"/>
            <w:gridSpan w:val="2"/>
            <w:noWrap w:val="0"/>
            <w:vAlign w:val="center"/>
          </w:tcPr>
          <w:p w14:paraId="5194625C">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2420</w:t>
            </w:r>
          </w:p>
        </w:tc>
      </w:tr>
      <w:tr w14:paraId="1482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18E45FF0">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部门基本支出预算调整 </w:t>
            </w:r>
          </w:p>
        </w:tc>
        <w:tc>
          <w:tcPr>
            <w:tcW w:w="2038" w:type="dxa"/>
            <w:gridSpan w:val="2"/>
            <w:noWrap w:val="0"/>
            <w:vAlign w:val="center"/>
          </w:tcPr>
          <w:p w14:paraId="73D5D409">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w:t>
            </w:r>
          </w:p>
        </w:tc>
        <w:tc>
          <w:tcPr>
            <w:tcW w:w="2240" w:type="dxa"/>
            <w:gridSpan w:val="2"/>
            <w:noWrap w:val="0"/>
            <w:vAlign w:val="center"/>
          </w:tcPr>
          <w:p w14:paraId="0ACCFAD1">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25139111">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2749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354" w:type="dxa"/>
            <w:vMerge w:val="restart"/>
            <w:noWrap w:val="0"/>
            <w:vAlign w:val="center"/>
          </w:tcPr>
          <w:p w14:paraId="3AFB9065">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楼堂馆所控制情况</w:t>
            </w:r>
            <w:r>
              <w:rPr>
                <w:rFonts w:hint="eastAsia" w:ascii="仿宋" w:hAnsi="仿宋" w:eastAsia="仿宋" w:cs="仿宋"/>
                <w:b w:val="0"/>
                <w:bCs w:val="0"/>
                <w:kern w:val="0"/>
                <w:sz w:val="20"/>
                <w:szCs w:val="20"/>
              </w:rPr>
              <w:br w:type="textWrapping"/>
            </w:r>
          </w:p>
        </w:tc>
        <w:tc>
          <w:tcPr>
            <w:tcW w:w="1189" w:type="dxa"/>
            <w:noWrap w:val="0"/>
            <w:vAlign w:val="center"/>
          </w:tcPr>
          <w:p w14:paraId="60BC675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批复规模</w:t>
            </w:r>
            <w:r>
              <w:rPr>
                <w:rFonts w:hint="eastAsia" w:ascii="仿宋" w:hAnsi="仿宋" w:eastAsia="仿宋" w:cs="仿宋"/>
                <w:b w:val="0"/>
                <w:bCs w:val="0"/>
                <w:kern w:val="0"/>
                <w:sz w:val="20"/>
                <w:szCs w:val="20"/>
              </w:rPr>
              <w:br w:type="textWrapping"/>
            </w:r>
            <w:r>
              <w:rPr>
                <w:rFonts w:hint="eastAsia" w:ascii="仿宋" w:hAnsi="仿宋" w:eastAsia="仿宋" w:cs="仿宋"/>
                <w:b w:val="0"/>
                <w:bCs w:val="0"/>
                <w:kern w:val="0"/>
                <w:sz w:val="20"/>
                <w:szCs w:val="20"/>
              </w:rPr>
              <w:t>（㎡）</w:t>
            </w:r>
          </w:p>
        </w:tc>
        <w:tc>
          <w:tcPr>
            <w:tcW w:w="849" w:type="dxa"/>
            <w:noWrap w:val="0"/>
            <w:vAlign w:val="center"/>
          </w:tcPr>
          <w:p w14:paraId="1E7A49AB">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实际规模（㎡）</w:t>
            </w:r>
          </w:p>
        </w:tc>
        <w:tc>
          <w:tcPr>
            <w:tcW w:w="1129" w:type="dxa"/>
            <w:noWrap w:val="0"/>
            <w:vAlign w:val="center"/>
          </w:tcPr>
          <w:p w14:paraId="77F6E1A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规模控制率</w:t>
            </w:r>
          </w:p>
        </w:tc>
        <w:tc>
          <w:tcPr>
            <w:tcW w:w="1111" w:type="dxa"/>
            <w:noWrap w:val="0"/>
            <w:vAlign w:val="center"/>
          </w:tcPr>
          <w:p w14:paraId="251E5ED1">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预算投资（万元）</w:t>
            </w:r>
          </w:p>
        </w:tc>
        <w:tc>
          <w:tcPr>
            <w:tcW w:w="969" w:type="dxa"/>
            <w:noWrap w:val="0"/>
            <w:vAlign w:val="center"/>
          </w:tcPr>
          <w:p w14:paraId="7B34148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实际投资（万元）</w:t>
            </w:r>
          </w:p>
        </w:tc>
        <w:tc>
          <w:tcPr>
            <w:tcW w:w="863" w:type="dxa"/>
            <w:noWrap w:val="0"/>
            <w:vAlign w:val="center"/>
          </w:tcPr>
          <w:p w14:paraId="61638E13">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投资概算控制率</w:t>
            </w:r>
          </w:p>
        </w:tc>
      </w:tr>
      <w:tr w14:paraId="658D0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354" w:type="dxa"/>
            <w:vMerge w:val="continue"/>
            <w:noWrap w:val="0"/>
            <w:vAlign w:val="center"/>
          </w:tcPr>
          <w:p w14:paraId="6EEC19E2">
            <w:pPr>
              <w:widowControl/>
              <w:jc w:val="left"/>
              <w:rPr>
                <w:rFonts w:hint="eastAsia" w:ascii="仿宋" w:hAnsi="仿宋" w:eastAsia="仿宋" w:cs="仿宋"/>
                <w:b w:val="0"/>
                <w:bCs w:val="0"/>
                <w:kern w:val="0"/>
                <w:sz w:val="20"/>
                <w:szCs w:val="20"/>
              </w:rPr>
            </w:pPr>
          </w:p>
        </w:tc>
        <w:tc>
          <w:tcPr>
            <w:tcW w:w="1189" w:type="dxa"/>
            <w:noWrap w:val="0"/>
            <w:vAlign w:val="center"/>
          </w:tcPr>
          <w:p w14:paraId="3CC7CA53">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849" w:type="dxa"/>
            <w:noWrap w:val="0"/>
            <w:vAlign w:val="center"/>
          </w:tcPr>
          <w:p w14:paraId="6EB03040">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129" w:type="dxa"/>
            <w:noWrap w:val="0"/>
            <w:vAlign w:val="center"/>
          </w:tcPr>
          <w:p w14:paraId="790C9CA1">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111" w:type="dxa"/>
            <w:noWrap w:val="0"/>
            <w:vAlign w:val="center"/>
          </w:tcPr>
          <w:p w14:paraId="647F2607">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969" w:type="dxa"/>
            <w:noWrap w:val="0"/>
            <w:vAlign w:val="center"/>
          </w:tcPr>
          <w:p w14:paraId="113A5CA5">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863" w:type="dxa"/>
            <w:noWrap w:val="0"/>
            <w:vAlign w:val="center"/>
          </w:tcPr>
          <w:p w14:paraId="75713BB4">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70E1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354" w:type="dxa"/>
            <w:noWrap w:val="0"/>
            <w:vAlign w:val="center"/>
          </w:tcPr>
          <w:p w14:paraId="37D28003">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厉行节约保障措施</w:t>
            </w:r>
          </w:p>
        </w:tc>
        <w:tc>
          <w:tcPr>
            <w:tcW w:w="6110" w:type="dxa"/>
            <w:gridSpan w:val="6"/>
            <w:noWrap w:val="0"/>
            <w:vAlign w:val="center"/>
          </w:tcPr>
          <w:p w14:paraId="6170E9A8">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bl>
    <w:p w14:paraId="46A57ADC">
      <w:pPr>
        <w:pStyle w:val="12"/>
        <w:keepNext/>
        <w:keepLines/>
        <w:pageBreakBefore w:val="0"/>
        <w:widowControl w:val="0"/>
        <w:kinsoku/>
        <w:wordWrap/>
        <w:overflowPunct/>
        <w:topLinePunct w:val="0"/>
        <w:autoSpaceDE/>
        <w:autoSpaceDN/>
        <w:bidi w:val="0"/>
        <w:adjustRightInd/>
        <w:snapToGrid/>
        <w:spacing w:line="280" w:lineRule="exact"/>
        <w:textAlignment w:val="auto"/>
        <w:rPr>
          <w:rFonts w:hint="eastAsia"/>
          <w:lang w:val="en-US" w:eastAsia="zh-CN"/>
        </w:rPr>
      </w:pPr>
      <w:r>
        <w:rPr>
          <w:rFonts w:eastAsia="仿宋_GB2312"/>
          <w:kern w:val="0"/>
          <w:sz w:val="22"/>
        </w:rPr>
        <w:t>说明：“项目支出”需要填报基本支出以外的所有项目支出情况，“公用经费”填报基本支出中的一般商品和服务支出。</w:t>
      </w:r>
    </w:p>
    <w:p w14:paraId="7622C535">
      <w:pPr>
        <w:widowControl w:val="0"/>
        <w:kinsoku/>
        <w:autoSpaceDE/>
        <w:autoSpaceDN/>
        <w:adjustRightInd/>
        <w:snapToGrid/>
        <w:spacing w:line="600" w:lineRule="exact"/>
        <w:jc w:val="both"/>
        <w:textAlignment w:val="auto"/>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pPr>
      <w:r>
        <w:rPr>
          <w:rFonts w:hint="default" w:ascii="Times New Roman" w:hAnsi="Times New Roman" w:eastAsia="仿宋_GB2312" w:cs="Times New Roman"/>
          <w:snapToGrid/>
          <w:color w:val="000000"/>
          <w:kern w:val="0"/>
          <w:sz w:val="24"/>
          <w:szCs w:val="24"/>
          <w:lang w:val="en-US" w:eastAsia="zh-CN" w:bidi="ar-SA"/>
        </w:rPr>
        <w:t>填表人：</w:t>
      </w:r>
      <w:r>
        <w:rPr>
          <w:rFonts w:hint="eastAsia" w:ascii="Times New Roman" w:hAnsi="Times New Roman" w:eastAsia="仿宋_GB2312" w:cs="Times New Roman"/>
          <w:snapToGrid/>
          <w:color w:val="000000"/>
          <w:kern w:val="0"/>
          <w:sz w:val="24"/>
          <w:szCs w:val="24"/>
          <w:lang w:val="en-US" w:eastAsia="zh-CN" w:bidi="ar-SA"/>
        </w:rPr>
        <w:t xml:space="preserve">                 </w:t>
      </w:r>
      <w:r>
        <w:rPr>
          <w:rFonts w:hint="default" w:ascii="Times New Roman" w:hAnsi="Times New Roman" w:eastAsia="仿宋_GB2312" w:cs="Times New Roman"/>
          <w:snapToGrid/>
          <w:color w:val="000000"/>
          <w:kern w:val="0"/>
          <w:sz w:val="24"/>
          <w:szCs w:val="24"/>
          <w:lang w:val="en-US" w:eastAsia="zh-CN" w:bidi="ar-SA"/>
        </w:rPr>
        <w:t xml:space="preserve">  填报日期：</w:t>
      </w:r>
      <w:r>
        <w:rPr>
          <w:rFonts w:hint="eastAsia" w:ascii="Times New Roman" w:hAnsi="Times New Roman" w:eastAsia="仿宋_GB2312" w:cs="Times New Roman"/>
          <w:snapToGrid/>
          <w:color w:val="000000"/>
          <w:kern w:val="0"/>
          <w:sz w:val="24"/>
          <w:szCs w:val="24"/>
          <w:lang w:val="en-US" w:eastAsia="zh-CN" w:bidi="ar-SA"/>
        </w:rPr>
        <w:t xml:space="preserve">     </w:t>
      </w:r>
      <w:r>
        <w:rPr>
          <w:rFonts w:hint="default" w:ascii="Times New Roman" w:hAnsi="Times New Roman" w:eastAsia="仿宋_GB2312" w:cs="Times New Roman"/>
          <w:snapToGrid/>
          <w:color w:val="000000"/>
          <w:kern w:val="0"/>
          <w:sz w:val="24"/>
          <w:szCs w:val="24"/>
          <w:lang w:val="en-US" w:eastAsia="zh-CN" w:bidi="ar-SA"/>
        </w:rPr>
        <w:t xml:space="preserve"> </w:t>
      </w:r>
      <w:r>
        <w:rPr>
          <w:rFonts w:hint="eastAsia" w:ascii="Times New Roman" w:hAnsi="Times New Roman" w:eastAsia="仿宋_GB2312" w:cs="Times New Roman"/>
          <w:snapToGrid/>
          <w:color w:val="000000"/>
          <w:kern w:val="0"/>
          <w:sz w:val="24"/>
          <w:szCs w:val="24"/>
          <w:lang w:val="en-US" w:eastAsia="zh-CN" w:bidi="ar-SA"/>
        </w:rPr>
        <w:t xml:space="preserve">                </w:t>
      </w:r>
      <w:r>
        <w:rPr>
          <w:rFonts w:hint="default" w:ascii="Times New Roman" w:hAnsi="Times New Roman" w:eastAsia="仿宋_GB2312" w:cs="Times New Roman"/>
          <w:snapToGrid/>
          <w:color w:val="000000"/>
          <w:kern w:val="0"/>
          <w:sz w:val="24"/>
          <w:szCs w:val="24"/>
          <w:lang w:val="en-US" w:eastAsia="zh-CN" w:bidi="ar-SA"/>
        </w:rPr>
        <w:t>联系电话：</w:t>
      </w:r>
      <w:r>
        <w:rPr>
          <w:rFonts w:hint="eastAsia" w:ascii="Times New Roman" w:hAnsi="Times New Roman" w:eastAsia="仿宋_GB2312" w:cs="Times New Roman"/>
          <w:snapToGrid/>
          <w:color w:val="000000"/>
          <w:kern w:val="0"/>
          <w:sz w:val="24"/>
          <w:szCs w:val="24"/>
          <w:lang w:val="en-US" w:eastAsia="zh-CN" w:bidi="ar-SA"/>
        </w:rPr>
        <w:t xml:space="preserve"> </w:t>
      </w:r>
    </w:p>
    <w:p w14:paraId="49E54E4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pPr>
      <w:r>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t>附件1-2</w:t>
      </w:r>
    </w:p>
    <w:p w14:paraId="44012FB1">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000000"/>
          <w:kern w:val="0"/>
          <w:sz w:val="36"/>
          <w:szCs w:val="36"/>
          <w:lang w:val="en-US" w:eastAsia="zh-CN"/>
        </w:rPr>
      </w:pPr>
      <w:r>
        <w:rPr>
          <w:rFonts w:hint="eastAsia" w:ascii="方正小标宋简体" w:hAnsi="方正小标宋简体" w:eastAsia="方正小标宋简体" w:cs="方正小标宋简体"/>
          <w:color w:val="000000"/>
          <w:kern w:val="0"/>
          <w:sz w:val="36"/>
          <w:szCs w:val="36"/>
          <w:lang w:val="en-US" w:eastAsia="zh-CN"/>
        </w:rPr>
        <w:t>整体支出绩效自评表</w:t>
      </w:r>
    </w:p>
    <w:tbl>
      <w:tblPr>
        <w:tblStyle w:val="10"/>
        <w:tblW w:w="9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298"/>
        <w:gridCol w:w="1099"/>
        <w:gridCol w:w="995"/>
        <w:gridCol w:w="1016"/>
        <w:gridCol w:w="1016"/>
        <w:gridCol w:w="781"/>
        <w:gridCol w:w="658"/>
        <w:gridCol w:w="1398"/>
      </w:tblGrid>
      <w:tr w14:paraId="788C0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018" w:type="dxa"/>
            <w:noWrap w:val="0"/>
            <w:vAlign w:val="center"/>
          </w:tcPr>
          <w:p w14:paraId="2386B3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w:t>
            </w:r>
            <w:r>
              <w:rPr>
                <w:rFonts w:hint="eastAsia" w:ascii="仿宋" w:hAnsi="仿宋" w:eastAsia="仿宋" w:cs="仿宋"/>
                <w:color w:val="000000"/>
                <w:kern w:val="0"/>
                <w:sz w:val="20"/>
                <w:szCs w:val="20"/>
                <w:lang w:val="en-US" w:eastAsia="zh-CN"/>
              </w:rPr>
              <w:t>单位</w:t>
            </w:r>
            <w:r>
              <w:rPr>
                <w:rFonts w:hint="eastAsia" w:ascii="仿宋" w:hAnsi="仿宋" w:eastAsia="仿宋" w:cs="仿宋"/>
                <w:color w:val="000000"/>
                <w:kern w:val="0"/>
                <w:sz w:val="20"/>
                <w:szCs w:val="20"/>
              </w:rPr>
              <w:t>名称</w:t>
            </w:r>
          </w:p>
        </w:tc>
        <w:tc>
          <w:tcPr>
            <w:tcW w:w="8244" w:type="dxa"/>
            <w:gridSpan w:val="8"/>
            <w:noWrap w:val="0"/>
            <w:vAlign w:val="center"/>
          </w:tcPr>
          <w:p w14:paraId="5872DE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辰溪县农业农村局 </w:t>
            </w:r>
          </w:p>
        </w:tc>
      </w:tr>
      <w:tr w14:paraId="3271F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018" w:type="dxa"/>
            <w:vMerge w:val="restart"/>
            <w:noWrap w:val="0"/>
            <w:vAlign w:val="center"/>
          </w:tcPr>
          <w:p w14:paraId="5CA5BA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年度预算申请</w:t>
            </w:r>
          </w:p>
          <w:p w14:paraId="1722071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（万元）</w:t>
            </w:r>
          </w:p>
        </w:tc>
        <w:tc>
          <w:tcPr>
            <w:tcW w:w="2455" w:type="dxa"/>
            <w:gridSpan w:val="2"/>
            <w:noWrap w:val="0"/>
            <w:vAlign w:val="center"/>
          </w:tcPr>
          <w:p w14:paraId="25560B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p>
        </w:tc>
        <w:tc>
          <w:tcPr>
            <w:tcW w:w="998" w:type="dxa"/>
            <w:noWrap w:val="0"/>
            <w:vAlign w:val="center"/>
          </w:tcPr>
          <w:p w14:paraId="587A9F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年初</w:t>
            </w:r>
          </w:p>
          <w:p w14:paraId="340125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预算数</w:t>
            </w:r>
          </w:p>
        </w:tc>
        <w:tc>
          <w:tcPr>
            <w:tcW w:w="903" w:type="dxa"/>
            <w:noWrap w:val="0"/>
            <w:vAlign w:val="center"/>
          </w:tcPr>
          <w:p w14:paraId="1CDF5DC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全年预算数</w:t>
            </w:r>
          </w:p>
        </w:tc>
        <w:tc>
          <w:tcPr>
            <w:tcW w:w="996" w:type="dxa"/>
            <w:noWrap w:val="0"/>
            <w:vAlign w:val="center"/>
          </w:tcPr>
          <w:p w14:paraId="57E075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全年执行数</w:t>
            </w:r>
          </w:p>
        </w:tc>
        <w:tc>
          <w:tcPr>
            <w:tcW w:w="792" w:type="dxa"/>
            <w:noWrap w:val="0"/>
            <w:vAlign w:val="center"/>
          </w:tcPr>
          <w:p w14:paraId="1517F8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分值</w:t>
            </w:r>
          </w:p>
        </w:tc>
        <w:tc>
          <w:tcPr>
            <w:tcW w:w="660" w:type="dxa"/>
            <w:noWrap w:val="0"/>
            <w:vAlign w:val="center"/>
          </w:tcPr>
          <w:p w14:paraId="331638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执行率</w:t>
            </w:r>
          </w:p>
        </w:tc>
        <w:tc>
          <w:tcPr>
            <w:tcW w:w="1440" w:type="dxa"/>
            <w:noWrap w:val="0"/>
            <w:vAlign w:val="center"/>
          </w:tcPr>
          <w:p w14:paraId="218F1F5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得分</w:t>
            </w:r>
          </w:p>
        </w:tc>
      </w:tr>
      <w:tr w14:paraId="39A8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27016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2455" w:type="dxa"/>
            <w:gridSpan w:val="2"/>
            <w:noWrap w:val="0"/>
            <w:vAlign w:val="center"/>
          </w:tcPr>
          <w:p w14:paraId="37CD56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color w:val="000000"/>
                <w:kern w:val="0"/>
                <w:sz w:val="20"/>
                <w:szCs w:val="20"/>
              </w:rPr>
              <w:t>年度资金总额</w:t>
            </w:r>
          </w:p>
        </w:tc>
        <w:tc>
          <w:tcPr>
            <w:tcW w:w="998" w:type="dxa"/>
            <w:noWrap w:val="0"/>
            <w:vAlign w:val="center"/>
          </w:tcPr>
          <w:p w14:paraId="0FA6DC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3029.81</w:t>
            </w:r>
          </w:p>
        </w:tc>
        <w:tc>
          <w:tcPr>
            <w:tcW w:w="903" w:type="dxa"/>
            <w:noWrap w:val="0"/>
            <w:vAlign w:val="center"/>
          </w:tcPr>
          <w:p w14:paraId="501654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rPr>
            </w:pPr>
            <w:r>
              <w:rPr>
                <w:rFonts w:hint="eastAsia" w:ascii="仿宋" w:hAnsi="仿宋" w:eastAsia="仿宋" w:cs="仿宋"/>
                <w:sz w:val="20"/>
                <w:szCs w:val="20"/>
                <w:lang w:val="en-US" w:eastAsia="zh-CN"/>
              </w:rPr>
              <w:t>26737.81</w:t>
            </w:r>
          </w:p>
        </w:tc>
        <w:tc>
          <w:tcPr>
            <w:tcW w:w="996" w:type="dxa"/>
            <w:noWrap w:val="0"/>
            <w:vAlign w:val="center"/>
          </w:tcPr>
          <w:p w14:paraId="7781B1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rPr>
            </w:pPr>
            <w:r>
              <w:rPr>
                <w:rFonts w:hint="eastAsia" w:ascii="仿宋" w:hAnsi="仿宋" w:eastAsia="仿宋" w:cs="仿宋"/>
                <w:sz w:val="20"/>
                <w:szCs w:val="20"/>
                <w:lang w:val="en-US" w:eastAsia="zh-CN"/>
              </w:rPr>
              <w:t>26737.81</w:t>
            </w:r>
          </w:p>
        </w:tc>
        <w:tc>
          <w:tcPr>
            <w:tcW w:w="792" w:type="dxa"/>
            <w:noWrap w:val="0"/>
            <w:vAlign w:val="center"/>
          </w:tcPr>
          <w:p w14:paraId="245BDD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10</w:t>
            </w:r>
          </w:p>
        </w:tc>
        <w:tc>
          <w:tcPr>
            <w:tcW w:w="660" w:type="dxa"/>
            <w:noWrap w:val="0"/>
            <w:vAlign w:val="center"/>
          </w:tcPr>
          <w:p w14:paraId="104BA1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100%</w:t>
            </w:r>
          </w:p>
        </w:tc>
        <w:tc>
          <w:tcPr>
            <w:tcW w:w="1440" w:type="dxa"/>
            <w:noWrap w:val="0"/>
            <w:vAlign w:val="center"/>
          </w:tcPr>
          <w:p w14:paraId="2A6B234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10</w:t>
            </w:r>
          </w:p>
        </w:tc>
      </w:tr>
      <w:tr w14:paraId="790B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6086308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088B22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按收入性质分：</w:t>
            </w:r>
          </w:p>
        </w:tc>
        <w:tc>
          <w:tcPr>
            <w:tcW w:w="3888" w:type="dxa"/>
            <w:gridSpan w:val="4"/>
            <w:noWrap w:val="0"/>
            <w:vAlign w:val="center"/>
          </w:tcPr>
          <w:p w14:paraId="45A12DC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按支出性质分：</w:t>
            </w:r>
          </w:p>
        </w:tc>
      </w:tr>
      <w:tr w14:paraId="3A22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4E4417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03F2A0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 xml:space="preserve">  其中：  一般公共预算：</w:t>
            </w:r>
            <w:r>
              <w:rPr>
                <w:rFonts w:hint="eastAsia" w:ascii="仿宋" w:hAnsi="仿宋" w:eastAsia="仿宋" w:cs="仿宋"/>
                <w:color w:val="000000"/>
                <w:kern w:val="0"/>
                <w:sz w:val="20"/>
                <w:szCs w:val="20"/>
                <w:lang w:val="en-US" w:eastAsia="zh-CN"/>
              </w:rPr>
              <w:t>26374.69</w:t>
            </w:r>
          </w:p>
        </w:tc>
        <w:tc>
          <w:tcPr>
            <w:tcW w:w="3888" w:type="dxa"/>
            <w:gridSpan w:val="4"/>
            <w:noWrap w:val="0"/>
            <w:vAlign w:val="center"/>
          </w:tcPr>
          <w:p w14:paraId="293BC3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其中：基本支出：</w:t>
            </w:r>
            <w:r>
              <w:rPr>
                <w:rFonts w:hint="eastAsia" w:ascii="仿宋" w:hAnsi="仿宋" w:eastAsia="仿宋" w:cs="仿宋"/>
                <w:color w:val="000000"/>
                <w:kern w:val="0"/>
                <w:sz w:val="20"/>
                <w:szCs w:val="20"/>
                <w:lang w:val="en-US" w:eastAsia="zh-CN"/>
              </w:rPr>
              <w:t>2045.37</w:t>
            </w:r>
          </w:p>
        </w:tc>
      </w:tr>
      <w:tr w14:paraId="5C1F6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043DD3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2AF5F16E">
            <w:pPr>
              <w:keepNext w:val="0"/>
              <w:keepLines w:val="0"/>
              <w:pageBreakBefore w:val="0"/>
              <w:widowControl/>
              <w:kinsoku/>
              <w:wordWrap/>
              <w:overflowPunct/>
              <w:topLinePunct w:val="0"/>
              <w:autoSpaceDE/>
              <w:autoSpaceDN/>
              <w:bidi w:val="0"/>
              <w:adjustRightInd/>
              <w:snapToGrid/>
              <w:spacing w:line="240" w:lineRule="exact"/>
              <w:ind w:firstLine="800" w:firstLineChars="400"/>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政府性基金拨款：</w:t>
            </w:r>
            <w:r>
              <w:rPr>
                <w:rFonts w:hint="eastAsia" w:ascii="仿宋" w:hAnsi="仿宋" w:eastAsia="仿宋" w:cs="仿宋"/>
                <w:color w:val="000000"/>
                <w:kern w:val="0"/>
                <w:sz w:val="20"/>
                <w:szCs w:val="20"/>
                <w:lang w:val="en-US" w:eastAsia="zh-CN"/>
              </w:rPr>
              <w:t>363.12</w:t>
            </w:r>
          </w:p>
        </w:tc>
        <w:tc>
          <w:tcPr>
            <w:tcW w:w="3888" w:type="dxa"/>
            <w:gridSpan w:val="4"/>
            <w:noWrap w:val="0"/>
            <w:vAlign w:val="center"/>
          </w:tcPr>
          <w:p w14:paraId="6E665E1D">
            <w:pPr>
              <w:keepNext w:val="0"/>
              <w:keepLines w:val="0"/>
              <w:pageBreakBefore w:val="0"/>
              <w:widowControl/>
              <w:kinsoku/>
              <w:wordWrap/>
              <w:overflowPunct/>
              <w:topLinePunct w:val="0"/>
              <w:autoSpaceDE/>
              <w:autoSpaceDN/>
              <w:bidi w:val="0"/>
              <w:adjustRightInd/>
              <w:snapToGrid/>
              <w:spacing w:line="240" w:lineRule="exact"/>
              <w:ind w:firstLine="600" w:firstLineChars="300"/>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项目支出：</w:t>
            </w:r>
            <w:r>
              <w:rPr>
                <w:rFonts w:hint="eastAsia" w:ascii="仿宋" w:hAnsi="仿宋" w:eastAsia="仿宋" w:cs="仿宋"/>
                <w:color w:val="000000"/>
                <w:kern w:val="0"/>
                <w:sz w:val="20"/>
                <w:szCs w:val="20"/>
                <w:lang w:val="en-US" w:eastAsia="zh-CN"/>
              </w:rPr>
              <w:t>24692.44</w:t>
            </w:r>
          </w:p>
        </w:tc>
      </w:tr>
      <w:tr w14:paraId="11737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0DA806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369D6D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纳入专户管理的非税收入拨款：</w:t>
            </w:r>
          </w:p>
        </w:tc>
        <w:tc>
          <w:tcPr>
            <w:tcW w:w="3888" w:type="dxa"/>
            <w:gridSpan w:val="4"/>
            <w:noWrap w:val="0"/>
            <w:vAlign w:val="center"/>
          </w:tcPr>
          <w:p w14:paraId="2FC8470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77BD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8" w:type="dxa"/>
            <w:vMerge w:val="continue"/>
            <w:noWrap w:val="0"/>
            <w:vAlign w:val="center"/>
          </w:tcPr>
          <w:p w14:paraId="4CF314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1902D710">
            <w:pPr>
              <w:keepNext w:val="0"/>
              <w:keepLines w:val="0"/>
              <w:pageBreakBefore w:val="0"/>
              <w:widowControl/>
              <w:kinsoku/>
              <w:wordWrap/>
              <w:overflowPunct/>
              <w:topLinePunct w:val="0"/>
              <w:autoSpaceDE/>
              <w:autoSpaceDN/>
              <w:bidi w:val="0"/>
              <w:adjustRightInd/>
              <w:snapToGrid/>
              <w:spacing w:line="240" w:lineRule="exact"/>
              <w:ind w:firstLine="1400" w:firstLineChars="700"/>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其他资金：</w:t>
            </w:r>
          </w:p>
        </w:tc>
        <w:tc>
          <w:tcPr>
            <w:tcW w:w="3888" w:type="dxa"/>
            <w:gridSpan w:val="4"/>
            <w:noWrap w:val="0"/>
            <w:vAlign w:val="center"/>
          </w:tcPr>
          <w:p w14:paraId="74BBEA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592A8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restart"/>
            <w:noWrap w:val="0"/>
            <w:vAlign w:val="center"/>
          </w:tcPr>
          <w:p w14:paraId="65A003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年度总体目标</w:t>
            </w:r>
          </w:p>
        </w:tc>
        <w:tc>
          <w:tcPr>
            <w:tcW w:w="4356" w:type="dxa"/>
            <w:gridSpan w:val="4"/>
            <w:noWrap w:val="0"/>
            <w:vAlign w:val="center"/>
          </w:tcPr>
          <w:p w14:paraId="422BBC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预期目标</w:t>
            </w:r>
          </w:p>
        </w:tc>
        <w:tc>
          <w:tcPr>
            <w:tcW w:w="3888" w:type="dxa"/>
            <w:gridSpan w:val="4"/>
            <w:noWrap w:val="0"/>
            <w:vAlign w:val="center"/>
          </w:tcPr>
          <w:p w14:paraId="254871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rPr>
              <w:t>实际完成情况</w:t>
            </w:r>
            <w:r>
              <w:rPr>
                <w:rFonts w:hint="eastAsia" w:ascii="仿宋" w:hAnsi="仿宋" w:eastAsia="仿宋" w:cs="仿宋"/>
                <w:color w:val="000000"/>
                <w:kern w:val="0"/>
                <w:sz w:val="20"/>
                <w:szCs w:val="20"/>
                <w:lang w:eastAsia="zh-CN"/>
              </w:rPr>
              <w:t xml:space="preserve"> </w:t>
            </w:r>
          </w:p>
        </w:tc>
      </w:tr>
      <w:tr w14:paraId="15BEE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018" w:type="dxa"/>
            <w:vMerge w:val="continue"/>
            <w:noWrap w:val="0"/>
            <w:vAlign w:val="center"/>
          </w:tcPr>
          <w:p w14:paraId="1DBA05A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356" w:type="dxa"/>
            <w:gridSpan w:val="4"/>
            <w:noWrap w:val="0"/>
            <w:vAlign w:val="center"/>
          </w:tcPr>
          <w:p w14:paraId="13416173">
            <w:pPr>
              <w:pStyle w:val="8"/>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 w:hAnsi="仿宋" w:eastAsia="仿宋" w:cs="仿宋"/>
                <w:i w:val="0"/>
                <w:iCs w:val="0"/>
                <w:caps w:val="0"/>
                <w:color w:val="000000"/>
                <w:spacing w:val="0"/>
                <w:sz w:val="20"/>
                <w:szCs w:val="20"/>
                <w:shd w:val="clear" w:fill="FFFFFF"/>
              </w:rPr>
            </w:pPr>
            <w:r>
              <w:rPr>
                <w:rFonts w:hint="eastAsia" w:ascii="仿宋" w:hAnsi="仿宋" w:eastAsia="仿宋" w:cs="仿宋"/>
                <w:i w:val="0"/>
                <w:iCs w:val="0"/>
                <w:caps w:val="0"/>
                <w:color w:val="000000"/>
                <w:spacing w:val="0"/>
                <w:sz w:val="20"/>
                <w:szCs w:val="20"/>
                <w:shd w:val="clear" w:fill="FFFFFF"/>
              </w:rPr>
              <w:t>粮食播种面积48.6万亩以上，粮食总产量20.9万吨。</w:t>
            </w:r>
          </w:p>
          <w:p w14:paraId="0BD839EE">
            <w:pPr>
              <w:pStyle w:val="8"/>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 w:hAnsi="仿宋" w:eastAsia="仿宋" w:cs="仿宋"/>
                <w:i w:val="0"/>
                <w:iCs w:val="0"/>
                <w:caps w:val="0"/>
                <w:color w:val="000000"/>
                <w:spacing w:val="0"/>
                <w:sz w:val="20"/>
                <w:szCs w:val="20"/>
                <w:shd w:val="clear" w:fill="FFFFFF"/>
              </w:rPr>
            </w:pPr>
            <w:r>
              <w:rPr>
                <w:rFonts w:hint="eastAsia" w:ascii="仿宋" w:hAnsi="仿宋" w:eastAsia="仿宋" w:cs="仿宋"/>
                <w:color w:val="auto"/>
                <w:spacing w:val="0"/>
                <w:kern w:val="2"/>
                <w:sz w:val="20"/>
                <w:szCs w:val="20"/>
                <w:lang w:val="en-US" w:eastAsia="zh-CN" w:bidi="ar-SA"/>
              </w:rPr>
              <w:t>完成辰溪县第三次全国土壤普杳外业调查采样及内业数据测试工作。</w:t>
            </w:r>
          </w:p>
          <w:p w14:paraId="7C853709">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Chars="0" w:right="0" w:rightChars="0"/>
              <w:textAlignment w:val="auto"/>
              <w:rPr>
                <w:rFonts w:hint="eastAsia" w:ascii="仿宋" w:hAnsi="仿宋" w:eastAsia="仿宋" w:cs="仿宋"/>
                <w:i w:val="0"/>
                <w:iCs w:val="0"/>
                <w:caps w:val="0"/>
                <w:color w:val="000000"/>
                <w:spacing w:val="0"/>
                <w:sz w:val="20"/>
                <w:szCs w:val="20"/>
                <w:shd w:val="clear" w:fill="FFFFFF"/>
              </w:rPr>
            </w:pPr>
            <w:r>
              <w:rPr>
                <w:rFonts w:hint="eastAsia" w:ascii="仿宋" w:hAnsi="仿宋" w:eastAsia="仿宋" w:cs="仿宋"/>
                <w:i w:val="0"/>
                <w:iCs w:val="0"/>
                <w:caps w:val="0"/>
                <w:color w:val="000000"/>
                <w:spacing w:val="0"/>
                <w:sz w:val="20"/>
                <w:szCs w:val="20"/>
                <w:shd w:val="clear" w:fill="FFFFFF"/>
                <w:lang w:val="en-US" w:eastAsia="zh-CN"/>
              </w:rPr>
              <w:t>3.</w:t>
            </w:r>
            <w:r>
              <w:rPr>
                <w:rFonts w:hint="eastAsia" w:ascii="仿宋" w:hAnsi="仿宋" w:eastAsia="仿宋" w:cs="仿宋"/>
                <w:i w:val="0"/>
                <w:iCs w:val="0"/>
                <w:caps w:val="0"/>
                <w:color w:val="000000"/>
                <w:spacing w:val="0"/>
                <w:sz w:val="20"/>
                <w:szCs w:val="20"/>
                <w:shd w:val="clear" w:fill="FFFFFF"/>
              </w:rPr>
              <w:t>重污染耕地落实退出水稻生产进行风险管控、同步开展施石灰改良治理，带动完成全年受污染耕地安全利率达到92%以上。</w:t>
            </w:r>
          </w:p>
          <w:p w14:paraId="271CDE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 w:hAnsi="仿宋" w:eastAsia="仿宋" w:cs="仿宋"/>
                <w:i w:val="0"/>
                <w:iCs w:val="0"/>
                <w:caps w:val="0"/>
                <w:color w:val="000000"/>
                <w:spacing w:val="0"/>
                <w:sz w:val="20"/>
                <w:szCs w:val="20"/>
                <w:shd w:val="clear" w:fill="FFFFFF"/>
              </w:rPr>
            </w:pPr>
            <w:r>
              <w:rPr>
                <w:rFonts w:hint="eastAsia" w:ascii="仿宋" w:hAnsi="仿宋" w:eastAsia="仿宋" w:cs="仿宋"/>
                <w:i w:val="0"/>
                <w:iCs w:val="0"/>
                <w:caps w:val="0"/>
                <w:color w:val="000000"/>
                <w:spacing w:val="0"/>
                <w:sz w:val="20"/>
                <w:szCs w:val="20"/>
                <w:shd w:val="clear" w:fill="FFFFFF"/>
                <w:lang w:val="en-US" w:eastAsia="zh-CN"/>
              </w:rPr>
              <w:t>4.</w:t>
            </w:r>
            <w:r>
              <w:rPr>
                <w:rFonts w:hint="eastAsia" w:ascii="仿宋" w:hAnsi="仿宋" w:eastAsia="仿宋" w:cs="仿宋"/>
                <w:i w:val="0"/>
                <w:iCs w:val="0"/>
                <w:caps w:val="0"/>
                <w:color w:val="000000"/>
                <w:spacing w:val="0"/>
                <w:sz w:val="20"/>
                <w:szCs w:val="20"/>
                <w:shd w:val="clear" w:fill="FFFFFF"/>
              </w:rPr>
              <w:t>农产品质量安全水平提升，全年不发生农产品质量安全事件。</w:t>
            </w:r>
          </w:p>
          <w:p w14:paraId="050F01E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Chars="0" w:right="0" w:rightChars="0"/>
              <w:textAlignment w:val="auto"/>
              <w:rPr>
                <w:rFonts w:hint="eastAsia" w:ascii="仿宋" w:hAnsi="仿宋" w:eastAsia="仿宋" w:cs="仿宋"/>
                <w:i w:val="0"/>
                <w:iCs w:val="0"/>
                <w:caps w:val="0"/>
                <w:color w:val="000000"/>
                <w:spacing w:val="0"/>
                <w:sz w:val="20"/>
                <w:szCs w:val="20"/>
                <w:shd w:val="clear" w:fill="FFFFFF"/>
                <w:lang w:eastAsia="zh-CN"/>
              </w:rPr>
            </w:pPr>
            <w:r>
              <w:rPr>
                <w:rFonts w:hint="eastAsia" w:ascii="仿宋" w:hAnsi="仿宋" w:eastAsia="仿宋" w:cs="仿宋"/>
                <w:i w:val="0"/>
                <w:iCs w:val="0"/>
                <w:caps w:val="0"/>
                <w:color w:val="000000"/>
                <w:spacing w:val="0"/>
                <w:sz w:val="20"/>
                <w:szCs w:val="20"/>
                <w:shd w:val="clear" w:fill="FFFFFF"/>
                <w:lang w:val="en-US" w:eastAsia="zh-CN"/>
              </w:rPr>
              <w:t>5.</w:t>
            </w:r>
            <w:r>
              <w:rPr>
                <w:rFonts w:hint="eastAsia" w:ascii="仿宋" w:hAnsi="仿宋" w:eastAsia="仿宋" w:cs="仿宋"/>
                <w:i w:val="0"/>
                <w:iCs w:val="0"/>
                <w:caps w:val="0"/>
                <w:color w:val="000000"/>
                <w:spacing w:val="0"/>
                <w:sz w:val="20"/>
                <w:szCs w:val="20"/>
                <w:shd w:val="clear" w:fill="FFFFFF"/>
              </w:rPr>
              <w:t>主要农作物测土配方施肥技术覆盖率90%以上，绿肥办点示范1000</w:t>
            </w:r>
            <w:r>
              <w:rPr>
                <w:rFonts w:hint="eastAsia" w:ascii="仿宋" w:hAnsi="仿宋" w:eastAsia="仿宋" w:cs="仿宋"/>
                <w:i w:val="0"/>
                <w:iCs w:val="0"/>
                <w:caps w:val="0"/>
                <w:color w:val="000000"/>
                <w:spacing w:val="0"/>
                <w:sz w:val="20"/>
                <w:szCs w:val="20"/>
                <w:shd w:val="clear" w:fill="FFFFFF"/>
                <w:lang w:eastAsia="zh-CN"/>
              </w:rPr>
              <w:t>亩。</w:t>
            </w:r>
          </w:p>
          <w:p w14:paraId="7E35BA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3888" w:type="dxa"/>
            <w:gridSpan w:val="4"/>
            <w:noWrap w:val="0"/>
            <w:vAlign w:val="center"/>
          </w:tcPr>
          <w:p w14:paraId="461DEE44">
            <w:pPr>
              <w:keepNext w:val="0"/>
              <w:keepLines w:val="0"/>
              <w:pageBreakBefore w:val="0"/>
              <w:widowControl/>
              <w:numPr>
                <w:ilvl w:val="0"/>
                <w:numId w:val="9"/>
              </w:numPr>
              <w:kinsoku/>
              <w:wordWrap/>
              <w:overflowPunct/>
              <w:topLinePunct w:val="0"/>
              <w:autoSpaceDE/>
              <w:autoSpaceDN/>
              <w:bidi w:val="0"/>
              <w:adjustRightInd/>
              <w:snapToGrid/>
              <w:spacing w:line="240" w:lineRule="exact"/>
              <w:ind w:left="100" w:leftChars="0" w:firstLine="0" w:firstLineChars="0"/>
              <w:jc w:val="left"/>
              <w:textAlignment w:val="auto"/>
              <w:rPr>
                <w:rFonts w:hint="eastAsia" w:ascii="仿宋" w:hAnsi="仿宋" w:eastAsia="仿宋" w:cs="仿宋"/>
                <w:color w:val="auto"/>
                <w:spacing w:val="0"/>
                <w:sz w:val="20"/>
                <w:szCs w:val="20"/>
                <w:lang w:val="en-US" w:eastAsia="zh-CN"/>
              </w:rPr>
            </w:pPr>
            <w:r>
              <w:rPr>
                <w:rFonts w:hint="eastAsia" w:ascii="仿宋" w:hAnsi="仿宋" w:eastAsia="仿宋" w:cs="仿宋"/>
                <w:b w:val="0"/>
                <w:bCs w:val="0"/>
                <w:color w:val="auto"/>
                <w:spacing w:val="0"/>
                <w:sz w:val="20"/>
                <w:szCs w:val="20"/>
              </w:rPr>
              <w:t>全面完成粮食播</w:t>
            </w:r>
            <w:r>
              <w:rPr>
                <w:rFonts w:hint="eastAsia" w:ascii="仿宋" w:hAnsi="仿宋" w:eastAsia="仿宋" w:cs="仿宋"/>
                <w:b w:val="0"/>
                <w:bCs w:val="0"/>
                <w:color w:val="auto"/>
                <w:spacing w:val="0"/>
                <w:sz w:val="20"/>
                <w:szCs w:val="20"/>
                <w:lang w:val="en-US" w:eastAsia="zh-CN"/>
              </w:rPr>
              <w:t>种</w:t>
            </w:r>
            <w:r>
              <w:rPr>
                <w:rFonts w:hint="eastAsia" w:ascii="仿宋" w:hAnsi="仿宋" w:eastAsia="仿宋" w:cs="仿宋"/>
                <w:b w:val="0"/>
                <w:bCs w:val="0"/>
                <w:color w:val="auto"/>
                <w:spacing w:val="0"/>
                <w:sz w:val="20"/>
                <w:szCs w:val="20"/>
              </w:rPr>
              <w:t>任务</w:t>
            </w:r>
            <w:r>
              <w:rPr>
                <w:rFonts w:hint="eastAsia" w:ascii="仿宋" w:hAnsi="仿宋" w:eastAsia="仿宋" w:cs="仿宋"/>
                <w:b w:val="0"/>
                <w:bCs w:val="0"/>
                <w:color w:val="auto"/>
                <w:spacing w:val="0"/>
                <w:sz w:val="20"/>
                <w:szCs w:val="20"/>
                <w:lang w:eastAsia="zh-CN"/>
              </w:rPr>
              <w:t>，</w:t>
            </w:r>
            <w:r>
              <w:rPr>
                <w:rFonts w:hint="eastAsia" w:ascii="仿宋" w:hAnsi="仿宋" w:eastAsia="仿宋" w:cs="仿宋"/>
                <w:color w:val="auto"/>
                <w:spacing w:val="0"/>
                <w:sz w:val="20"/>
                <w:szCs w:val="20"/>
                <w:lang w:val="en-US" w:eastAsia="zh-CN"/>
              </w:rPr>
              <w:t>全年粮食播种面49.01万亩.</w:t>
            </w:r>
          </w:p>
          <w:p w14:paraId="15220AD8">
            <w:pPr>
              <w:keepNext w:val="0"/>
              <w:keepLines w:val="0"/>
              <w:pageBreakBefore w:val="0"/>
              <w:widowControl/>
              <w:numPr>
                <w:ilvl w:val="0"/>
                <w:numId w:val="9"/>
              </w:numPr>
              <w:kinsoku/>
              <w:wordWrap/>
              <w:overflowPunct/>
              <w:topLinePunct w:val="0"/>
              <w:autoSpaceDE/>
              <w:autoSpaceDN/>
              <w:bidi w:val="0"/>
              <w:adjustRightInd/>
              <w:snapToGrid/>
              <w:spacing w:line="240" w:lineRule="exact"/>
              <w:ind w:left="100" w:leftChars="0" w:firstLine="0" w:firstLineChars="0"/>
              <w:jc w:val="left"/>
              <w:textAlignment w:val="auto"/>
              <w:rPr>
                <w:rFonts w:hint="default" w:ascii="仿宋" w:hAnsi="仿宋" w:eastAsia="仿宋" w:cs="仿宋"/>
                <w:color w:val="auto"/>
                <w:spacing w:val="0"/>
                <w:sz w:val="20"/>
                <w:szCs w:val="20"/>
                <w:lang w:val="en-US" w:eastAsia="zh-CN"/>
              </w:rPr>
            </w:pPr>
            <w:r>
              <w:rPr>
                <w:rFonts w:hint="eastAsia" w:ascii="仿宋" w:hAnsi="仿宋" w:eastAsia="仿宋" w:cs="仿宋"/>
                <w:color w:val="auto"/>
                <w:spacing w:val="0"/>
                <w:kern w:val="2"/>
                <w:sz w:val="20"/>
                <w:szCs w:val="20"/>
                <w:lang w:val="en-US" w:eastAsia="zh-CN" w:bidi="ar-SA"/>
              </w:rPr>
              <w:t>高标准完成辰溪县第三次全国土壤普杳外业调查采样及内业数据测试工作。</w:t>
            </w:r>
          </w:p>
          <w:p w14:paraId="5F6C76E3">
            <w:pPr>
              <w:keepNext w:val="0"/>
              <w:keepLines w:val="0"/>
              <w:pageBreakBefore w:val="0"/>
              <w:widowControl/>
              <w:numPr>
                <w:ilvl w:val="0"/>
                <w:numId w:val="9"/>
              </w:numPr>
              <w:kinsoku/>
              <w:wordWrap/>
              <w:overflowPunct/>
              <w:topLinePunct w:val="0"/>
              <w:autoSpaceDE/>
              <w:autoSpaceDN/>
              <w:bidi w:val="0"/>
              <w:adjustRightInd/>
              <w:snapToGrid/>
              <w:spacing w:line="240" w:lineRule="exact"/>
              <w:ind w:left="100" w:leftChars="0" w:firstLine="0" w:firstLineChars="0"/>
              <w:jc w:val="left"/>
              <w:textAlignment w:val="auto"/>
              <w:rPr>
                <w:rFonts w:hint="default" w:ascii="仿宋" w:hAnsi="仿宋" w:eastAsia="仿宋" w:cs="仿宋"/>
                <w:color w:val="auto"/>
                <w:spacing w:val="0"/>
                <w:sz w:val="20"/>
                <w:szCs w:val="20"/>
                <w:lang w:val="en-US" w:eastAsia="zh-CN"/>
              </w:rPr>
            </w:pPr>
            <w:r>
              <w:rPr>
                <w:rFonts w:hint="eastAsia" w:ascii="仿宋" w:hAnsi="仿宋" w:eastAsia="仿宋" w:cs="仿宋"/>
                <w:b w:val="0"/>
                <w:bCs w:val="0"/>
                <w:color w:val="auto"/>
                <w:spacing w:val="0"/>
                <w:sz w:val="20"/>
                <w:szCs w:val="20"/>
                <w:lang w:val="en-US" w:eastAsia="zh-CN"/>
              </w:rPr>
              <w:t>全年完成受污染耕地安全利用及风险管控面积6.97万亩。</w:t>
            </w:r>
          </w:p>
          <w:p w14:paraId="37F868D9">
            <w:pPr>
              <w:keepNext w:val="0"/>
              <w:keepLines w:val="0"/>
              <w:pageBreakBefore w:val="0"/>
              <w:widowControl/>
              <w:numPr>
                <w:ilvl w:val="0"/>
                <w:numId w:val="9"/>
              </w:numPr>
              <w:kinsoku/>
              <w:wordWrap/>
              <w:overflowPunct/>
              <w:topLinePunct w:val="0"/>
              <w:autoSpaceDE/>
              <w:autoSpaceDN/>
              <w:bidi w:val="0"/>
              <w:adjustRightInd/>
              <w:snapToGrid/>
              <w:spacing w:line="240" w:lineRule="exact"/>
              <w:ind w:left="100" w:leftChars="0" w:firstLine="0" w:firstLineChars="0"/>
              <w:jc w:val="left"/>
              <w:textAlignment w:val="auto"/>
              <w:rPr>
                <w:rFonts w:hint="default" w:ascii="仿宋" w:hAnsi="仿宋" w:eastAsia="仿宋" w:cs="仿宋"/>
                <w:color w:val="auto"/>
                <w:spacing w:val="0"/>
                <w:sz w:val="20"/>
                <w:szCs w:val="20"/>
                <w:lang w:val="en-US" w:eastAsia="zh-CN"/>
              </w:rPr>
            </w:pPr>
            <w:r>
              <w:rPr>
                <w:rFonts w:hint="eastAsia" w:ascii="仿宋" w:hAnsi="仿宋" w:eastAsia="仿宋" w:cs="仿宋"/>
                <w:b w:val="0"/>
                <w:bCs w:val="0"/>
                <w:color w:val="auto"/>
                <w:spacing w:val="0"/>
                <w:sz w:val="20"/>
                <w:szCs w:val="20"/>
                <w:lang w:val="en-US" w:eastAsia="zh-CN"/>
              </w:rPr>
              <w:t>全年完成农产品定量检测510批次，全年农产品质量安全零事件。</w:t>
            </w:r>
          </w:p>
          <w:p w14:paraId="0900753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Chars="0" w:right="0" w:rightChars="0"/>
              <w:textAlignment w:val="auto"/>
              <w:rPr>
                <w:rFonts w:hint="eastAsia" w:ascii="仿宋" w:hAnsi="仿宋" w:eastAsia="仿宋" w:cs="仿宋"/>
                <w:i w:val="0"/>
                <w:iCs w:val="0"/>
                <w:caps w:val="0"/>
                <w:color w:val="000000"/>
                <w:spacing w:val="0"/>
                <w:sz w:val="20"/>
                <w:szCs w:val="20"/>
                <w:shd w:val="clear" w:fill="FFFFFF"/>
                <w:lang w:eastAsia="zh-CN"/>
              </w:rPr>
            </w:pPr>
            <w:r>
              <w:rPr>
                <w:rFonts w:hint="eastAsia" w:ascii="仿宋" w:hAnsi="仿宋" w:eastAsia="仿宋" w:cs="仿宋"/>
                <w:i w:val="0"/>
                <w:iCs w:val="0"/>
                <w:caps w:val="0"/>
                <w:color w:val="000000"/>
                <w:spacing w:val="0"/>
                <w:sz w:val="20"/>
                <w:szCs w:val="20"/>
                <w:shd w:val="clear" w:fill="FFFFFF"/>
                <w:lang w:val="en-US" w:eastAsia="zh-CN"/>
              </w:rPr>
              <w:t>5.</w:t>
            </w:r>
            <w:r>
              <w:rPr>
                <w:rFonts w:hint="eastAsia" w:ascii="仿宋" w:hAnsi="仿宋" w:eastAsia="仿宋" w:cs="仿宋"/>
                <w:i w:val="0"/>
                <w:iCs w:val="0"/>
                <w:caps w:val="0"/>
                <w:color w:val="000000"/>
                <w:spacing w:val="0"/>
                <w:sz w:val="20"/>
                <w:szCs w:val="20"/>
                <w:shd w:val="clear" w:fill="FFFFFF"/>
              </w:rPr>
              <w:t>主要农作物测土配方施肥技术覆盖率90%以上，绿肥办点示范1000</w:t>
            </w:r>
            <w:r>
              <w:rPr>
                <w:rFonts w:hint="eastAsia" w:ascii="仿宋" w:hAnsi="仿宋" w:eastAsia="仿宋" w:cs="仿宋"/>
                <w:i w:val="0"/>
                <w:iCs w:val="0"/>
                <w:caps w:val="0"/>
                <w:color w:val="000000"/>
                <w:spacing w:val="0"/>
                <w:sz w:val="20"/>
                <w:szCs w:val="20"/>
                <w:shd w:val="clear" w:fill="FFFFFF"/>
                <w:lang w:eastAsia="zh-CN"/>
              </w:rPr>
              <w:t>亩。</w:t>
            </w:r>
          </w:p>
          <w:p w14:paraId="6402A37F">
            <w:pPr>
              <w:keepNext w:val="0"/>
              <w:keepLines w:val="0"/>
              <w:pageBreakBefore w:val="0"/>
              <w:widowControl/>
              <w:numPr>
                <w:ilvl w:val="0"/>
                <w:numId w:val="0"/>
              </w:numPr>
              <w:kinsoku/>
              <w:wordWrap/>
              <w:overflowPunct/>
              <w:topLinePunct w:val="0"/>
              <w:autoSpaceDE/>
              <w:autoSpaceDN/>
              <w:bidi w:val="0"/>
              <w:adjustRightInd/>
              <w:snapToGrid/>
              <w:spacing w:line="240" w:lineRule="exact"/>
              <w:ind w:left="100" w:leftChars="0"/>
              <w:jc w:val="left"/>
              <w:textAlignment w:val="auto"/>
              <w:rPr>
                <w:rFonts w:hint="default" w:ascii="仿宋" w:hAnsi="仿宋" w:eastAsia="仿宋" w:cs="仿宋"/>
                <w:color w:val="auto"/>
                <w:spacing w:val="0"/>
                <w:sz w:val="20"/>
                <w:szCs w:val="20"/>
                <w:lang w:val="en-US" w:eastAsia="zh-CN"/>
              </w:rPr>
            </w:pPr>
          </w:p>
        </w:tc>
      </w:tr>
      <w:tr w14:paraId="316A7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18" w:type="dxa"/>
            <w:vMerge w:val="restart"/>
            <w:noWrap w:val="0"/>
            <w:vAlign w:val="center"/>
          </w:tcPr>
          <w:p w14:paraId="16A641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绩</w:t>
            </w:r>
          </w:p>
          <w:p w14:paraId="76AC90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效</w:t>
            </w:r>
          </w:p>
          <w:p w14:paraId="239710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指</w:t>
            </w:r>
          </w:p>
          <w:p w14:paraId="40CAD91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标</w:t>
            </w:r>
          </w:p>
        </w:tc>
        <w:tc>
          <w:tcPr>
            <w:tcW w:w="1327" w:type="dxa"/>
            <w:noWrap w:val="0"/>
            <w:vAlign w:val="center"/>
          </w:tcPr>
          <w:p w14:paraId="2CB3C3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一级指标</w:t>
            </w:r>
          </w:p>
        </w:tc>
        <w:tc>
          <w:tcPr>
            <w:tcW w:w="1128" w:type="dxa"/>
            <w:noWrap w:val="0"/>
            <w:vAlign w:val="center"/>
          </w:tcPr>
          <w:p w14:paraId="14E7D67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二级指标</w:t>
            </w:r>
          </w:p>
        </w:tc>
        <w:tc>
          <w:tcPr>
            <w:tcW w:w="998" w:type="dxa"/>
            <w:noWrap w:val="0"/>
            <w:vAlign w:val="center"/>
          </w:tcPr>
          <w:p w14:paraId="61ED3D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三级指标</w:t>
            </w:r>
          </w:p>
        </w:tc>
        <w:tc>
          <w:tcPr>
            <w:tcW w:w="903" w:type="dxa"/>
            <w:noWrap w:val="0"/>
            <w:vAlign w:val="center"/>
          </w:tcPr>
          <w:p w14:paraId="2B351D8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年度指标值</w:t>
            </w:r>
          </w:p>
        </w:tc>
        <w:tc>
          <w:tcPr>
            <w:tcW w:w="996" w:type="dxa"/>
            <w:noWrap w:val="0"/>
            <w:vAlign w:val="center"/>
          </w:tcPr>
          <w:p w14:paraId="0230B6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实际完成值</w:t>
            </w:r>
          </w:p>
        </w:tc>
        <w:tc>
          <w:tcPr>
            <w:tcW w:w="792" w:type="dxa"/>
            <w:noWrap w:val="0"/>
            <w:vAlign w:val="center"/>
          </w:tcPr>
          <w:p w14:paraId="63E9B0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分值</w:t>
            </w:r>
          </w:p>
        </w:tc>
        <w:tc>
          <w:tcPr>
            <w:tcW w:w="660" w:type="dxa"/>
            <w:noWrap w:val="0"/>
            <w:vAlign w:val="center"/>
          </w:tcPr>
          <w:p w14:paraId="2C5B26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得分</w:t>
            </w:r>
          </w:p>
        </w:tc>
        <w:tc>
          <w:tcPr>
            <w:tcW w:w="1440" w:type="dxa"/>
            <w:noWrap w:val="0"/>
            <w:vAlign w:val="top"/>
          </w:tcPr>
          <w:p w14:paraId="29DB35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偏差原因分析及改进措施</w:t>
            </w:r>
          </w:p>
        </w:tc>
      </w:tr>
      <w:tr w14:paraId="25BA4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6D82E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5A9006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成本指标</w:t>
            </w:r>
          </w:p>
          <w:p w14:paraId="589114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w:t>
            </w:r>
            <w:r>
              <w:rPr>
                <w:rFonts w:hint="eastAsia" w:ascii="仿宋" w:hAnsi="仿宋" w:eastAsia="仿宋" w:cs="仿宋"/>
                <w:color w:val="000000"/>
                <w:kern w:val="0"/>
                <w:sz w:val="20"/>
                <w:szCs w:val="20"/>
                <w:lang w:val="en-US" w:eastAsia="zh-CN"/>
              </w:rPr>
              <w:t>2</w:t>
            </w:r>
            <w:r>
              <w:rPr>
                <w:rFonts w:hint="eastAsia" w:ascii="仿宋" w:hAnsi="仿宋" w:eastAsia="仿宋" w:cs="仿宋"/>
                <w:color w:val="000000"/>
                <w:kern w:val="0"/>
                <w:sz w:val="20"/>
                <w:szCs w:val="20"/>
              </w:rPr>
              <w:t>0分)</w:t>
            </w:r>
          </w:p>
        </w:tc>
        <w:tc>
          <w:tcPr>
            <w:tcW w:w="1128" w:type="dxa"/>
            <w:shd w:val="clear" w:color="auto" w:fill="auto"/>
            <w:noWrap w:val="0"/>
            <w:vAlign w:val="top"/>
          </w:tcPr>
          <w:p w14:paraId="649D74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经济成本指标</w:t>
            </w:r>
          </w:p>
        </w:tc>
        <w:tc>
          <w:tcPr>
            <w:tcW w:w="998" w:type="dxa"/>
            <w:noWrap w:val="0"/>
            <w:vAlign w:val="center"/>
          </w:tcPr>
          <w:p w14:paraId="7CACEC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成本控制率</w:t>
            </w:r>
          </w:p>
        </w:tc>
        <w:tc>
          <w:tcPr>
            <w:tcW w:w="903" w:type="dxa"/>
            <w:noWrap w:val="0"/>
            <w:vAlign w:val="center"/>
          </w:tcPr>
          <w:p w14:paraId="0814902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996" w:type="dxa"/>
            <w:noWrap w:val="0"/>
            <w:vAlign w:val="center"/>
          </w:tcPr>
          <w:p w14:paraId="1A9E14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792" w:type="dxa"/>
            <w:noWrap w:val="0"/>
            <w:vAlign w:val="center"/>
          </w:tcPr>
          <w:p w14:paraId="40C3BCF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20</w:t>
            </w:r>
          </w:p>
        </w:tc>
        <w:tc>
          <w:tcPr>
            <w:tcW w:w="660" w:type="dxa"/>
            <w:noWrap w:val="0"/>
            <w:vAlign w:val="center"/>
          </w:tcPr>
          <w:p w14:paraId="5DFE32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20</w:t>
            </w:r>
          </w:p>
        </w:tc>
        <w:tc>
          <w:tcPr>
            <w:tcW w:w="1440" w:type="dxa"/>
            <w:noWrap w:val="0"/>
            <w:vAlign w:val="center"/>
          </w:tcPr>
          <w:p w14:paraId="735DA82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6AA9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9D909B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7021049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tc>
        <w:tc>
          <w:tcPr>
            <w:tcW w:w="1128" w:type="dxa"/>
            <w:shd w:val="clear" w:color="auto" w:fill="auto"/>
            <w:noWrap w:val="0"/>
            <w:vAlign w:val="top"/>
          </w:tcPr>
          <w:p w14:paraId="17AC76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社会成本指标</w:t>
            </w:r>
          </w:p>
        </w:tc>
        <w:tc>
          <w:tcPr>
            <w:tcW w:w="998" w:type="dxa"/>
            <w:noWrap w:val="0"/>
            <w:vAlign w:val="center"/>
          </w:tcPr>
          <w:p w14:paraId="46E2B9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903" w:type="dxa"/>
            <w:noWrap w:val="0"/>
            <w:vAlign w:val="center"/>
          </w:tcPr>
          <w:p w14:paraId="40114E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996" w:type="dxa"/>
            <w:noWrap w:val="0"/>
            <w:vAlign w:val="center"/>
          </w:tcPr>
          <w:p w14:paraId="5567134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792" w:type="dxa"/>
            <w:noWrap w:val="0"/>
            <w:vAlign w:val="center"/>
          </w:tcPr>
          <w:p w14:paraId="43E18DE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660" w:type="dxa"/>
            <w:noWrap w:val="0"/>
            <w:vAlign w:val="center"/>
          </w:tcPr>
          <w:p w14:paraId="48CAF9B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440" w:type="dxa"/>
            <w:noWrap w:val="0"/>
            <w:vAlign w:val="center"/>
          </w:tcPr>
          <w:p w14:paraId="5DAC93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2A3E6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E4F39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5349CE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tc>
        <w:tc>
          <w:tcPr>
            <w:tcW w:w="1128" w:type="dxa"/>
            <w:shd w:val="clear" w:color="auto" w:fill="auto"/>
            <w:noWrap w:val="0"/>
            <w:vAlign w:val="top"/>
          </w:tcPr>
          <w:p w14:paraId="1E5185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生态环境成本指标</w:t>
            </w:r>
          </w:p>
        </w:tc>
        <w:tc>
          <w:tcPr>
            <w:tcW w:w="998" w:type="dxa"/>
            <w:noWrap w:val="0"/>
            <w:vAlign w:val="center"/>
          </w:tcPr>
          <w:p w14:paraId="2EEEB0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农业生态成本</w:t>
            </w:r>
          </w:p>
        </w:tc>
        <w:tc>
          <w:tcPr>
            <w:tcW w:w="903" w:type="dxa"/>
            <w:noWrap w:val="0"/>
            <w:vAlign w:val="center"/>
          </w:tcPr>
          <w:p w14:paraId="3E8D02F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c>
          <w:tcPr>
            <w:tcW w:w="996" w:type="dxa"/>
            <w:noWrap w:val="0"/>
            <w:vAlign w:val="center"/>
          </w:tcPr>
          <w:p w14:paraId="2BB963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792" w:type="dxa"/>
            <w:noWrap w:val="0"/>
            <w:vAlign w:val="center"/>
          </w:tcPr>
          <w:p w14:paraId="1A0288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p>
        </w:tc>
        <w:tc>
          <w:tcPr>
            <w:tcW w:w="660" w:type="dxa"/>
            <w:noWrap w:val="0"/>
            <w:vAlign w:val="center"/>
          </w:tcPr>
          <w:p w14:paraId="06E142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p>
        </w:tc>
        <w:tc>
          <w:tcPr>
            <w:tcW w:w="1440" w:type="dxa"/>
            <w:noWrap w:val="0"/>
            <w:vAlign w:val="center"/>
          </w:tcPr>
          <w:p w14:paraId="5F65AA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6D3A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524D13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411638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产出指标</w:t>
            </w:r>
          </w:p>
          <w:p w14:paraId="1737AD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eastAsia="zh-CN"/>
              </w:rPr>
              <w:t>（</w:t>
            </w:r>
            <w:r>
              <w:rPr>
                <w:rFonts w:hint="eastAsia" w:ascii="仿宋" w:hAnsi="仿宋" w:eastAsia="仿宋" w:cs="仿宋"/>
                <w:color w:val="000000"/>
                <w:kern w:val="0"/>
                <w:sz w:val="20"/>
                <w:szCs w:val="20"/>
                <w:lang w:val="en-US" w:eastAsia="zh-CN"/>
              </w:rPr>
              <w:t>3</w:t>
            </w:r>
            <w:r>
              <w:rPr>
                <w:rFonts w:hint="eastAsia" w:ascii="仿宋" w:hAnsi="仿宋" w:eastAsia="仿宋" w:cs="仿宋"/>
                <w:color w:val="000000"/>
                <w:kern w:val="0"/>
                <w:sz w:val="20"/>
                <w:szCs w:val="20"/>
              </w:rPr>
              <w:t>0分)</w:t>
            </w:r>
          </w:p>
        </w:tc>
        <w:tc>
          <w:tcPr>
            <w:tcW w:w="1128" w:type="dxa"/>
            <w:vMerge w:val="restart"/>
            <w:noWrap w:val="0"/>
            <w:vAlign w:val="center"/>
          </w:tcPr>
          <w:p w14:paraId="4154D3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数量指标</w:t>
            </w:r>
          </w:p>
        </w:tc>
        <w:tc>
          <w:tcPr>
            <w:tcW w:w="998" w:type="dxa"/>
            <w:noWrap w:val="0"/>
            <w:vAlign w:val="center"/>
          </w:tcPr>
          <w:p w14:paraId="406E3C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财政供养人员控制率</w:t>
            </w:r>
          </w:p>
        </w:tc>
        <w:tc>
          <w:tcPr>
            <w:tcW w:w="903" w:type="dxa"/>
            <w:noWrap w:val="0"/>
            <w:vAlign w:val="center"/>
          </w:tcPr>
          <w:p w14:paraId="458EF9C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96" w:type="dxa"/>
            <w:noWrap w:val="0"/>
            <w:vAlign w:val="center"/>
          </w:tcPr>
          <w:p w14:paraId="7E8E30B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106.2%</w:t>
            </w:r>
          </w:p>
        </w:tc>
        <w:tc>
          <w:tcPr>
            <w:tcW w:w="792" w:type="dxa"/>
            <w:noWrap w:val="0"/>
            <w:vAlign w:val="center"/>
          </w:tcPr>
          <w:p w14:paraId="64E4DA4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16C6A3C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0</w:t>
            </w:r>
          </w:p>
        </w:tc>
        <w:tc>
          <w:tcPr>
            <w:tcW w:w="1440" w:type="dxa"/>
            <w:noWrap w:val="0"/>
            <w:vAlign w:val="center"/>
          </w:tcPr>
          <w:p w14:paraId="160569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BB7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4BE104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6DED6B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1425AD1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998" w:type="dxa"/>
            <w:noWrap w:val="0"/>
            <w:vAlign w:val="center"/>
          </w:tcPr>
          <w:p w14:paraId="04DD5B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三公经费变动率</w:t>
            </w:r>
          </w:p>
        </w:tc>
        <w:tc>
          <w:tcPr>
            <w:tcW w:w="903" w:type="dxa"/>
            <w:noWrap w:val="0"/>
            <w:vAlign w:val="center"/>
          </w:tcPr>
          <w:p w14:paraId="388605C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0</w:t>
            </w:r>
          </w:p>
        </w:tc>
        <w:tc>
          <w:tcPr>
            <w:tcW w:w="996" w:type="dxa"/>
            <w:noWrap w:val="0"/>
            <w:vAlign w:val="center"/>
          </w:tcPr>
          <w:p w14:paraId="1830DC3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0</w:t>
            </w:r>
          </w:p>
        </w:tc>
        <w:tc>
          <w:tcPr>
            <w:tcW w:w="792" w:type="dxa"/>
            <w:noWrap w:val="0"/>
            <w:vAlign w:val="center"/>
          </w:tcPr>
          <w:p w14:paraId="5A9FAF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370261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40B153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6020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24BB4D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4CE6A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restart"/>
            <w:noWrap w:val="0"/>
            <w:vAlign w:val="center"/>
          </w:tcPr>
          <w:p w14:paraId="1073AB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质量指标</w:t>
            </w:r>
          </w:p>
        </w:tc>
        <w:tc>
          <w:tcPr>
            <w:tcW w:w="998" w:type="dxa"/>
            <w:noWrap w:val="0"/>
            <w:vAlign w:val="center"/>
          </w:tcPr>
          <w:p w14:paraId="412576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政府采购执行率</w:t>
            </w:r>
          </w:p>
        </w:tc>
        <w:tc>
          <w:tcPr>
            <w:tcW w:w="903" w:type="dxa"/>
            <w:noWrap w:val="0"/>
            <w:vAlign w:val="center"/>
          </w:tcPr>
          <w:p w14:paraId="64D87E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96" w:type="dxa"/>
            <w:noWrap w:val="0"/>
            <w:vAlign w:val="center"/>
          </w:tcPr>
          <w:p w14:paraId="387656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792" w:type="dxa"/>
            <w:noWrap w:val="0"/>
            <w:vAlign w:val="center"/>
          </w:tcPr>
          <w:p w14:paraId="5F4893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04C5B9B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2FCF85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0569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7D12C7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6309C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2ED5C6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998" w:type="dxa"/>
            <w:noWrap w:val="0"/>
            <w:vAlign w:val="center"/>
          </w:tcPr>
          <w:p w14:paraId="12D549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公用经费控制率</w:t>
            </w:r>
          </w:p>
        </w:tc>
        <w:tc>
          <w:tcPr>
            <w:tcW w:w="903" w:type="dxa"/>
            <w:noWrap w:val="0"/>
            <w:vAlign w:val="center"/>
          </w:tcPr>
          <w:p w14:paraId="57E05D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96" w:type="dxa"/>
            <w:noWrap w:val="0"/>
            <w:vAlign w:val="center"/>
          </w:tcPr>
          <w:p w14:paraId="3793A67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p w14:paraId="1D83BA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p>
          <w:p w14:paraId="1A716E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p>
          <w:p w14:paraId="12DF501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p>
          <w:p w14:paraId="0775FD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p>
          <w:p w14:paraId="14573E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p>
          <w:p w14:paraId="6BD1648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p>
        </w:tc>
        <w:tc>
          <w:tcPr>
            <w:tcW w:w="792" w:type="dxa"/>
            <w:noWrap w:val="0"/>
            <w:vAlign w:val="center"/>
          </w:tcPr>
          <w:p w14:paraId="70FAA5F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319FD98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44A16AA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3FD35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1263C08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E7D0F9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restart"/>
            <w:noWrap w:val="0"/>
            <w:vAlign w:val="center"/>
          </w:tcPr>
          <w:p w14:paraId="161890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时效指标</w:t>
            </w:r>
          </w:p>
        </w:tc>
        <w:tc>
          <w:tcPr>
            <w:tcW w:w="998" w:type="dxa"/>
            <w:noWrap w:val="0"/>
            <w:vAlign w:val="center"/>
          </w:tcPr>
          <w:p w14:paraId="152245D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当成完成率</w:t>
            </w:r>
          </w:p>
        </w:tc>
        <w:tc>
          <w:tcPr>
            <w:tcW w:w="903" w:type="dxa"/>
            <w:noWrap w:val="0"/>
            <w:vAlign w:val="center"/>
          </w:tcPr>
          <w:p w14:paraId="334B62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96" w:type="dxa"/>
            <w:noWrap w:val="0"/>
            <w:vAlign w:val="center"/>
          </w:tcPr>
          <w:p w14:paraId="3847ED6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100%</w:t>
            </w:r>
            <w:r>
              <w:rPr>
                <w:rFonts w:hint="eastAsia" w:ascii="仿宋" w:hAnsi="仿宋" w:eastAsia="仿宋" w:cs="仿宋"/>
                <w:color w:val="000000"/>
                <w:kern w:val="0"/>
                <w:sz w:val="20"/>
                <w:szCs w:val="20"/>
                <w:lang w:eastAsia="zh-CN"/>
              </w:rPr>
              <w:t xml:space="preserve"> </w:t>
            </w:r>
          </w:p>
        </w:tc>
        <w:tc>
          <w:tcPr>
            <w:tcW w:w="792" w:type="dxa"/>
            <w:noWrap w:val="0"/>
            <w:vAlign w:val="center"/>
          </w:tcPr>
          <w:p w14:paraId="4FE6C8C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w:t>
            </w:r>
          </w:p>
        </w:tc>
        <w:tc>
          <w:tcPr>
            <w:tcW w:w="660" w:type="dxa"/>
            <w:noWrap w:val="0"/>
            <w:vAlign w:val="center"/>
          </w:tcPr>
          <w:p w14:paraId="31B443F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10</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400F349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6D86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42ED99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9A9829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50037E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998" w:type="dxa"/>
            <w:noWrap w:val="0"/>
            <w:vAlign w:val="center"/>
          </w:tcPr>
          <w:p w14:paraId="0AC6ECB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p>
        </w:tc>
        <w:tc>
          <w:tcPr>
            <w:tcW w:w="903" w:type="dxa"/>
            <w:noWrap w:val="0"/>
            <w:vAlign w:val="center"/>
          </w:tcPr>
          <w:p w14:paraId="11B7A49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996" w:type="dxa"/>
            <w:noWrap w:val="0"/>
            <w:vAlign w:val="center"/>
          </w:tcPr>
          <w:p w14:paraId="50CC20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792" w:type="dxa"/>
            <w:noWrap w:val="0"/>
            <w:vAlign w:val="center"/>
          </w:tcPr>
          <w:p w14:paraId="0AD43FB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660" w:type="dxa"/>
            <w:noWrap w:val="0"/>
            <w:vAlign w:val="center"/>
          </w:tcPr>
          <w:p w14:paraId="585CDA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1440" w:type="dxa"/>
            <w:noWrap w:val="0"/>
            <w:vAlign w:val="center"/>
          </w:tcPr>
          <w:p w14:paraId="5117974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352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02F285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4D309F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效益指标</w:t>
            </w:r>
          </w:p>
          <w:p w14:paraId="168859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（3</w:t>
            </w:r>
            <w:r>
              <w:rPr>
                <w:rFonts w:hint="eastAsia" w:ascii="仿宋" w:hAnsi="仿宋" w:eastAsia="仿宋" w:cs="仿宋"/>
                <w:color w:val="000000"/>
                <w:kern w:val="0"/>
                <w:sz w:val="20"/>
                <w:szCs w:val="20"/>
                <w:lang w:val="en-US" w:eastAsia="zh-CN"/>
              </w:rPr>
              <w:t>0</w:t>
            </w:r>
            <w:r>
              <w:rPr>
                <w:rFonts w:hint="eastAsia" w:ascii="仿宋" w:hAnsi="仿宋" w:eastAsia="仿宋" w:cs="仿宋"/>
                <w:color w:val="000000"/>
                <w:kern w:val="0"/>
                <w:sz w:val="20"/>
                <w:szCs w:val="20"/>
              </w:rPr>
              <w:t>分）</w:t>
            </w:r>
          </w:p>
        </w:tc>
        <w:tc>
          <w:tcPr>
            <w:tcW w:w="1128" w:type="dxa"/>
            <w:vMerge w:val="restart"/>
            <w:noWrap w:val="0"/>
            <w:vAlign w:val="center"/>
          </w:tcPr>
          <w:p w14:paraId="5A3E1C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经济效益指标</w:t>
            </w:r>
          </w:p>
        </w:tc>
        <w:tc>
          <w:tcPr>
            <w:tcW w:w="998" w:type="dxa"/>
            <w:noWrap w:val="0"/>
            <w:vAlign w:val="center"/>
          </w:tcPr>
          <w:p w14:paraId="42AC80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农产品质量</w:t>
            </w:r>
          </w:p>
        </w:tc>
        <w:tc>
          <w:tcPr>
            <w:tcW w:w="903" w:type="dxa"/>
            <w:noWrap w:val="0"/>
            <w:vAlign w:val="center"/>
          </w:tcPr>
          <w:p w14:paraId="7E83E7A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有所提升</w:t>
            </w:r>
          </w:p>
        </w:tc>
        <w:tc>
          <w:tcPr>
            <w:tcW w:w="996" w:type="dxa"/>
            <w:noWrap w:val="0"/>
            <w:vAlign w:val="center"/>
          </w:tcPr>
          <w:p w14:paraId="574AF8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得到提升</w:t>
            </w:r>
          </w:p>
        </w:tc>
        <w:tc>
          <w:tcPr>
            <w:tcW w:w="792" w:type="dxa"/>
            <w:noWrap w:val="0"/>
            <w:vAlign w:val="center"/>
          </w:tcPr>
          <w:p w14:paraId="422BAD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6AB0222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5E857FC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30BC4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31B1AD2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37B51B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12452A9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998" w:type="dxa"/>
            <w:noWrap w:val="0"/>
            <w:vAlign w:val="center"/>
          </w:tcPr>
          <w:p w14:paraId="5E904E4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农作物亩产增收</w:t>
            </w:r>
          </w:p>
        </w:tc>
        <w:tc>
          <w:tcPr>
            <w:tcW w:w="903" w:type="dxa"/>
            <w:noWrap w:val="0"/>
            <w:vAlign w:val="center"/>
          </w:tcPr>
          <w:p w14:paraId="38C728F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5%以上</w:t>
            </w:r>
          </w:p>
        </w:tc>
        <w:tc>
          <w:tcPr>
            <w:tcW w:w="996" w:type="dxa"/>
            <w:noWrap w:val="0"/>
            <w:vAlign w:val="center"/>
          </w:tcPr>
          <w:p w14:paraId="2F8BB92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5%以上</w:t>
            </w:r>
          </w:p>
        </w:tc>
        <w:tc>
          <w:tcPr>
            <w:tcW w:w="792" w:type="dxa"/>
            <w:noWrap w:val="0"/>
            <w:vAlign w:val="center"/>
          </w:tcPr>
          <w:p w14:paraId="4C1994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29278F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61BBDE4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4797B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0E8DBF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0EE7171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restart"/>
            <w:noWrap w:val="0"/>
            <w:vAlign w:val="center"/>
          </w:tcPr>
          <w:p w14:paraId="03C632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社会效益指标</w:t>
            </w:r>
          </w:p>
        </w:tc>
        <w:tc>
          <w:tcPr>
            <w:tcW w:w="998" w:type="dxa"/>
            <w:noWrap w:val="0"/>
            <w:vAlign w:val="center"/>
          </w:tcPr>
          <w:p w14:paraId="2253F8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经济效益</w:t>
            </w:r>
          </w:p>
        </w:tc>
        <w:tc>
          <w:tcPr>
            <w:tcW w:w="903" w:type="dxa"/>
            <w:noWrap w:val="0"/>
            <w:vAlign w:val="center"/>
          </w:tcPr>
          <w:p w14:paraId="7B9F8AC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明显提高</w:t>
            </w:r>
          </w:p>
        </w:tc>
        <w:tc>
          <w:tcPr>
            <w:tcW w:w="996" w:type="dxa"/>
            <w:noWrap w:val="0"/>
            <w:vAlign w:val="center"/>
          </w:tcPr>
          <w:p w14:paraId="46A895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明显提高</w:t>
            </w:r>
          </w:p>
        </w:tc>
        <w:tc>
          <w:tcPr>
            <w:tcW w:w="792" w:type="dxa"/>
            <w:noWrap w:val="0"/>
            <w:vAlign w:val="center"/>
          </w:tcPr>
          <w:p w14:paraId="193276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33339E5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5DA541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CDB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6B598E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7E1FB9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5F2EAB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998" w:type="dxa"/>
            <w:noWrap w:val="0"/>
            <w:vAlign w:val="center"/>
          </w:tcPr>
          <w:p w14:paraId="1636E28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p>
        </w:tc>
        <w:tc>
          <w:tcPr>
            <w:tcW w:w="903" w:type="dxa"/>
            <w:noWrap w:val="0"/>
            <w:vAlign w:val="center"/>
          </w:tcPr>
          <w:p w14:paraId="4F88C5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996" w:type="dxa"/>
            <w:noWrap w:val="0"/>
            <w:vAlign w:val="center"/>
          </w:tcPr>
          <w:p w14:paraId="52B9CB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792" w:type="dxa"/>
            <w:noWrap w:val="0"/>
            <w:vAlign w:val="center"/>
          </w:tcPr>
          <w:p w14:paraId="581B795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660" w:type="dxa"/>
            <w:noWrap w:val="0"/>
            <w:vAlign w:val="center"/>
          </w:tcPr>
          <w:p w14:paraId="5A35275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1440" w:type="dxa"/>
            <w:noWrap w:val="0"/>
            <w:vAlign w:val="center"/>
          </w:tcPr>
          <w:p w14:paraId="2CD557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1DC7A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5A09EE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03EDE6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restart"/>
            <w:noWrap w:val="0"/>
            <w:vAlign w:val="center"/>
          </w:tcPr>
          <w:p w14:paraId="21DA96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生态效益指标</w:t>
            </w:r>
          </w:p>
        </w:tc>
        <w:tc>
          <w:tcPr>
            <w:tcW w:w="998" w:type="dxa"/>
            <w:noWrap w:val="0"/>
            <w:vAlign w:val="center"/>
          </w:tcPr>
          <w:p w14:paraId="47B9AC5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农业生态环境</w:t>
            </w:r>
          </w:p>
        </w:tc>
        <w:tc>
          <w:tcPr>
            <w:tcW w:w="903" w:type="dxa"/>
            <w:noWrap w:val="0"/>
            <w:vAlign w:val="center"/>
          </w:tcPr>
          <w:p w14:paraId="28DE93D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有所改善</w:t>
            </w:r>
          </w:p>
        </w:tc>
        <w:tc>
          <w:tcPr>
            <w:tcW w:w="996" w:type="dxa"/>
            <w:noWrap w:val="0"/>
            <w:vAlign w:val="center"/>
          </w:tcPr>
          <w:p w14:paraId="2CC4AD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得到改善</w:t>
            </w:r>
          </w:p>
        </w:tc>
        <w:tc>
          <w:tcPr>
            <w:tcW w:w="792" w:type="dxa"/>
            <w:noWrap w:val="0"/>
            <w:vAlign w:val="center"/>
          </w:tcPr>
          <w:p w14:paraId="756D30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5</w:t>
            </w:r>
          </w:p>
        </w:tc>
        <w:tc>
          <w:tcPr>
            <w:tcW w:w="660" w:type="dxa"/>
            <w:noWrap w:val="0"/>
            <w:vAlign w:val="center"/>
          </w:tcPr>
          <w:p w14:paraId="0F6A95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5</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7A673A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7478E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5B53C9B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6001A4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7B33E9B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998" w:type="dxa"/>
            <w:noWrap w:val="0"/>
            <w:vAlign w:val="center"/>
          </w:tcPr>
          <w:p w14:paraId="2CE171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p>
        </w:tc>
        <w:tc>
          <w:tcPr>
            <w:tcW w:w="903" w:type="dxa"/>
            <w:noWrap w:val="0"/>
            <w:vAlign w:val="center"/>
          </w:tcPr>
          <w:p w14:paraId="48E4D8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996" w:type="dxa"/>
            <w:noWrap w:val="0"/>
            <w:vAlign w:val="center"/>
          </w:tcPr>
          <w:p w14:paraId="6602EAB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792" w:type="dxa"/>
            <w:noWrap w:val="0"/>
            <w:vAlign w:val="center"/>
          </w:tcPr>
          <w:p w14:paraId="7F23DE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660" w:type="dxa"/>
            <w:noWrap w:val="0"/>
            <w:vAlign w:val="center"/>
          </w:tcPr>
          <w:p w14:paraId="113B6BB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1440" w:type="dxa"/>
            <w:noWrap w:val="0"/>
            <w:vAlign w:val="center"/>
          </w:tcPr>
          <w:p w14:paraId="137982B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39E71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4092A1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CD5E6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restart"/>
            <w:noWrap w:val="0"/>
            <w:vAlign w:val="center"/>
          </w:tcPr>
          <w:p w14:paraId="337E7F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可持续影响指标</w:t>
            </w:r>
          </w:p>
        </w:tc>
        <w:tc>
          <w:tcPr>
            <w:tcW w:w="998" w:type="dxa"/>
            <w:noWrap w:val="0"/>
            <w:vAlign w:val="center"/>
          </w:tcPr>
          <w:p w14:paraId="1186B1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产业发展</w:t>
            </w:r>
          </w:p>
        </w:tc>
        <w:tc>
          <w:tcPr>
            <w:tcW w:w="903" w:type="dxa"/>
            <w:noWrap w:val="0"/>
            <w:vAlign w:val="center"/>
          </w:tcPr>
          <w:p w14:paraId="0E1A99A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可持续性</w:t>
            </w:r>
          </w:p>
        </w:tc>
        <w:tc>
          <w:tcPr>
            <w:tcW w:w="996" w:type="dxa"/>
            <w:noWrap w:val="0"/>
            <w:vAlign w:val="center"/>
          </w:tcPr>
          <w:p w14:paraId="612007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可持续性</w:t>
            </w:r>
          </w:p>
        </w:tc>
        <w:tc>
          <w:tcPr>
            <w:tcW w:w="792" w:type="dxa"/>
            <w:noWrap w:val="0"/>
            <w:vAlign w:val="center"/>
          </w:tcPr>
          <w:p w14:paraId="0506CE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w:t>
            </w:r>
          </w:p>
        </w:tc>
        <w:tc>
          <w:tcPr>
            <w:tcW w:w="660" w:type="dxa"/>
            <w:noWrap w:val="0"/>
            <w:vAlign w:val="center"/>
          </w:tcPr>
          <w:p w14:paraId="5D2C8A1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val="en-US" w:eastAsia="zh-CN"/>
              </w:rPr>
              <w:t>10</w:t>
            </w:r>
            <w:r>
              <w:rPr>
                <w:rFonts w:hint="eastAsia" w:ascii="仿宋" w:hAnsi="仿宋" w:eastAsia="仿宋" w:cs="仿宋"/>
                <w:color w:val="000000"/>
                <w:kern w:val="0"/>
                <w:sz w:val="20"/>
                <w:szCs w:val="20"/>
                <w:lang w:eastAsia="zh-CN"/>
              </w:rPr>
              <w:t xml:space="preserve"> </w:t>
            </w:r>
          </w:p>
        </w:tc>
        <w:tc>
          <w:tcPr>
            <w:tcW w:w="1440" w:type="dxa"/>
            <w:noWrap w:val="0"/>
            <w:vAlign w:val="center"/>
          </w:tcPr>
          <w:p w14:paraId="32A310A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06017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6609DB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327" w:type="dxa"/>
            <w:vMerge w:val="continue"/>
            <w:noWrap w:val="0"/>
            <w:vAlign w:val="center"/>
          </w:tcPr>
          <w:p w14:paraId="073025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31495BF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998" w:type="dxa"/>
            <w:noWrap w:val="0"/>
            <w:vAlign w:val="center"/>
          </w:tcPr>
          <w:p w14:paraId="283703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p>
        </w:tc>
        <w:tc>
          <w:tcPr>
            <w:tcW w:w="903" w:type="dxa"/>
            <w:noWrap w:val="0"/>
            <w:vAlign w:val="center"/>
          </w:tcPr>
          <w:p w14:paraId="16ED65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996" w:type="dxa"/>
            <w:noWrap w:val="0"/>
            <w:vAlign w:val="center"/>
          </w:tcPr>
          <w:p w14:paraId="5AB6AF8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792" w:type="dxa"/>
            <w:noWrap w:val="0"/>
            <w:vAlign w:val="center"/>
          </w:tcPr>
          <w:p w14:paraId="596803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660" w:type="dxa"/>
            <w:noWrap w:val="0"/>
            <w:vAlign w:val="center"/>
          </w:tcPr>
          <w:p w14:paraId="2FAFF3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1440" w:type="dxa"/>
            <w:noWrap w:val="0"/>
            <w:vAlign w:val="center"/>
          </w:tcPr>
          <w:p w14:paraId="5218C4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165FC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6425968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327" w:type="dxa"/>
            <w:vMerge w:val="restart"/>
            <w:noWrap w:val="0"/>
            <w:vAlign w:val="center"/>
          </w:tcPr>
          <w:p w14:paraId="1DA3E9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满意度</w:t>
            </w:r>
          </w:p>
          <w:p w14:paraId="0B8E42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指标</w:t>
            </w:r>
          </w:p>
          <w:p w14:paraId="73D21F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（10分）</w:t>
            </w:r>
          </w:p>
        </w:tc>
        <w:tc>
          <w:tcPr>
            <w:tcW w:w="1128" w:type="dxa"/>
            <w:vMerge w:val="restart"/>
            <w:noWrap w:val="0"/>
            <w:vAlign w:val="center"/>
          </w:tcPr>
          <w:p w14:paraId="211F5E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服务对象满意度指标</w:t>
            </w:r>
          </w:p>
        </w:tc>
        <w:tc>
          <w:tcPr>
            <w:tcW w:w="998" w:type="dxa"/>
            <w:noWrap w:val="0"/>
            <w:vAlign w:val="center"/>
          </w:tcPr>
          <w:p w14:paraId="065673E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群众满意度</w:t>
            </w:r>
          </w:p>
        </w:tc>
        <w:tc>
          <w:tcPr>
            <w:tcW w:w="903" w:type="dxa"/>
            <w:noWrap w:val="0"/>
            <w:vAlign w:val="center"/>
          </w:tcPr>
          <w:p w14:paraId="3EFF17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996" w:type="dxa"/>
            <w:noWrap w:val="0"/>
            <w:vAlign w:val="center"/>
          </w:tcPr>
          <w:p w14:paraId="7B8B106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792" w:type="dxa"/>
            <w:noWrap w:val="0"/>
            <w:vAlign w:val="center"/>
          </w:tcPr>
          <w:p w14:paraId="32F9C9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w:t>
            </w:r>
          </w:p>
        </w:tc>
        <w:tc>
          <w:tcPr>
            <w:tcW w:w="660" w:type="dxa"/>
            <w:noWrap w:val="0"/>
            <w:vAlign w:val="center"/>
          </w:tcPr>
          <w:p w14:paraId="7DC111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w:t>
            </w:r>
          </w:p>
        </w:tc>
        <w:tc>
          <w:tcPr>
            <w:tcW w:w="1440" w:type="dxa"/>
            <w:noWrap w:val="0"/>
            <w:vAlign w:val="center"/>
          </w:tcPr>
          <w:p w14:paraId="3046E95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4C72E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112CD53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327" w:type="dxa"/>
            <w:vMerge w:val="continue"/>
            <w:noWrap w:val="0"/>
            <w:vAlign w:val="center"/>
          </w:tcPr>
          <w:p w14:paraId="6FCD533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128" w:type="dxa"/>
            <w:vMerge w:val="continue"/>
            <w:noWrap w:val="0"/>
            <w:vAlign w:val="center"/>
          </w:tcPr>
          <w:p w14:paraId="341166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998" w:type="dxa"/>
            <w:noWrap w:val="0"/>
            <w:vAlign w:val="center"/>
          </w:tcPr>
          <w:p w14:paraId="44A0F09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p>
        </w:tc>
        <w:tc>
          <w:tcPr>
            <w:tcW w:w="903" w:type="dxa"/>
            <w:noWrap w:val="0"/>
            <w:vAlign w:val="center"/>
          </w:tcPr>
          <w:p w14:paraId="26B1ED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996" w:type="dxa"/>
            <w:noWrap w:val="0"/>
            <w:vAlign w:val="center"/>
          </w:tcPr>
          <w:p w14:paraId="13D5632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792" w:type="dxa"/>
            <w:noWrap w:val="0"/>
            <w:vAlign w:val="center"/>
          </w:tcPr>
          <w:p w14:paraId="2912EF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660" w:type="dxa"/>
            <w:noWrap w:val="0"/>
            <w:vAlign w:val="center"/>
          </w:tcPr>
          <w:p w14:paraId="464004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c>
          <w:tcPr>
            <w:tcW w:w="1440" w:type="dxa"/>
            <w:noWrap w:val="0"/>
            <w:vAlign w:val="center"/>
          </w:tcPr>
          <w:p w14:paraId="05FCD4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0F0DA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70" w:type="dxa"/>
            <w:gridSpan w:val="6"/>
            <w:noWrap w:val="0"/>
            <w:vAlign w:val="center"/>
          </w:tcPr>
          <w:p w14:paraId="3A930E7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总分</w:t>
            </w:r>
          </w:p>
        </w:tc>
        <w:tc>
          <w:tcPr>
            <w:tcW w:w="792" w:type="dxa"/>
            <w:noWrap w:val="0"/>
            <w:vAlign w:val="center"/>
          </w:tcPr>
          <w:p w14:paraId="6CF072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100</w:t>
            </w:r>
          </w:p>
        </w:tc>
        <w:tc>
          <w:tcPr>
            <w:tcW w:w="660" w:type="dxa"/>
            <w:noWrap w:val="0"/>
            <w:vAlign w:val="center"/>
          </w:tcPr>
          <w:p w14:paraId="65C18C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95</w:t>
            </w:r>
          </w:p>
        </w:tc>
        <w:tc>
          <w:tcPr>
            <w:tcW w:w="1440" w:type="dxa"/>
            <w:noWrap w:val="0"/>
            <w:vAlign w:val="center"/>
          </w:tcPr>
          <w:p w14:paraId="27FB17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bl>
    <w:p w14:paraId="0AF7B71A">
      <w:pPr>
        <w:widowControl w:val="0"/>
        <w:kinsoku/>
        <w:autoSpaceDE/>
        <w:autoSpaceDN/>
        <w:adjustRightInd/>
        <w:snapToGrid/>
        <w:spacing w:line="600" w:lineRule="exact"/>
        <w:jc w:val="both"/>
        <w:textAlignment w:val="auto"/>
        <w:rPr>
          <w:rFonts w:hint="default" w:ascii="Times New Roman" w:hAnsi="Times New Roman" w:eastAsia="仿宋_GB2312" w:cs="Times New Roman"/>
          <w:snapToGrid/>
          <w:color w:val="000000"/>
          <w:kern w:val="0"/>
          <w:sz w:val="32"/>
          <w:szCs w:val="32"/>
          <w:lang w:val="en-US" w:eastAsia="zh-CN" w:bidi="ar-SA"/>
        </w:rPr>
      </w:pPr>
      <w:r>
        <w:rPr>
          <w:rFonts w:hint="default" w:ascii="Times New Roman" w:hAnsi="Times New Roman" w:eastAsia="仿宋_GB2312" w:cs="Times New Roman"/>
          <w:snapToGrid/>
          <w:color w:val="000000"/>
          <w:kern w:val="0"/>
          <w:sz w:val="24"/>
          <w:szCs w:val="24"/>
          <w:lang w:val="en-US" w:eastAsia="zh-CN" w:bidi="ar-SA"/>
        </w:rPr>
        <w:t>填表人：</w:t>
      </w:r>
      <w:r>
        <w:rPr>
          <w:rFonts w:hint="eastAsia" w:ascii="Times New Roman" w:hAnsi="Times New Roman" w:eastAsia="仿宋_GB2312" w:cs="Times New Roman"/>
          <w:snapToGrid/>
          <w:color w:val="000000"/>
          <w:kern w:val="0"/>
          <w:sz w:val="24"/>
          <w:szCs w:val="24"/>
          <w:lang w:val="en-US" w:eastAsia="zh-CN" w:bidi="ar-SA"/>
        </w:rPr>
        <w:t xml:space="preserve"> 朱丽蓉      </w:t>
      </w:r>
      <w:r>
        <w:rPr>
          <w:rFonts w:hint="default" w:ascii="Times New Roman" w:hAnsi="Times New Roman" w:eastAsia="仿宋_GB2312" w:cs="Times New Roman"/>
          <w:snapToGrid/>
          <w:color w:val="000000"/>
          <w:kern w:val="0"/>
          <w:sz w:val="24"/>
          <w:szCs w:val="24"/>
          <w:lang w:val="en-US" w:eastAsia="zh-CN" w:bidi="ar-SA"/>
        </w:rPr>
        <w:t xml:space="preserve">  填报日期：</w:t>
      </w:r>
      <w:r>
        <w:rPr>
          <w:rFonts w:hint="eastAsia" w:ascii="Times New Roman" w:hAnsi="Times New Roman" w:eastAsia="仿宋_GB2312" w:cs="Times New Roman"/>
          <w:snapToGrid/>
          <w:color w:val="000000"/>
          <w:kern w:val="0"/>
          <w:sz w:val="24"/>
          <w:szCs w:val="24"/>
          <w:lang w:val="en-US" w:eastAsia="zh-CN" w:bidi="ar-SA"/>
        </w:rPr>
        <w:t xml:space="preserve"> 2025.05.13       联</w:t>
      </w:r>
      <w:r>
        <w:rPr>
          <w:rFonts w:hint="default" w:ascii="Times New Roman" w:hAnsi="Times New Roman" w:eastAsia="仿宋_GB2312" w:cs="Times New Roman"/>
          <w:snapToGrid/>
          <w:color w:val="000000"/>
          <w:kern w:val="0"/>
          <w:sz w:val="24"/>
          <w:szCs w:val="24"/>
          <w:lang w:val="en-US" w:eastAsia="zh-CN" w:bidi="ar-SA"/>
        </w:rPr>
        <w:t>系电话：</w:t>
      </w:r>
      <w:r>
        <w:rPr>
          <w:rFonts w:hint="eastAsia" w:ascii="Times New Roman" w:hAnsi="Times New Roman" w:eastAsia="仿宋_GB2312" w:cs="Times New Roman"/>
          <w:snapToGrid/>
          <w:color w:val="000000"/>
          <w:kern w:val="0"/>
          <w:sz w:val="24"/>
          <w:szCs w:val="24"/>
          <w:lang w:val="en-US" w:eastAsia="zh-CN" w:bidi="ar-SA"/>
        </w:rPr>
        <w:t xml:space="preserve"> 13087202831</w:t>
      </w:r>
    </w:p>
    <w:p w14:paraId="7A94AE38">
      <w:pPr>
        <w:rPr>
          <w:rFonts w:hint="default"/>
          <w:lang w:val="en-US" w:eastAsia="zh-CN"/>
        </w:rPr>
      </w:pPr>
    </w:p>
    <w:sectPr>
      <w:pgSz w:w="11906" w:h="16838"/>
      <w:pgMar w:top="2098" w:right="180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25E3F9E-16B7-4D27-8CBA-F01DABD8A0D1}"/>
  </w:font>
  <w:font w:name="黑体">
    <w:panose1 w:val="02010609060101010101"/>
    <w:charset w:val="86"/>
    <w:family w:val="auto"/>
    <w:pitch w:val="default"/>
    <w:sig w:usb0="800002BF" w:usb1="38CF7CFA" w:usb2="00000016" w:usb3="00000000" w:csb0="00040001" w:csb1="00000000"/>
    <w:embedRegular r:id="rId2" w:fontKey="{A32AA6FA-DD50-441B-BDE2-F3F78F6731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A9EDA14C-72F5-43CE-A573-4E2AF4D710B8}"/>
  </w:font>
  <w:font w:name="Calibri Light">
    <w:panose1 w:val="020F0302020204030204"/>
    <w:charset w:val="00"/>
    <w:family w:val="auto"/>
    <w:pitch w:val="default"/>
    <w:sig w:usb0="A00002EF" w:usb1="4000207B"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B830085A-C295-4C57-B0E8-2B6402FE260B}"/>
  </w:font>
  <w:font w:name="仿宋">
    <w:panose1 w:val="02010609060101010101"/>
    <w:charset w:val="86"/>
    <w:family w:val="auto"/>
    <w:pitch w:val="default"/>
    <w:sig w:usb0="800002BF" w:usb1="38CF7CFA" w:usb2="00000016" w:usb3="00000000" w:csb0="00040001" w:csb1="00000000"/>
    <w:embedRegular r:id="rId5" w:fontKey="{7350BF6F-FA0A-4270-9196-CBB6688A68A7}"/>
  </w:font>
  <w:font w:name="楷体">
    <w:panose1 w:val="02010609060101010101"/>
    <w:charset w:val="86"/>
    <w:family w:val="auto"/>
    <w:pitch w:val="default"/>
    <w:sig w:usb0="800002BF" w:usb1="38CF7CFA" w:usb2="00000016" w:usb3="00000000" w:csb0="00040001" w:csb1="00000000"/>
    <w:embedRegular r:id="rId6" w:fontKey="{2F03707E-1C8B-421C-A9E4-DA068C8D9A83}"/>
  </w:font>
  <w:font w:name="方正小标宋_GBK">
    <w:panose1 w:val="03000509000000000000"/>
    <w:charset w:val="86"/>
    <w:family w:val="auto"/>
    <w:pitch w:val="default"/>
    <w:sig w:usb0="00000001" w:usb1="080E0000" w:usb2="00000000" w:usb3="00000000" w:csb0="00040000" w:csb1="00000000"/>
    <w:embedRegular r:id="rId7" w:fontKey="{84D4B595-FE19-436A-B450-B455314D3355}"/>
  </w:font>
  <w:font w:name="仿宋_GB2312">
    <w:panose1 w:val="02010609030101010101"/>
    <w:charset w:val="86"/>
    <w:family w:val="auto"/>
    <w:pitch w:val="default"/>
    <w:sig w:usb0="00000001" w:usb1="080E0000" w:usb2="00000000" w:usb3="00000000" w:csb0="00040000" w:csb1="00000000"/>
    <w:embedRegular r:id="rId8" w:fontKey="{D6D1A7FC-40F7-4890-9C2C-B129632C229C}"/>
  </w:font>
  <w:font w:name="方正仿宋_GB2312">
    <w:panose1 w:val="02000000000000000000"/>
    <w:charset w:val="86"/>
    <w:family w:val="auto"/>
    <w:pitch w:val="default"/>
    <w:sig w:usb0="A00002BF" w:usb1="184F6CFA" w:usb2="00000012" w:usb3="00000000" w:csb0="00040001" w:csb1="00000000"/>
    <w:embedRegular r:id="rId9" w:fontKey="{2D740199-6D5F-4D40-AA22-DE1C5C075C82}"/>
  </w:font>
  <w:font w:name="方正小标宋简体">
    <w:panose1 w:val="03000509000000000000"/>
    <w:charset w:val="86"/>
    <w:family w:val="auto"/>
    <w:pitch w:val="default"/>
    <w:sig w:usb0="00000001" w:usb1="080E0000" w:usb2="00000000" w:usb3="00000000" w:csb0="00040000" w:csb1="00000000"/>
    <w:embedRegular r:id="rId10" w:fontKey="{D347D0CE-3603-42FB-A63F-F94A47AF02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3657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09000C">
                          <w:pPr>
                            <w:pStyle w:val="6"/>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E09000C">
                    <w:pPr>
                      <w:pStyle w:val="6"/>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642B56"/>
    <w:multiLevelType w:val="singleLevel"/>
    <w:tmpl w:val="96642B56"/>
    <w:lvl w:ilvl="0" w:tentative="0">
      <w:start w:val="3"/>
      <w:numFmt w:val="chineseCounting"/>
      <w:suff w:val="nothing"/>
      <w:lvlText w:val="（%1）"/>
      <w:lvlJc w:val="left"/>
      <w:rPr>
        <w:rFonts w:hint="eastAsia"/>
      </w:rPr>
    </w:lvl>
  </w:abstractNum>
  <w:abstractNum w:abstractNumId="1">
    <w:nsid w:val="96D7135C"/>
    <w:multiLevelType w:val="singleLevel"/>
    <w:tmpl w:val="96D7135C"/>
    <w:lvl w:ilvl="0" w:tentative="0">
      <w:start w:val="8"/>
      <w:numFmt w:val="chineseCounting"/>
      <w:suff w:val="nothing"/>
      <w:lvlText w:val="%1、"/>
      <w:lvlJc w:val="left"/>
      <w:rPr>
        <w:rFonts w:hint="eastAsia"/>
      </w:rPr>
    </w:lvl>
  </w:abstractNum>
  <w:abstractNum w:abstractNumId="2">
    <w:nsid w:val="ADC53610"/>
    <w:multiLevelType w:val="singleLevel"/>
    <w:tmpl w:val="ADC53610"/>
    <w:lvl w:ilvl="0" w:tentative="0">
      <w:start w:val="4"/>
      <w:numFmt w:val="chineseCounting"/>
      <w:suff w:val="nothing"/>
      <w:lvlText w:val="（%1）"/>
      <w:lvlJc w:val="left"/>
      <w:rPr>
        <w:rFonts w:hint="eastAsia"/>
      </w:rPr>
    </w:lvl>
  </w:abstractNum>
  <w:abstractNum w:abstractNumId="3">
    <w:nsid w:val="C69FE705"/>
    <w:multiLevelType w:val="singleLevel"/>
    <w:tmpl w:val="C69FE705"/>
    <w:lvl w:ilvl="0" w:tentative="0">
      <w:start w:val="1"/>
      <w:numFmt w:val="chineseCounting"/>
      <w:suff w:val="nothing"/>
      <w:lvlText w:val="%1、"/>
      <w:lvlJc w:val="left"/>
      <w:rPr>
        <w:rFonts w:hint="eastAsia"/>
      </w:rPr>
    </w:lvl>
  </w:abstractNum>
  <w:abstractNum w:abstractNumId="4">
    <w:nsid w:val="DAD4E18C"/>
    <w:multiLevelType w:val="singleLevel"/>
    <w:tmpl w:val="DAD4E18C"/>
    <w:lvl w:ilvl="0" w:tentative="0">
      <w:start w:val="1"/>
      <w:numFmt w:val="decimal"/>
      <w:suff w:val="nothing"/>
      <w:lvlText w:val="%1、"/>
      <w:lvlJc w:val="left"/>
    </w:lvl>
  </w:abstractNum>
  <w:abstractNum w:abstractNumId="5">
    <w:nsid w:val="F58D793A"/>
    <w:multiLevelType w:val="singleLevel"/>
    <w:tmpl w:val="F58D793A"/>
    <w:lvl w:ilvl="0" w:tentative="0">
      <w:start w:val="2"/>
      <w:numFmt w:val="decimal"/>
      <w:suff w:val="nothing"/>
      <w:lvlText w:val="%1、"/>
      <w:lvlJc w:val="left"/>
    </w:lvl>
  </w:abstractNum>
  <w:abstractNum w:abstractNumId="6">
    <w:nsid w:val="3C55F18B"/>
    <w:multiLevelType w:val="singleLevel"/>
    <w:tmpl w:val="3C55F18B"/>
    <w:lvl w:ilvl="0" w:tentative="0">
      <w:start w:val="2"/>
      <w:numFmt w:val="decimal"/>
      <w:lvlText w:val="%1."/>
      <w:lvlJc w:val="left"/>
      <w:pPr>
        <w:tabs>
          <w:tab w:val="left" w:pos="312"/>
        </w:tabs>
      </w:pPr>
    </w:lvl>
  </w:abstractNum>
  <w:abstractNum w:abstractNumId="7">
    <w:nsid w:val="538D3E5F"/>
    <w:multiLevelType w:val="singleLevel"/>
    <w:tmpl w:val="538D3E5F"/>
    <w:lvl w:ilvl="0" w:tentative="0">
      <w:start w:val="1"/>
      <w:numFmt w:val="decimal"/>
      <w:lvlText w:val="%1."/>
      <w:lvlJc w:val="left"/>
      <w:pPr>
        <w:tabs>
          <w:tab w:val="left" w:pos="312"/>
        </w:tabs>
        <w:ind w:left="100" w:leftChars="0" w:firstLine="0" w:firstLineChars="0"/>
      </w:pPr>
    </w:lvl>
  </w:abstractNum>
  <w:abstractNum w:abstractNumId="8">
    <w:nsid w:val="6AE6DE2B"/>
    <w:multiLevelType w:val="singleLevel"/>
    <w:tmpl w:val="6AE6DE2B"/>
    <w:lvl w:ilvl="0" w:tentative="0">
      <w:start w:val="1"/>
      <w:numFmt w:val="decimal"/>
      <w:lvlText w:val="%1."/>
      <w:lvlJc w:val="left"/>
      <w:pPr>
        <w:tabs>
          <w:tab w:val="left" w:pos="312"/>
        </w:tabs>
      </w:pPr>
    </w:lvl>
  </w:abstractNum>
  <w:num w:numId="1">
    <w:abstractNumId w:val="3"/>
  </w:num>
  <w:num w:numId="2">
    <w:abstractNumId w:val="2"/>
  </w:num>
  <w:num w:numId="3">
    <w:abstractNumId w:val="4"/>
  </w:num>
  <w:num w:numId="4">
    <w:abstractNumId w:val="6"/>
  </w:num>
  <w:num w:numId="5">
    <w:abstractNumId w:val="0"/>
  </w:num>
  <w:num w:numId="6">
    <w:abstractNumId w:val="5"/>
  </w:num>
  <w:num w:numId="7">
    <w:abstractNumId w:val="1"/>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zNDNmZGY5ODE4YTVlYjYxZjc0MjRkNGFmZDRkY2UifQ=="/>
    <w:docVar w:name="KSO_WPS_MARK_KEY" w:val="9920a277-c0c3-43b4-93d3-1636fe398e0b"/>
  </w:docVars>
  <w:rsids>
    <w:rsidRoot w:val="753C4E9B"/>
    <w:rsid w:val="046A73C6"/>
    <w:rsid w:val="05E95AA6"/>
    <w:rsid w:val="0C180A78"/>
    <w:rsid w:val="0CAF7D6D"/>
    <w:rsid w:val="0D276746"/>
    <w:rsid w:val="0D3D60CD"/>
    <w:rsid w:val="0D464D9C"/>
    <w:rsid w:val="0DD52794"/>
    <w:rsid w:val="0E956870"/>
    <w:rsid w:val="10C666A5"/>
    <w:rsid w:val="1223366A"/>
    <w:rsid w:val="143877FD"/>
    <w:rsid w:val="17C820DA"/>
    <w:rsid w:val="19E805B2"/>
    <w:rsid w:val="1AFF18E2"/>
    <w:rsid w:val="22FE234B"/>
    <w:rsid w:val="277E6F02"/>
    <w:rsid w:val="29990575"/>
    <w:rsid w:val="29B75D96"/>
    <w:rsid w:val="2AF6742D"/>
    <w:rsid w:val="2D113546"/>
    <w:rsid w:val="2E833798"/>
    <w:rsid w:val="312A2265"/>
    <w:rsid w:val="36FC0F5D"/>
    <w:rsid w:val="375773F8"/>
    <w:rsid w:val="38CC5315"/>
    <w:rsid w:val="393E32BB"/>
    <w:rsid w:val="3A507AE0"/>
    <w:rsid w:val="3C145833"/>
    <w:rsid w:val="419B2857"/>
    <w:rsid w:val="41D71DA8"/>
    <w:rsid w:val="45D249F5"/>
    <w:rsid w:val="4769452E"/>
    <w:rsid w:val="4C6611ED"/>
    <w:rsid w:val="552A0475"/>
    <w:rsid w:val="578D10CB"/>
    <w:rsid w:val="5A5915AC"/>
    <w:rsid w:val="692A3D9F"/>
    <w:rsid w:val="6A12486A"/>
    <w:rsid w:val="6C1B24E1"/>
    <w:rsid w:val="70EB76F9"/>
    <w:rsid w:val="753C4E9B"/>
    <w:rsid w:val="77AA607C"/>
    <w:rsid w:val="77CA616D"/>
    <w:rsid w:val="781113A7"/>
    <w:rsid w:val="791E6510"/>
    <w:rsid w:val="7C8D4A41"/>
    <w:rsid w:val="7C904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keepNext/>
      <w:keepLines/>
      <w:spacing w:line="560" w:lineRule="exact"/>
      <w:ind w:firstLine="200" w:firstLineChars="200"/>
      <w:outlineLvl w:val="1"/>
    </w:pPr>
    <w:rPr>
      <w:rFonts w:eastAsia="楷体_GB2312" w:asciiTheme="majorAscii" w:hAnsiTheme="majorAscii" w:cstheme="majorBidi"/>
      <w:bCs/>
      <w:sz w:val="32"/>
      <w:szCs w:val="32"/>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semiHidden/>
    <w:qFormat/>
    <w:uiPriority w:val="0"/>
    <w:rPr>
      <w:rFonts w:ascii="仿宋" w:hAnsi="仿宋" w:eastAsia="仿宋" w:cs="仿宋"/>
      <w:sz w:val="34"/>
      <w:szCs w:val="34"/>
      <w:lang w:val="en-US" w:eastAsia="en-US" w:bidi="ar-SA"/>
    </w:rPr>
  </w:style>
  <w:style w:type="paragraph" w:styleId="4">
    <w:name w:val="toc 5"/>
    <w:basedOn w:val="1"/>
    <w:next w:val="1"/>
    <w:qFormat/>
    <w:uiPriority w:val="0"/>
    <w:pPr>
      <w:ind w:left="1680" w:leftChars="800"/>
    </w:pPr>
  </w:style>
  <w:style w:type="paragraph" w:styleId="5">
    <w:name w:val="Body Text Indent"/>
    <w:basedOn w:val="1"/>
    <w:autoRedefine/>
    <w:unhideWhenUsed/>
    <w:qFormat/>
    <w:uiPriority w:val="0"/>
    <w:pPr>
      <w:spacing w:beforeLines="0" w:afterLines="0"/>
      <w:ind w:firstLine="640" w:firstLineChars="200"/>
    </w:pPr>
    <w:rPr>
      <w:rFonts w:hint="default"/>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5"/>
    <w:autoRedefine/>
    <w:unhideWhenUsed/>
    <w:qFormat/>
    <w:uiPriority w:val="99"/>
    <w:pPr>
      <w:spacing w:beforeLines="0" w:afterLines="0"/>
      <w:ind w:firstLine="420"/>
    </w:pPr>
    <w:rPr>
      <w:rFonts w:hint="default"/>
      <w:sz w:val="32"/>
    </w:rPr>
  </w:style>
  <w:style w:type="paragraph" w:customStyle="1" w:styleId="12">
    <w:name w:val="标题1"/>
    <w:basedOn w:val="2"/>
    <w:autoRedefine/>
    <w:qFormat/>
    <w:uiPriority w:val="0"/>
    <w:rPr>
      <w:rFonts w:eastAsia="黑体"/>
    </w:rPr>
  </w:style>
  <w:style w:type="paragraph" w:customStyle="1" w:styleId="13">
    <w:name w:val="首行缩进"/>
    <w:basedOn w:val="1"/>
    <w:autoRedefine/>
    <w:qFormat/>
    <w:uiPriority w:val="0"/>
    <w:pPr>
      <w:ind w:firstLine="480" w:firstLineChars="200"/>
    </w:pPr>
    <w:rPr>
      <w:lang w:val="zh-CN"/>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无间隔"/>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3491</Words>
  <Characters>4006</Characters>
  <Lines>0</Lines>
  <Paragraphs>0</Paragraphs>
  <TotalTime>6</TotalTime>
  <ScaleCrop>false</ScaleCrop>
  <LinksUpToDate>false</LinksUpToDate>
  <CharactersWithSpaces>4025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2024-02-22T02:03:00Z</dcterms:created>
  <dc:creator>1402836399</dc:creator>
  <cp:lastModifiedBy>Administrator</cp:lastModifiedBy>
  <cp:lastPrinted>2025-06-23T07:09:57Z</cp:lastPrinted>
  <dcterms:modified xsi:type="dcterms:W3CDTF">2025-06-23T07:12:14Z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FD9B33DA932E4289A35A6CAB5E06EBA9_13</vt:lpwstr>
  </property>
  <property fmtid="{D5CDD505-2E9C-101B-9397-08002B2CF9AE}" pid="4" name="KSOTemplateDocerSaveRecord">
    <vt:lpwstr>eyJoZGlkIjoiYWY5ZDI1MTgzYjBiYjQ1Zjg2YTRjODhmYWIyOTUzZGYifQ==</vt:lpwstr>
  </property>
</Properties>
</file>