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18885">
      <w:pPr>
        <w:jc w:val="center"/>
        <w:rPr>
          <w:rFonts w:hint="eastAsia" w:ascii="方正大标宋_GBK" w:eastAsia="方正大标宋_GBK"/>
          <w:w w:val="66"/>
          <w:sz w:val="89"/>
        </w:rPr>
      </w:pPr>
    </w:p>
    <w:p w14:paraId="03D35616">
      <w:pPr>
        <w:spacing w:line="1000" w:lineRule="exact"/>
        <w:jc w:val="center"/>
        <w:rPr>
          <w:rFonts w:hint="eastAsia" w:ascii="方正大标宋_GBK" w:eastAsia="方正大标宋_GBK"/>
          <w:w w:val="66"/>
          <w:sz w:val="89"/>
        </w:rPr>
      </w:pPr>
    </w:p>
    <w:p w14:paraId="6E8A9459">
      <w:pPr>
        <w:jc w:val="both"/>
        <w:rPr>
          <w:rFonts w:ascii="仿宋" w:hAnsi="仿宋" w:eastAsia="仿宋"/>
          <w:color w:val="000000" w:themeColor="text1"/>
          <w:sz w:val="32"/>
          <w:szCs w:val="32"/>
        </w:rPr>
      </w:pPr>
    </w:p>
    <w:p w14:paraId="07701518">
      <w:pPr>
        <w:jc w:val="both"/>
        <w:rPr>
          <w:rFonts w:ascii="仿宋" w:hAnsi="仿宋" w:eastAsia="仿宋"/>
          <w:color w:val="000000" w:themeColor="text1"/>
          <w:sz w:val="32"/>
          <w:szCs w:val="32"/>
        </w:rPr>
      </w:pPr>
    </w:p>
    <w:p w14:paraId="7B4B7074">
      <w:pPr>
        <w:jc w:val="both"/>
        <w:rPr>
          <w:rFonts w:ascii="仿宋" w:hAnsi="仿宋" w:eastAsia="仿宋"/>
          <w:color w:val="000000" w:themeColor="text1"/>
          <w:sz w:val="32"/>
          <w:szCs w:val="32"/>
        </w:rPr>
      </w:pPr>
      <w:r>
        <w:rPr>
          <w:rFonts w:ascii="方正大标宋_GBK" w:eastAsia="方正大标宋_GBK"/>
          <w:sz w:val="89"/>
        </w:rPr>
        <w:pict>
          <v:shape id="_x0000_s1029" o:spid="_x0000_s1029" o:spt="202" type="#_x0000_t202" style="position:absolute;left:0pt;margin-left:10.95pt;margin-top:29.4pt;height:30.6pt;width:168.35pt;z-index:251660288;mso-width-relative:margin;mso-height-relative:margin;" fillcolor="#FFFFFF" filled="t" stroked="t" coordsize="21600,21600">
            <v:path/>
            <v:fill on="t" color2="#FFFFFF" focussize="0,0"/>
            <v:stroke color="#FFFFFF" joinstyle="miter"/>
            <v:imagedata o:title=""/>
            <o:lock v:ext="edit" aspectratio="f"/>
            <v:textbox>
              <w:txbxContent>
                <w:p w14:paraId="32225FF4">
                  <w:pPr>
                    <w:tabs>
                      <w:tab w:val="left" w:pos="603"/>
                    </w:tabs>
                    <w:rPr>
                      <w:rFonts w:ascii="方正大标宋_GBK" w:eastAsia="方正大标宋_GBK"/>
                      <w:sz w:val="89"/>
                    </w:rPr>
                  </w:pPr>
                  <w:r>
                    <w:rPr>
                      <w:rFonts w:hint="eastAsia" w:ascii="仿宋" w:hAnsi="仿宋" w:eastAsia="仿宋"/>
                      <w:color w:val="000000" w:themeColor="text1"/>
                      <w:sz w:val="32"/>
                      <w:szCs w:val="32"/>
                    </w:rPr>
                    <w:t>辰</w:t>
                  </w:r>
                  <w:r>
                    <w:rPr>
                      <w:rFonts w:hint="eastAsia" w:ascii="仿宋" w:hAnsi="仿宋" w:eastAsia="仿宋"/>
                      <w:color w:val="000000" w:themeColor="text1"/>
                      <w:sz w:val="32"/>
                      <w:szCs w:val="32"/>
                      <w:lang w:eastAsia="zh-CN"/>
                    </w:rPr>
                    <w:t>工信</w:t>
                  </w:r>
                  <w:r>
                    <w:rPr>
                      <w:rFonts w:hint="eastAsia" w:ascii="仿宋" w:hAnsi="仿宋" w:eastAsia="仿宋"/>
                      <w:color w:val="000000" w:themeColor="text1"/>
                      <w:sz w:val="32"/>
                      <w:szCs w:val="32"/>
                    </w:rPr>
                    <w:t>报</w:t>
                  </w:r>
                  <w:r>
                    <w:rPr>
                      <w:rFonts w:hint="eastAsia" w:ascii="仿宋" w:hAnsi="仿宋" w:eastAsia="仿宋"/>
                      <w:color w:val="000000" w:themeColor="text1"/>
                      <w:sz w:val="32"/>
                      <w:szCs w:val="32"/>
                      <w:lang w:eastAsia="zh-CN"/>
                    </w:rPr>
                    <w:t>〔</w:t>
                  </w:r>
                  <w:r>
                    <w:rPr>
                      <w:rFonts w:hint="eastAsia" w:ascii="仿宋" w:hAnsi="仿宋" w:eastAsia="仿宋"/>
                      <w:color w:val="000000" w:themeColor="text1"/>
                      <w:sz w:val="32"/>
                      <w:szCs w:val="32"/>
                    </w:rPr>
                    <w:t>20</w:t>
                  </w:r>
                  <w:r>
                    <w:rPr>
                      <w:rFonts w:hint="eastAsia" w:ascii="仿宋" w:hAnsi="仿宋" w:eastAsia="仿宋"/>
                      <w:color w:val="000000" w:themeColor="text1"/>
                      <w:sz w:val="32"/>
                      <w:szCs w:val="32"/>
                      <w:lang w:val="en-US" w:eastAsia="zh-CN"/>
                    </w:rPr>
                    <w:t>25〕5</w:t>
                  </w:r>
                  <w:r>
                    <w:rPr>
                      <w:rFonts w:hint="eastAsia" w:ascii="仿宋" w:hAnsi="仿宋" w:eastAsia="仿宋"/>
                      <w:color w:val="000000" w:themeColor="text1"/>
                      <w:sz w:val="32"/>
                      <w:szCs w:val="32"/>
                    </w:rPr>
                    <w:t>号</w:t>
                  </w:r>
                </w:p>
                <w:p w14:paraId="72F0DDED"/>
              </w:txbxContent>
            </v:textbox>
          </v:shape>
        </w:pict>
      </w:r>
      <w:r>
        <w:rPr>
          <w:rFonts w:ascii="方正大标宋_GBK" w:eastAsia="方正大标宋_GBK"/>
          <w:sz w:val="89"/>
        </w:rPr>
        <w:pict>
          <v:shape id="_x0000_s1030" o:spid="_x0000_s1030" o:spt="202" type="#_x0000_t202" style="position:absolute;left:0pt;margin-left:267.15pt;margin-top:29.4pt;height:30.6pt;width:148.35pt;z-index:251661312;mso-width-relative:margin;mso-height-relative:margin;" stroked="t" coordsize="21600,21600">
            <v:path/>
            <v:fill focussize="0,0"/>
            <v:stroke color="#FFFFFF" joinstyle="miter"/>
            <v:imagedata o:title=""/>
            <o:lock v:ext="edit"/>
            <v:textbox>
              <w:txbxContent>
                <w:p w14:paraId="7A07F134">
                  <w:pPr>
                    <w:tabs>
                      <w:tab w:val="left" w:pos="603"/>
                    </w:tabs>
                    <w:rPr>
                      <w:rFonts w:hint="eastAsia" w:ascii="方正大标宋_GBK" w:eastAsia="仿宋"/>
                      <w:sz w:val="89"/>
                      <w:lang w:eastAsia="zh-CN"/>
                    </w:rPr>
                  </w:pPr>
                  <w:r>
                    <w:rPr>
                      <w:rFonts w:hint="eastAsia" w:ascii="仿宋" w:hAnsi="仿宋" w:eastAsia="仿宋"/>
                      <w:color w:val="000000" w:themeColor="text1"/>
                      <w:sz w:val="32"/>
                      <w:szCs w:val="32"/>
                    </w:rPr>
                    <w:t>签发人：</w:t>
                  </w:r>
                  <w:r>
                    <w:rPr>
                      <w:rFonts w:hint="eastAsia" w:ascii="仿宋" w:hAnsi="仿宋" w:eastAsia="仿宋"/>
                      <w:color w:val="000000" w:themeColor="text1"/>
                      <w:sz w:val="32"/>
                      <w:szCs w:val="32"/>
                      <w:lang w:eastAsia="zh-CN"/>
                    </w:rPr>
                    <w:t>江上才</w:t>
                  </w:r>
                </w:p>
                <w:p w14:paraId="6B42D29C"/>
              </w:txbxContent>
            </v:textbox>
          </v:shape>
        </w:pict>
      </w:r>
    </w:p>
    <w:p w14:paraId="62EA8CCD">
      <w:pPr>
        <w:tabs>
          <w:tab w:val="left" w:pos="603"/>
        </w:tabs>
        <w:spacing w:line="240" w:lineRule="exact"/>
        <w:rPr>
          <w:rFonts w:ascii="方正大标宋_GBK" w:eastAsia="方正大标宋_GBK"/>
          <w:sz w:val="89"/>
        </w:rPr>
      </w:pPr>
    </w:p>
    <w:p w14:paraId="05A97EAD">
      <w:pPr>
        <w:spacing w:line="600" w:lineRule="exact"/>
        <w:jc w:val="center"/>
        <w:rPr>
          <w:rFonts w:hint="eastAsia" w:ascii="方正小标宋简体" w:hAnsi="方正小标宋简体" w:eastAsia="方正小标宋简体" w:cs="方正小标宋简体"/>
          <w:color w:val="000000"/>
          <w:sz w:val="44"/>
          <w:szCs w:val="44"/>
        </w:rPr>
      </w:pPr>
    </w:p>
    <w:p w14:paraId="2AB73B2B">
      <w:pPr>
        <w:spacing w:line="600" w:lineRule="exact"/>
        <w:jc w:val="center"/>
        <w:rPr>
          <w:rFonts w:hint="eastAsia" w:ascii="方正小标宋简体" w:hAnsi="方正小标宋简体" w:eastAsia="方正小标宋简体" w:cs="方正小标宋简体"/>
          <w:color w:val="000000"/>
          <w:sz w:val="44"/>
          <w:szCs w:val="44"/>
        </w:rPr>
      </w:pPr>
    </w:p>
    <w:p w14:paraId="742CD2F1">
      <w:pPr>
        <w:spacing w:line="560" w:lineRule="exact"/>
        <w:jc w:val="center"/>
        <w:rPr>
          <w:rFonts w:hint="eastAsia" w:ascii="方正大标宋简体" w:eastAsia="方正大标宋简体"/>
          <w:sz w:val="44"/>
          <w:szCs w:val="44"/>
          <w:lang w:eastAsia="zh-CN"/>
        </w:rPr>
      </w:pPr>
      <w:r>
        <w:rPr>
          <w:rFonts w:hint="eastAsia" w:ascii="方正大标宋简体" w:eastAsia="方正大标宋简体"/>
          <w:sz w:val="44"/>
          <w:szCs w:val="44"/>
          <w:lang w:eastAsia="zh-CN"/>
        </w:rPr>
        <w:t>中共辰溪县工业和信息化局党组</w:t>
      </w:r>
    </w:p>
    <w:p w14:paraId="76764ADE">
      <w:pPr>
        <w:spacing w:line="560" w:lineRule="exact"/>
        <w:jc w:val="center"/>
        <w:rPr>
          <w:rFonts w:hint="eastAsia" w:ascii="方正大标宋简体" w:eastAsia="方正大标宋简体"/>
          <w:sz w:val="44"/>
          <w:szCs w:val="44"/>
          <w:lang w:eastAsia="zh-CN"/>
        </w:rPr>
      </w:pPr>
      <w:bookmarkStart w:id="0" w:name="_GoBack"/>
      <w:r>
        <w:rPr>
          <w:rFonts w:hint="eastAsia" w:ascii="方正大标宋简体" w:eastAsia="方正大标宋简体"/>
          <w:sz w:val="44"/>
          <w:szCs w:val="44"/>
          <w:lang w:val="en-US" w:eastAsia="zh-CN"/>
        </w:rPr>
        <w:t>2024年</w:t>
      </w:r>
      <w:r>
        <w:rPr>
          <w:rFonts w:hint="eastAsia" w:ascii="方正大标宋简体" w:eastAsia="方正大标宋简体"/>
          <w:sz w:val="44"/>
          <w:szCs w:val="44"/>
        </w:rPr>
        <w:t>法治</w:t>
      </w:r>
      <w:r>
        <w:rPr>
          <w:rFonts w:hint="eastAsia" w:ascii="方正大标宋简体" w:eastAsia="方正大标宋简体"/>
          <w:sz w:val="44"/>
          <w:szCs w:val="44"/>
          <w:lang w:eastAsia="zh-CN"/>
        </w:rPr>
        <w:t>政府</w:t>
      </w:r>
      <w:r>
        <w:rPr>
          <w:rFonts w:hint="eastAsia" w:ascii="方正大标宋简体" w:eastAsia="方正大标宋简体"/>
          <w:sz w:val="44"/>
          <w:szCs w:val="44"/>
        </w:rPr>
        <w:t>建设</w:t>
      </w:r>
      <w:r>
        <w:rPr>
          <w:rFonts w:hint="eastAsia" w:ascii="方正大标宋简体" w:eastAsia="方正大标宋简体"/>
          <w:sz w:val="44"/>
          <w:szCs w:val="44"/>
          <w:lang w:eastAsia="zh-CN"/>
        </w:rPr>
        <w:t>情况报告</w:t>
      </w:r>
      <w:bookmarkEnd w:id="0"/>
    </w:p>
    <w:p w14:paraId="0F095D11">
      <w:pPr>
        <w:keepNext w:val="0"/>
        <w:keepLines w:val="0"/>
        <w:pageBreakBefore w:val="0"/>
        <w:widowControl w:val="0"/>
        <w:kinsoku/>
        <w:overflowPunct/>
        <w:topLinePunct w:val="0"/>
        <w:autoSpaceDE/>
        <w:autoSpaceDN/>
        <w:bidi w:val="0"/>
        <w:adjustRightInd/>
        <w:snapToGrid/>
        <w:spacing w:before="312" w:beforeLines="100" w:line="600" w:lineRule="exact"/>
        <w:ind w:firstLine="640" w:firstLineChars="200"/>
        <w:textAlignment w:val="auto"/>
        <w:rPr>
          <w:rFonts w:hint="eastAsia" w:ascii="仿宋_GB2312" w:hAnsi="华文仿宋" w:eastAsia="仿宋_GB2312"/>
          <w:sz w:val="32"/>
          <w:szCs w:val="32"/>
        </w:rPr>
      </w:pPr>
      <w:r>
        <w:rPr>
          <w:rFonts w:hint="eastAsia" w:ascii="仿宋_GB2312" w:hAnsi="华文仿宋" w:eastAsia="仿宋_GB2312"/>
          <w:sz w:val="32"/>
          <w:szCs w:val="32"/>
        </w:rPr>
        <w:t>今年以来，在县委、县政府的正确领导下，在县综治办指导下，紧紧围绕县委、县政府的中心工作，创新观念，与时俱进，通过多种形式，积极开展法制宣传教育活动，在局机关内部营造了浓厚的 “平安辰溪、法治辰溪”建设氛围。</w:t>
      </w:r>
    </w:p>
    <w:p w14:paraId="77D61F7D">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黑体" w:hAnsi="华文仿宋" w:eastAsia="黑体"/>
          <w:sz w:val="32"/>
          <w:szCs w:val="32"/>
        </w:rPr>
      </w:pPr>
      <w:r>
        <w:rPr>
          <w:rFonts w:hint="eastAsia" w:ascii="黑体" w:hAnsi="华文仿宋" w:eastAsia="黑体"/>
          <w:sz w:val="32"/>
          <w:szCs w:val="32"/>
        </w:rPr>
        <w:t>一、加强组织领导，明确相关责任</w:t>
      </w:r>
    </w:p>
    <w:p w14:paraId="49B85ECD">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仿宋_GB2312" w:hAnsi="华文仿宋" w:eastAsia="仿宋_GB2312"/>
          <w:sz w:val="32"/>
          <w:szCs w:val="32"/>
        </w:rPr>
      </w:pPr>
      <w:r>
        <w:rPr>
          <w:rFonts w:hint="eastAsia" w:ascii="仿宋_GB2312" w:hAnsi="华文仿宋" w:eastAsia="仿宋_GB2312"/>
          <w:sz w:val="32"/>
          <w:szCs w:val="32"/>
        </w:rPr>
        <w:t>局机关领导高度重视学法用法工作的开展，多次召开会议讨论研究学法用法工作，并结合我局工作实际，研究制定切实可行的工作计划，保证学法用法工作落到实处、取得实效。同时要求局机关全体工作人员在积极参加集中学习的同时，加强对党纪法规的自学，从而做到学有所得、学以致用。局机关及时成立法制宣传教育工作领导小组，一把手担任组长，对局机关的法制宣传教育工作负总责。领导小组下设办公室，具体负责法制宣传教育的各项工作的协调和落实。局机关还及时明确了法制宣传教育的责任人、联络员和宣传员，完善的组织机构设置，保证了局机关法制宣传教育的有序、高质开展。</w:t>
      </w:r>
    </w:p>
    <w:p w14:paraId="69EB346D">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黑体" w:hAnsi="华文仿宋" w:eastAsia="黑体"/>
          <w:sz w:val="32"/>
          <w:szCs w:val="32"/>
        </w:rPr>
      </w:pPr>
      <w:r>
        <w:rPr>
          <w:rFonts w:hint="eastAsia" w:ascii="黑体" w:hAnsi="华文仿宋" w:eastAsia="黑体"/>
          <w:sz w:val="32"/>
          <w:szCs w:val="32"/>
        </w:rPr>
        <w:t>二、严格按照上级要求，扎实开展各项活动</w:t>
      </w:r>
    </w:p>
    <w:p w14:paraId="6C5F03CE">
      <w:pPr>
        <w:keepNext w:val="0"/>
        <w:keepLines w:val="0"/>
        <w:pageBreakBefore w:val="0"/>
        <w:widowControl w:val="0"/>
        <w:kinsoku/>
        <w:overflowPunct/>
        <w:topLinePunct w:val="0"/>
        <w:autoSpaceDE/>
        <w:autoSpaceDN/>
        <w:bidi w:val="0"/>
        <w:adjustRightInd/>
        <w:snapToGrid/>
        <w:spacing w:line="600" w:lineRule="exact"/>
        <w:ind w:firstLine="643" w:firstLineChars="200"/>
        <w:textAlignment w:val="auto"/>
        <w:rPr>
          <w:rFonts w:hint="eastAsia" w:ascii="仿宋_GB2312" w:hAnsi="华文仿宋" w:eastAsia="仿宋_GB2312"/>
          <w:sz w:val="32"/>
          <w:szCs w:val="32"/>
        </w:rPr>
      </w:pPr>
      <w:r>
        <w:rPr>
          <w:rFonts w:hint="eastAsia" w:ascii="仿宋_GB2312" w:hAnsi="华文仿宋" w:eastAsia="仿宋_GB2312"/>
          <w:b/>
          <w:sz w:val="32"/>
          <w:szCs w:val="32"/>
        </w:rPr>
        <w:t>1、严格遵守工作原则，保证学法用法实效。</w:t>
      </w:r>
      <w:r>
        <w:rPr>
          <w:rFonts w:hint="eastAsia" w:ascii="仿宋_GB2312" w:hAnsi="华文仿宋" w:eastAsia="仿宋_GB2312"/>
          <w:sz w:val="32"/>
          <w:szCs w:val="32"/>
        </w:rPr>
        <w:t>局机关紧紧围绕全年宣传教育整体安排，紧密结合工业经济工作实际，坚持全心全意为人民服务的根本宗旨，积极开展各项专项治理监督检查、领导干部下访、信访质询等密切关系民生的工作，把服务群众、切实维护最广大人民群众的根本利益作为学法用法工作的出发点和落脚点。积极探索新形势下的制度建设、法制宣传教育平台搭建、活动形式创新，不断提高宣传教育的针对性、实效性。</w:t>
      </w:r>
    </w:p>
    <w:p w14:paraId="300EC414">
      <w:pPr>
        <w:keepNext w:val="0"/>
        <w:keepLines w:val="0"/>
        <w:pageBreakBefore w:val="0"/>
        <w:widowControl w:val="0"/>
        <w:kinsoku/>
        <w:overflowPunct/>
        <w:topLinePunct w:val="0"/>
        <w:autoSpaceDE/>
        <w:autoSpaceDN/>
        <w:bidi w:val="0"/>
        <w:adjustRightInd/>
        <w:snapToGrid/>
        <w:spacing w:line="600" w:lineRule="exact"/>
        <w:ind w:firstLine="643" w:firstLineChars="200"/>
        <w:textAlignment w:val="auto"/>
        <w:rPr>
          <w:rFonts w:hint="eastAsia" w:ascii="仿宋_GB2312" w:hAnsi="华文仿宋" w:eastAsia="仿宋_GB2312" w:cs="宋体"/>
          <w:kern w:val="0"/>
          <w:sz w:val="32"/>
          <w:szCs w:val="32"/>
        </w:rPr>
      </w:pPr>
      <w:r>
        <w:rPr>
          <w:rFonts w:hint="eastAsia" w:ascii="仿宋_GB2312" w:hAnsi="华文仿宋" w:eastAsia="仿宋_GB2312"/>
          <w:b/>
          <w:sz w:val="32"/>
          <w:szCs w:val="32"/>
        </w:rPr>
        <w:t>2、深入开展党纪法规的宣传教育。</w:t>
      </w:r>
      <w:r>
        <w:rPr>
          <w:rFonts w:hint="eastAsia" w:ascii="仿宋_GB2312" w:hAnsi="华文仿宋" w:eastAsia="仿宋_GB2312"/>
          <w:sz w:val="32"/>
          <w:szCs w:val="32"/>
        </w:rPr>
        <w:t>局机关结合工业经济工作实际，重点加强对</w:t>
      </w:r>
      <w:r>
        <w:rPr>
          <w:rFonts w:hint="eastAsia" w:ascii="仿宋_GB2312" w:hAnsi="华文仿宋" w:eastAsia="仿宋_GB2312" w:cs="宋体"/>
          <w:kern w:val="0"/>
          <w:sz w:val="32"/>
          <w:szCs w:val="32"/>
        </w:rPr>
        <w:t>《行政机关公务员处分条例》、《中国共产党纪律处分条例》、《中国共产党党员权利保障条例》等与工业经济工作密切相关的党纪条规的学习，不断增强纪干部职工的法制意识，提高他们依法办事的能力和水平。同时，通过加强反腐倡廉法律法规的宣传教育，进一步提高局机关党员干部廉洁自律的意识。</w:t>
      </w:r>
    </w:p>
    <w:p w14:paraId="3C427F22">
      <w:pPr>
        <w:keepNext w:val="0"/>
        <w:keepLines w:val="0"/>
        <w:pageBreakBefore w:val="0"/>
        <w:widowControl w:val="0"/>
        <w:kinsoku/>
        <w:overflowPunct/>
        <w:topLinePunct w:val="0"/>
        <w:autoSpaceDE/>
        <w:autoSpaceDN/>
        <w:bidi w:val="0"/>
        <w:adjustRightInd/>
        <w:snapToGrid/>
        <w:spacing w:line="600" w:lineRule="exact"/>
        <w:ind w:firstLine="643" w:firstLineChars="200"/>
        <w:textAlignment w:val="auto"/>
        <w:rPr>
          <w:rFonts w:hint="eastAsia" w:ascii="仿宋_GB2312" w:hAnsi="华文仿宋" w:eastAsia="仿宋_GB2312" w:cs="宋体"/>
          <w:kern w:val="0"/>
          <w:sz w:val="32"/>
          <w:szCs w:val="32"/>
        </w:rPr>
      </w:pPr>
      <w:r>
        <w:rPr>
          <w:rFonts w:hint="eastAsia" w:ascii="仿宋_GB2312" w:hAnsi="华文仿宋" w:eastAsia="仿宋_GB2312" w:cs="宋体"/>
          <w:b/>
          <w:kern w:val="0"/>
          <w:sz w:val="32"/>
          <w:szCs w:val="32"/>
        </w:rPr>
        <w:t>3、结合实际，扎实开展各项活动。</w:t>
      </w:r>
      <w:r>
        <w:rPr>
          <w:rFonts w:hint="eastAsia" w:ascii="仿宋_GB2312" w:hAnsi="华文仿宋" w:eastAsia="仿宋_GB2312" w:cs="宋体"/>
          <w:kern w:val="0"/>
          <w:sz w:val="32"/>
          <w:szCs w:val="32"/>
        </w:rPr>
        <w:t>今年我们结合“法治辰溪”建设，开展了大走访、“一企一策”帮扶等一系列活动，努力帮助和提高全体机关工作人员和企业管理人员的理论水平，更好地为企业服务。活动以来，大多数单位能根据企业的实际情况开展学习和宣传，并取得较好的效果。通过一系列宣传教育活动，企业自觉遵守法律法规，依法管理、诚信经营的意识和理念得到提高，对提高企业规范社会主义市场经济秩序，维护和促进市场公平竞争，规避市场风险，搞好企业内部生产经营、技术创新、内部管理等工作起了促进作用，对提升企业自身形象，提升企业在市场上的占有份额，为法治辰溪建设创造了良好的内部环境和外部环境。</w:t>
      </w:r>
    </w:p>
    <w:p w14:paraId="73F98634">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黑体" w:hAnsi="华文仿宋" w:eastAsia="黑体"/>
          <w:sz w:val="32"/>
          <w:szCs w:val="32"/>
        </w:rPr>
      </w:pPr>
      <w:r>
        <w:rPr>
          <w:rFonts w:hint="eastAsia" w:ascii="黑体" w:hAnsi="华文仿宋" w:eastAsia="黑体"/>
          <w:sz w:val="32"/>
          <w:szCs w:val="32"/>
        </w:rPr>
        <w:t>三、认真做好总结工作，不断强化工作效果</w:t>
      </w:r>
    </w:p>
    <w:p w14:paraId="79A42ADC">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仿宋_GB2312" w:hAnsi="华文仿宋" w:eastAsia="仿宋_GB2312"/>
          <w:sz w:val="32"/>
          <w:szCs w:val="32"/>
        </w:rPr>
      </w:pPr>
      <w:r>
        <w:rPr>
          <w:rFonts w:hint="eastAsia" w:ascii="仿宋_GB2312" w:hAnsi="华文仿宋" w:eastAsia="仿宋_GB2312"/>
          <w:sz w:val="32"/>
          <w:szCs w:val="32"/>
        </w:rPr>
        <w:t>局机关积极与上级部门做好对接和交流，及时调整工作安排，保证学法用法工作按时完成、高质完成。同时及时做好总结工作和“回头看”，对工作不到位的地方及时加以完善、对成效不显著的地方及时加大力度、对遗漏的工作内容及时实施开展，保证了局机关形成疗好的学法用法氛围，有效促进了我局各项工作的开展，形成了以学促干、干中带学的良好形势。局机关还积极做好台帐资料的搜集整理工作，保证了工作有痕迹、有记录，有效保证了总结工作的顺利开展。同时，为进一步加强工作效果，局机关还稽核年终考核和各项检查验收工作，组织全体工作人员强化学习意识，积极思考来年工作的思路，并将学法用法的要求融入一起谋划，起到了良好的效果。</w:t>
      </w:r>
    </w:p>
    <w:p w14:paraId="1B6D0F03">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仿宋_GB2312" w:hAnsi="华文仿宋" w:eastAsia="仿宋_GB2312"/>
          <w:sz w:val="32"/>
          <w:szCs w:val="32"/>
        </w:rPr>
      </w:pPr>
      <w:r>
        <w:rPr>
          <w:rFonts w:hint="eastAsia" w:ascii="仿宋_GB2312" w:hAnsi="华文仿宋" w:eastAsia="仿宋_GB2312"/>
          <w:sz w:val="32"/>
          <w:szCs w:val="32"/>
        </w:rPr>
        <w:t>总而言之，今年以来，局机关在学法用法的工作上取得了一定的成绩，干部职工的法制意识得到进一步增强、依法办事的能力得到进一步提高、个人素养得到进一步提升。但我们也看到，学法用法的力度还有待进一步加强，活动形式还有待进一步创新，这些我们将在下步工作中加以完善。</w:t>
      </w:r>
    </w:p>
    <w:p w14:paraId="76E2AFF8">
      <w:pPr>
        <w:keepNext w:val="0"/>
        <w:keepLines w:val="0"/>
        <w:pageBreakBefore w:val="0"/>
        <w:widowControl w:val="0"/>
        <w:kinsoku/>
        <w:overflowPunct/>
        <w:topLinePunct w:val="0"/>
        <w:autoSpaceDE/>
        <w:autoSpaceDN/>
        <w:bidi w:val="0"/>
        <w:adjustRightInd/>
        <w:snapToGrid/>
        <w:spacing w:line="600" w:lineRule="exact"/>
        <w:ind w:firstLine="3840" w:firstLineChars="1200"/>
        <w:textAlignment w:val="auto"/>
        <w:rPr>
          <w:rFonts w:hint="eastAsia" w:ascii="仿宋" w:hAnsi="仿宋" w:eastAsia="仿宋" w:cs="仿宋"/>
          <w:color w:val="000000"/>
          <w:sz w:val="32"/>
          <w:szCs w:val="32"/>
        </w:rPr>
      </w:pPr>
    </w:p>
    <w:p w14:paraId="7C9CE6D1">
      <w:pPr>
        <w:keepNext w:val="0"/>
        <w:keepLines w:val="0"/>
        <w:pageBreakBefore w:val="0"/>
        <w:widowControl w:val="0"/>
        <w:kinsoku/>
        <w:overflowPunct/>
        <w:topLinePunct w:val="0"/>
        <w:autoSpaceDE/>
        <w:autoSpaceDN/>
        <w:bidi w:val="0"/>
        <w:adjustRightInd/>
        <w:snapToGrid/>
        <w:spacing w:line="600" w:lineRule="exact"/>
        <w:ind w:firstLine="3840" w:firstLineChars="1200"/>
        <w:textAlignment w:val="auto"/>
        <w:rPr>
          <w:rFonts w:hint="eastAsia" w:ascii="仿宋" w:hAnsi="仿宋" w:eastAsia="仿宋" w:cs="仿宋"/>
          <w:color w:val="000000"/>
          <w:sz w:val="32"/>
          <w:szCs w:val="32"/>
        </w:rPr>
      </w:pPr>
    </w:p>
    <w:p w14:paraId="718C443E">
      <w:pPr>
        <w:keepNext w:val="0"/>
        <w:keepLines w:val="0"/>
        <w:pageBreakBefore w:val="0"/>
        <w:widowControl w:val="0"/>
        <w:kinsoku/>
        <w:overflowPunct/>
        <w:topLinePunct w:val="0"/>
        <w:autoSpaceDE/>
        <w:autoSpaceDN/>
        <w:bidi w:val="0"/>
        <w:adjustRightInd/>
        <w:snapToGrid/>
        <w:spacing w:line="600" w:lineRule="exact"/>
        <w:ind w:firstLine="3520" w:firstLineChars="11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中共辰溪县</w:t>
      </w:r>
      <w:r>
        <w:rPr>
          <w:rFonts w:hint="eastAsia" w:ascii="仿宋" w:hAnsi="仿宋" w:eastAsia="仿宋" w:cs="仿宋"/>
          <w:color w:val="000000"/>
          <w:sz w:val="32"/>
          <w:szCs w:val="32"/>
          <w:lang w:eastAsia="zh-CN"/>
        </w:rPr>
        <w:t>工业</w:t>
      </w:r>
      <w:r>
        <w:rPr>
          <w:rFonts w:hint="eastAsia" w:ascii="仿宋" w:hAnsi="仿宋" w:eastAsia="仿宋" w:cs="仿宋"/>
          <w:color w:val="000000"/>
          <w:sz w:val="32"/>
          <w:szCs w:val="32"/>
        </w:rPr>
        <w:t>和信息化局党组</w:t>
      </w:r>
    </w:p>
    <w:p w14:paraId="27D44B58">
      <w:pPr>
        <w:keepNext w:val="0"/>
        <w:keepLines w:val="0"/>
        <w:pageBreakBefore w:val="0"/>
        <w:widowControl w:val="0"/>
        <w:kinsoku/>
        <w:wordWrap w:val="0"/>
        <w:overflowPunct/>
        <w:topLinePunct w:val="0"/>
        <w:autoSpaceDE/>
        <w:autoSpaceDN/>
        <w:bidi w:val="0"/>
        <w:adjustRightInd/>
        <w:snapToGrid/>
        <w:spacing w:line="600" w:lineRule="exact"/>
        <w:ind w:firstLine="4480" w:firstLineChars="14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202</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 xml:space="preserve">日   </w:t>
      </w:r>
    </w:p>
    <w:p w14:paraId="58095B47">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eastAsia" w:ascii="仿宋" w:hAnsi="仿宋" w:eastAsia="仿宋" w:cs="仿宋"/>
          <w:color w:val="000000"/>
          <w:sz w:val="32"/>
          <w:szCs w:val="32"/>
        </w:rPr>
      </w:pPr>
    </w:p>
    <w:p w14:paraId="101CEA19">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67A39198">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6D105C9C">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7577BCC8">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7A4E03D6">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2FEA780A">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5D58176F">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018943CE">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52C515B4">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7EDDEB77">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10BEEA69">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仿宋" w:hAnsi="仿宋" w:eastAsia="仿宋" w:cs="仿宋"/>
          <w:color w:val="000000"/>
          <w:sz w:val="32"/>
          <w:szCs w:val="32"/>
        </w:rPr>
      </w:pPr>
    </w:p>
    <w:p w14:paraId="23DC9F2F">
      <w:pPr>
        <w:keepNext w:val="0"/>
        <w:keepLines w:val="0"/>
        <w:pageBreakBefore w:val="0"/>
        <w:widowControl w:val="0"/>
        <w:kinsoku/>
        <w:wordWrap w:val="0"/>
        <w:overflowPunct/>
        <w:topLinePunct w:val="0"/>
        <w:bidi w:val="0"/>
        <w:adjustRightInd/>
        <w:snapToGrid/>
        <w:spacing w:line="620" w:lineRule="exact"/>
        <w:jc w:val="both"/>
        <w:textAlignment w:val="auto"/>
        <w:rPr>
          <w:rFonts w:hint="eastAsia" w:ascii="方正大标宋_GBK" w:eastAsia="方正大标宋_GBK"/>
          <w:sz w:val="32"/>
          <w:szCs w:val="32"/>
        </w:rPr>
      </w:pPr>
      <w:r>
        <w:rPr>
          <w:rFonts w:hint="eastAsia" w:ascii="仿宋" w:hAnsi="仿宋" w:eastAsia="仿宋" w:cs="仿宋"/>
          <w:color w:val="000000"/>
          <w:sz w:val="32"/>
          <w:szCs w:val="32"/>
        </w:rPr>
        <w:t xml:space="preserve"> </w:t>
      </w:r>
      <w:r>
        <w:rPr>
          <w:rFonts w:eastAsia="仿宋_GB2312" w:cs="Times New Roman"/>
          <w:color w:val="000000"/>
          <w:sz w:val="32"/>
          <w:szCs w:val="32"/>
        </w:rPr>
        <w:t xml:space="preserve"> </w:t>
      </w:r>
      <w:r>
        <w:rPr>
          <w:rFonts w:ascii="方正大标宋_GBK" w:eastAsia="方正大标宋_GBK"/>
          <w:sz w:val="32"/>
          <w:szCs w:val="32"/>
        </w:rPr>
        <w:pict>
          <v:shape id="_x0000_s1031" o:spid="_x0000_s1031" o:spt="32" type="#_x0000_t32" style="position:absolute;left:0pt;margin-left:-4.6pt;margin-top:27.25pt;height:0.05pt;width:433.65pt;z-index:251662336;mso-width-relative:page;mso-height-relative:page;" o:connectortype="straight" filled="f" coordsize="21600,21600">
            <v:path arrowok="t"/>
            <v:fill on="f" focussize="0,0"/>
            <v:stroke/>
            <v:imagedata o:title=""/>
            <o:lock v:ext="edit"/>
          </v:shape>
        </w:pict>
      </w:r>
    </w:p>
    <w:p w14:paraId="77BAE9A0">
      <w:pPr>
        <w:keepNext w:val="0"/>
        <w:keepLines w:val="0"/>
        <w:pageBreakBefore w:val="0"/>
        <w:widowControl w:val="0"/>
        <w:kinsoku/>
        <w:overflowPunct/>
        <w:topLinePunct w:val="0"/>
        <w:bidi w:val="0"/>
        <w:adjustRightInd/>
        <w:snapToGrid/>
        <w:spacing w:line="620" w:lineRule="exact"/>
        <w:ind w:firstLine="280" w:firstLineChars="100"/>
        <w:textAlignment w:val="auto"/>
        <w:rPr>
          <w:rFonts w:ascii="方正大标宋_GBK" w:eastAsia="方正大标宋_GBK"/>
          <w:sz w:val="32"/>
          <w:szCs w:val="32"/>
        </w:rPr>
      </w:pPr>
      <w:r>
        <w:rPr>
          <w:rFonts w:hint="eastAsia" w:ascii="仿宋" w:hAnsi="仿宋" w:eastAsia="仿宋"/>
          <w:sz w:val="28"/>
          <w:szCs w:val="28"/>
        </w:rPr>
        <w:t>中共辰溪县</w:t>
      </w:r>
      <w:r>
        <w:rPr>
          <w:rFonts w:hint="eastAsia" w:ascii="仿宋" w:hAnsi="仿宋" w:eastAsia="仿宋"/>
          <w:sz w:val="28"/>
          <w:szCs w:val="28"/>
          <w:lang w:eastAsia="zh-CN"/>
        </w:rPr>
        <w:t>工业</w:t>
      </w:r>
      <w:r>
        <w:rPr>
          <w:rFonts w:hint="eastAsia" w:ascii="仿宋" w:hAnsi="仿宋" w:eastAsia="仿宋"/>
          <w:sz w:val="28"/>
          <w:szCs w:val="28"/>
        </w:rPr>
        <w:t xml:space="preserve">和信息化局党组            </w:t>
      </w:r>
      <w:r>
        <w:rPr>
          <w:rFonts w:hint="eastAsia" w:ascii="仿宋" w:hAnsi="仿宋" w:eastAsia="仿宋"/>
          <w:sz w:val="28"/>
          <w:szCs w:val="28"/>
          <w:lang w:eastAsia="zh-CN"/>
        </w:rPr>
        <w:t>202</w:t>
      </w:r>
      <w:r>
        <w:rPr>
          <w:rFonts w:hint="eastAsia" w:ascii="仿宋" w:hAnsi="仿宋" w:eastAsia="仿宋"/>
          <w:sz w:val="28"/>
          <w:szCs w:val="28"/>
          <w:lang w:val="en-US" w:eastAsia="zh-CN"/>
        </w:rPr>
        <w:t>5</w:t>
      </w:r>
      <w:r>
        <w:rPr>
          <w:rFonts w:hint="eastAsia" w:ascii="仿宋" w:hAnsi="仿宋" w:eastAsia="仿宋"/>
          <w:sz w:val="28"/>
          <w:szCs w:val="28"/>
        </w:rPr>
        <w:t>年</w:t>
      </w:r>
      <w:r>
        <w:rPr>
          <w:rFonts w:hint="eastAsia" w:ascii="仿宋" w:hAnsi="仿宋" w:eastAsia="仿宋"/>
          <w:sz w:val="28"/>
          <w:szCs w:val="28"/>
          <w:lang w:val="en-US" w:eastAsia="zh-CN"/>
        </w:rPr>
        <w:t>2</w:t>
      </w:r>
      <w:r>
        <w:rPr>
          <w:rFonts w:hint="eastAsia" w:ascii="仿宋" w:hAnsi="仿宋" w:eastAsia="仿宋"/>
          <w:sz w:val="28"/>
          <w:szCs w:val="28"/>
        </w:rPr>
        <w:t>月</w:t>
      </w:r>
      <w:r>
        <w:rPr>
          <w:rFonts w:hint="eastAsia" w:ascii="仿宋" w:hAnsi="仿宋" w:eastAsia="仿宋"/>
          <w:sz w:val="28"/>
          <w:szCs w:val="28"/>
          <w:lang w:val="en-US" w:eastAsia="zh-CN"/>
        </w:rPr>
        <w:t>20</w:t>
      </w:r>
      <w:r>
        <w:rPr>
          <w:rFonts w:hint="eastAsia" w:ascii="仿宋" w:hAnsi="仿宋" w:eastAsia="仿宋"/>
          <w:sz w:val="28"/>
          <w:szCs w:val="28"/>
        </w:rPr>
        <w:t>日印</w:t>
      </w:r>
      <w:r>
        <w:rPr>
          <w:rFonts w:ascii="仿宋" w:hAnsi="仿宋" w:eastAsia="仿宋"/>
          <w:sz w:val="28"/>
          <w:szCs w:val="28"/>
        </w:rPr>
        <w:pict>
          <v:shape id="_x0000_s1032" o:spid="_x0000_s1032" o:spt="32" type="#_x0000_t32" style="position:absolute;left:0pt;margin-left:-4.6pt;margin-top:31pt;height:0pt;width:433.65pt;z-index:251663360;mso-width-relative:page;mso-height-relative:page;" o:connectortype="straight" filled="f" coordsize="21600,21600">
            <v:path arrowok="t"/>
            <v:fill on="f" focussize="0,0"/>
            <v:stroke/>
            <v:imagedata o:title=""/>
            <o:lock v:ext="edit"/>
          </v:shape>
        </w:pict>
      </w:r>
    </w:p>
    <w:sectPr>
      <w:footerReference r:id="rId3" w:type="default"/>
      <w:pgSz w:w="11906" w:h="16838"/>
      <w:pgMar w:top="1440" w:right="1587" w:bottom="1440"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大标宋_GBK">
    <w:altName w:val="宋体"/>
    <w:panose1 w:val="03000509000000000000"/>
    <w:charset w:val="86"/>
    <w:family w:val="script"/>
    <w:pitch w:val="default"/>
    <w:sig w:usb0="00000000" w:usb1="00000000" w:usb2="0000001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D6BE2">
    <w:pPr>
      <w:pStyle w:val="4"/>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2DDDA21B">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EzMjM3Y2FkMmViM2EwMWQzMWQxOTliMGQwZDg5OWEifQ=="/>
  </w:docVars>
  <w:rsids>
    <w:rsidRoot w:val="00626AD9"/>
    <w:rsid w:val="00626AD9"/>
    <w:rsid w:val="006B0D6C"/>
    <w:rsid w:val="00897AEA"/>
    <w:rsid w:val="00AA0C4F"/>
    <w:rsid w:val="01415CD2"/>
    <w:rsid w:val="01D10F71"/>
    <w:rsid w:val="01D51533"/>
    <w:rsid w:val="02ED5607"/>
    <w:rsid w:val="08022832"/>
    <w:rsid w:val="08C45BF3"/>
    <w:rsid w:val="09347C7D"/>
    <w:rsid w:val="0CA21440"/>
    <w:rsid w:val="0D42750E"/>
    <w:rsid w:val="0D442381"/>
    <w:rsid w:val="14A8129C"/>
    <w:rsid w:val="14C27CB7"/>
    <w:rsid w:val="157206E7"/>
    <w:rsid w:val="15DA3AF3"/>
    <w:rsid w:val="19390D46"/>
    <w:rsid w:val="1A3E6A3F"/>
    <w:rsid w:val="1A8C47F4"/>
    <w:rsid w:val="1B381006"/>
    <w:rsid w:val="1B435F79"/>
    <w:rsid w:val="1D9E4098"/>
    <w:rsid w:val="1DE83BFB"/>
    <w:rsid w:val="21AE32C0"/>
    <w:rsid w:val="23F670CB"/>
    <w:rsid w:val="2847355E"/>
    <w:rsid w:val="2A283F76"/>
    <w:rsid w:val="2AA67CB3"/>
    <w:rsid w:val="2AE527EF"/>
    <w:rsid w:val="2C2218DD"/>
    <w:rsid w:val="2CED49AA"/>
    <w:rsid w:val="2E281661"/>
    <w:rsid w:val="2F675FF4"/>
    <w:rsid w:val="309E32C0"/>
    <w:rsid w:val="312B13AC"/>
    <w:rsid w:val="31E8316D"/>
    <w:rsid w:val="32270449"/>
    <w:rsid w:val="3262247F"/>
    <w:rsid w:val="326B4633"/>
    <w:rsid w:val="361534C3"/>
    <w:rsid w:val="36C252ED"/>
    <w:rsid w:val="36FD1347"/>
    <w:rsid w:val="37C47180"/>
    <w:rsid w:val="39CD2F3C"/>
    <w:rsid w:val="3EB41F81"/>
    <w:rsid w:val="3F8F70DE"/>
    <w:rsid w:val="40A8383C"/>
    <w:rsid w:val="442A695C"/>
    <w:rsid w:val="4608092A"/>
    <w:rsid w:val="473C786C"/>
    <w:rsid w:val="48A24318"/>
    <w:rsid w:val="48E31754"/>
    <w:rsid w:val="496F25AE"/>
    <w:rsid w:val="4A862FD7"/>
    <w:rsid w:val="4DFD6109"/>
    <w:rsid w:val="4E600B13"/>
    <w:rsid w:val="4E7F184B"/>
    <w:rsid w:val="4ED46834"/>
    <w:rsid w:val="52F67522"/>
    <w:rsid w:val="54CA185D"/>
    <w:rsid w:val="55E55D31"/>
    <w:rsid w:val="57716010"/>
    <w:rsid w:val="57B571E1"/>
    <w:rsid w:val="58642034"/>
    <w:rsid w:val="58A31D8D"/>
    <w:rsid w:val="592F74E2"/>
    <w:rsid w:val="595C01ED"/>
    <w:rsid w:val="5ABD1627"/>
    <w:rsid w:val="5D82472B"/>
    <w:rsid w:val="5E8A6BD3"/>
    <w:rsid w:val="5F6D308F"/>
    <w:rsid w:val="60E41FAD"/>
    <w:rsid w:val="65110106"/>
    <w:rsid w:val="65714609"/>
    <w:rsid w:val="6DAA7B29"/>
    <w:rsid w:val="6E020A9C"/>
    <w:rsid w:val="6E123117"/>
    <w:rsid w:val="74083CCD"/>
    <w:rsid w:val="741F0833"/>
    <w:rsid w:val="75993669"/>
    <w:rsid w:val="778A1084"/>
    <w:rsid w:val="79F97977"/>
    <w:rsid w:val="7CF757B1"/>
    <w:rsid w:val="7F8C11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31"/>
        <o:r id="V:Rule2" type="connector" idref="#_x0000_s103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20" w:afterLines="0"/>
      <w:ind w:left="420" w:leftChars="200"/>
    </w:p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qFormat/>
    <w:uiPriority w:val="0"/>
    <w:pPr>
      <w:widowControl w:val="0"/>
      <w:jc w:val="both"/>
    </w:pPr>
    <w:rPr>
      <w:rFonts w:ascii="Calibri" w:hAnsi="Calibri" w:eastAsia="宋体" w:cs="Times New Roman"/>
      <w:kern w:val="2"/>
      <w:sz w:val="18"/>
      <w:szCs w:val="18"/>
      <w:lang w:val="en-US" w:eastAsia="zh-CN" w:bidi="ar-SA"/>
    </w:rPr>
  </w:style>
  <w:style w:type="paragraph" w:styleId="7">
    <w:name w:val="Body Text First Indent 2"/>
    <w:basedOn w:val="2"/>
    <w:qFormat/>
    <w:uiPriority w:val="0"/>
    <w:pPr>
      <w:spacing w:after="0" w:afterLines="0" w:line="560" w:lineRule="exact"/>
      <w:ind w:left="0" w:leftChars="0" w:firstLine="420" w:firstLineChars="200"/>
    </w:pPr>
    <w:rPr>
      <w:rFonts w:ascii="仿宋_GB2312" w:eastAsia="宋体"/>
      <w:szCs w:val="20"/>
    </w:rPr>
  </w:style>
  <w:style w:type="character" w:styleId="10">
    <w:name w:val="Hyperlink"/>
    <w:basedOn w:val="9"/>
    <w:unhideWhenUsed/>
    <w:qFormat/>
    <w:uiPriority w:val="99"/>
    <w:rPr>
      <w:color w:val="0000FF"/>
      <w:u w:val="single"/>
    </w:rPr>
  </w:style>
  <w:style w:type="character" w:customStyle="1" w:styleId="11">
    <w:name w:val="批注框文本 Char"/>
    <w:basedOn w:val="9"/>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3878</Words>
  <Characters>3950</Characters>
  <Lines>2</Lines>
  <Paragraphs>10</Paragraphs>
  <TotalTime>4</TotalTime>
  <ScaleCrop>false</ScaleCrop>
  <LinksUpToDate>false</LinksUpToDate>
  <CharactersWithSpaces>3968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2018-07-26T10:19:00Z</dcterms:created>
  <dc:creator>webUser</dc:creator>
  <cp:lastModifiedBy>欧勇</cp:lastModifiedBy>
  <cp:lastPrinted>2025-02-28T07:14:53Z</cp:lastPrinted>
  <dcterms:modified xsi:type="dcterms:W3CDTF">2025-02-28T07:17:05Z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5B5F36B8B8D841219BF8843C0BA12B19</vt:lpwstr>
  </property>
  <property fmtid="{D5CDD505-2E9C-101B-9397-08002B2CF9AE}" pid="4" name="KSOTemplateDocerSaveRecord">
    <vt:lpwstr>eyJoZGlkIjoiMjUyYzk0ODRkMzBiNmU2ZWZkYmIyMmJhYjczMGE3ZjUiLCJ1c2VySWQiOiI2NzYxMzkwNDcifQ==</vt:lpwstr>
  </property>
</Properties>
</file>