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left"/>
        <w:rPr>
          <w:rFonts w:ascii="仿宋" w:hAnsi="仿宋" w:eastAsia="仿宋" w:cs="仿宋_GB2312"/>
          <w:kern w:val="0"/>
          <w:sz w:val="28"/>
          <w:szCs w:val="28"/>
        </w:rPr>
      </w:pPr>
      <w:r>
        <w:rPr>
          <w:rFonts w:hint="eastAsia" w:ascii="仿宋" w:hAnsi="仿宋" w:eastAsia="仿宋" w:cs="仿宋_GB2312"/>
          <w:kern w:val="0"/>
          <w:sz w:val="28"/>
          <w:szCs w:val="28"/>
        </w:rPr>
        <w:t>附件</w:t>
      </w:r>
      <w:r>
        <w:rPr>
          <w:rFonts w:ascii="仿宋" w:hAnsi="仿宋" w:eastAsia="仿宋" w:cs="仿宋_GB2312"/>
          <w:kern w:val="0"/>
          <w:sz w:val="28"/>
          <w:szCs w:val="28"/>
        </w:rPr>
        <w:t>2</w:t>
      </w:r>
      <w:r>
        <w:rPr>
          <w:rFonts w:hint="eastAsia" w:ascii="仿宋" w:hAnsi="仿宋" w:eastAsia="仿宋" w:cs="仿宋_GB2312"/>
          <w:kern w:val="0"/>
          <w:sz w:val="28"/>
          <w:szCs w:val="28"/>
        </w:rPr>
        <w:t>：</w:t>
      </w:r>
    </w:p>
    <w:p>
      <w:pPr>
        <w:widowControl/>
        <w:spacing w:line="600" w:lineRule="atLeast"/>
        <w:jc w:val="center"/>
        <w:rPr>
          <w:rFonts w:ascii="仿宋" w:hAnsi="仿宋" w:eastAsia="仿宋" w:cs="宋体"/>
          <w:kern w:val="0"/>
          <w:sz w:val="28"/>
          <w:szCs w:val="28"/>
        </w:rPr>
      </w:pPr>
      <w:bookmarkStart w:id="0" w:name="_GoBack"/>
      <w:r>
        <w:rPr>
          <w:rFonts w:hint="eastAsia" w:ascii="仿宋" w:hAnsi="仿宋" w:eastAsia="仿宋" w:cs="宋体"/>
          <w:b/>
          <w:color w:val="000000"/>
          <w:kern w:val="0"/>
          <w:sz w:val="28"/>
          <w:szCs w:val="28"/>
        </w:rPr>
        <w:t>部门整体支出绩效评价指标体系评分表</w:t>
      </w:r>
    </w:p>
    <w:bookmarkEnd w:id="0"/>
    <w:tbl>
      <w:tblPr>
        <w:tblStyle w:val="3"/>
        <w:tblW w:w="97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9"/>
        <w:gridCol w:w="1049"/>
        <w:gridCol w:w="709"/>
        <w:gridCol w:w="4536"/>
        <w:gridCol w:w="1899"/>
        <w:gridCol w:w="7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一级指标</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二级指标</w:t>
            </w:r>
          </w:p>
        </w:tc>
        <w:tc>
          <w:tcPr>
            <w:tcW w:w="5245" w:type="dxa"/>
            <w:gridSpan w:val="2"/>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三级指标</w:t>
            </w:r>
          </w:p>
        </w:tc>
        <w:tc>
          <w:tcPr>
            <w:tcW w:w="1899" w:type="dxa"/>
            <w:vMerge w:val="restart"/>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评分标准</w:t>
            </w:r>
          </w:p>
        </w:tc>
        <w:tc>
          <w:tcPr>
            <w:tcW w:w="794" w:type="dxa"/>
            <w:vMerge w:val="restart"/>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指标名称</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指标解释说明</w:t>
            </w:r>
          </w:p>
        </w:tc>
        <w:tc>
          <w:tcPr>
            <w:tcW w:w="1899" w:type="dxa"/>
            <w:vMerge w:val="continue"/>
            <w:tcBorders>
              <w:top w:val="single" w:color="000000"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794" w:type="dxa"/>
            <w:vMerge w:val="continue"/>
            <w:tcBorders>
              <w:top w:val="single" w:color="000000"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1" w:hRule="atLeast"/>
          <w:jc w:val="center"/>
        </w:trPr>
        <w:tc>
          <w:tcPr>
            <w:tcW w:w="769" w:type="dxa"/>
            <w:vMerge w:val="restart"/>
            <w:tcBorders>
              <w:top w:val="single" w:color="000000" w:sz="4" w:space="0"/>
              <w:left w:val="single" w:color="000000" w:sz="4" w:space="0"/>
              <w:right w:val="single" w:color="000000" w:sz="4" w:space="0"/>
            </w:tcBorders>
          </w:tcPr>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投入（15</w:t>
            </w:r>
            <w:r>
              <w:rPr>
                <w:rFonts w:hint="eastAsia" w:ascii="仿宋" w:hAnsi="仿宋" w:eastAsia="仿宋" w:cs="Arial"/>
                <w:kern w:val="0"/>
                <w:sz w:val="24"/>
                <w:szCs w:val="24"/>
              </w:rPr>
              <w:t>分</w:t>
            </w:r>
            <w:r>
              <w:rPr>
                <w:rFonts w:ascii="仿宋" w:hAnsi="仿宋" w:eastAsia="仿宋" w:cs="Arial"/>
                <w:kern w:val="0"/>
                <w:sz w:val="24"/>
                <w:szCs w:val="24"/>
              </w:rPr>
              <w:t>）</w:t>
            </w: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投入（15</w:t>
            </w:r>
            <w:r>
              <w:rPr>
                <w:rFonts w:hint="eastAsia" w:ascii="仿宋" w:hAnsi="仿宋" w:eastAsia="仿宋" w:cs="Arial"/>
                <w:kern w:val="0"/>
                <w:sz w:val="24"/>
                <w:szCs w:val="24"/>
              </w:rPr>
              <w:t>分</w:t>
            </w:r>
            <w:r>
              <w:rPr>
                <w:rFonts w:ascii="仿宋" w:hAnsi="仿宋" w:eastAsia="仿宋" w:cs="Arial"/>
                <w:kern w:val="0"/>
                <w:sz w:val="24"/>
                <w:szCs w:val="24"/>
              </w:rPr>
              <w:t>）</w:t>
            </w:r>
          </w:p>
        </w:tc>
        <w:tc>
          <w:tcPr>
            <w:tcW w:w="1049" w:type="dxa"/>
            <w:vMerge w:val="restart"/>
            <w:tcBorders>
              <w:top w:val="single" w:color="000000" w:sz="4" w:space="0"/>
              <w:left w:val="single" w:color="000000" w:sz="4" w:space="0"/>
              <w:right w:val="single" w:color="000000" w:sz="4" w:space="0"/>
            </w:tcBorders>
          </w:tcPr>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宋体"/>
                <w:kern w:val="0"/>
                <w:sz w:val="24"/>
                <w:szCs w:val="24"/>
              </w:rPr>
            </w:pPr>
            <w:r>
              <w:rPr>
                <w:rFonts w:ascii="仿宋" w:hAnsi="仿宋" w:eastAsia="仿宋" w:cs="Arial"/>
                <w:kern w:val="0"/>
                <w:sz w:val="24"/>
                <w:szCs w:val="24"/>
              </w:rPr>
              <w:t>目标设定</w:t>
            </w:r>
          </w:p>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w:t>
            </w:r>
            <w:r>
              <w:rPr>
                <w:rFonts w:hint="eastAsia" w:ascii="仿宋" w:hAnsi="仿宋" w:eastAsia="仿宋" w:cs="Arial"/>
                <w:kern w:val="0"/>
                <w:sz w:val="24"/>
                <w:szCs w:val="24"/>
              </w:rPr>
              <w:t>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auto" w:sz="4" w:space="0"/>
              <w:right w:val="single" w:color="auto" w:sz="4" w:space="0"/>
            </w:tcBorders>
          </w:tcPr>
          <w:p>
            <w:pPr>
              <w:widowControl/>
              <w:spacing w:line="68" w:lineRule="atLeast"/>
              <w:jc w:val="left"/>
              <w:rPr>
                <w:rFonts w:ascii="仿宋" w:hAnsi="仿宋" w:eastAsia="仿宋" w:cs="宋体"/>
                <w:kern w:val="0"/>
                <w:szCs w:val="21"/>
              </w:rPr>
            </w:pPr>
            <w:r>
              <w:rPr>
                <w:rFonts w:ascii="仿宋" w:hAnsi="仿宋" w:eastAsia="仿宋" w:cs="Arial"/>
                <w:kern w:val="0"/>
                <w:szCs w:val="21"/>
              </w:rPr>
              <w:t>职责明确（</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tcPr>
          <w:p>
            <w:pPr>
              <w:widowControl/>
              <w:spacing w:line="68" w:lineRule="atLeast"/>
              <w:jc w:val="left"/>
              <w:rPr>
                <w:rFonts w:ascii="仿宋" w:hAnsi="仿宋" w:eastAsia="仿宋" w:cs="宋体"/>
                <w:kern w:val="0"/>
                <w:szCs w:val="21"/>
              </w:rPr>
            </w:pPr>
            <w:r>
              <w:rPr>
                <w:rFonts w:ascii="仿宋" w:hAnsi="仿宋" w:eastAsia="仿宋" w:cs="Arial"/>
                <w:kern w:val="0"/>
                <w:szCs w:val="21"/>
              </w:rPr>
              <w:t>部门的职责设定是否符合“三定”方案中所赋予的职责</w:t>
            </w:r>
            <w:r>
              <w:rPr>
                <w:rFonts w:hint="eastAsia" w:ascii="仿宋" w:hAnsi="仿宋" w:eastAsia="仿宋" w:cs="Arial"/>
                <w:kern w:val="0"/>
                <w:szCs w:val="21"/>
              </w:rPr>
              <w:t>和年度承担的重点工作</w:t>
            </w:r>
            <w:r>
              <w:rPr>
                <w:rFonts w:ascii="仿宋" w:hAnsi="仿宋" w:eastAsia="仿宋" w:cs="Arial"/>
                <w:kern w:val="0"/>
                <w:szCs w:val="21"/>
              </w:rPr>
              <w:t>，用以反映和评价部门工作的目的性与计划性。</w:t>
            </w:r>
          </w:p>
        </w:tc>
        <w:tc>
          <w:tcPr>
            <w:tcW w:w="1899" w:type="dxa"/>
            <w:tcBorders>
              <w:top w:val="single" w:color="000000" w:sz="4" w:space="0"/>
              <w:left w:val="single" w:color="auto" w:sz="4" w:space="0"/>
              <w:bottom w:val="single" w:color="auto" w:sz="4" w:space="0"/>
              <w:right w:val="single" w:color="auto" w:sz="4" w:space="0"/>
            </w:tcBorders>
          </w:tcPr>
          <w:p>
            <w:pPr>
              <w:widowControl/>
              <w:spacing w:line="240" w:lineRule="exact"/>
              <w:jc w:val="left"/>
              <w:rPr>
                <w:rFonts w:ascii="仿宋" w:hAnsi="仿宋" w:eastAsia="仿宋" w:cs="宋体"/>
                <w:kern w:val="0"/>
                <w:szCs w:val="21"/>
              </w:rPr>
            </w:pPr>
            <w:r>
              <w:rPr>
                <w:rFonts w:ascii="仿宋" w:hAnsi="仿宋" w:eastAsia="仿宋" w:cs="Arial"/>
                <w:kern w:val="0"/>
                <w:szCs w:val="21"/>
              </w:rPr>
              <w:t>符合（</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tcPr>
          <w:p>
            <w:pPr>
              <w:widowControl/>
              <w:spacing w:line="68" w:lineRule="atLeast"/>
              <w:jc w:val="left"/>
              <w:rPr>
                <w:rFonts w:hint="eastAsia" w:ascii="宋体" w:hAnsi="宋体" w:eastAsia="仿宋" w:cs="Arial"/>
                <w:kern w:val="0"/>
                <w:sz w:val="20"/>
                <w:szCs w:val="24"/>
              </w:rPr>
            </w:pPr>
            <w:r>
              <w:rPr>
                <w:rFonts w:hint="eastAsia" w:ascii="宋体" w:hAnsi="宋体" w:eastAsia="仿宋" w:cs="Arial"/>
                <w:kern w:val="0"/>
                <w:sz w:val="20"/>
                <w:szCs w:val="24"/>
              </w:rPr>
              <w:t> </w:t>
            </w:r>
          </w:p>
          <w:p>
            <w:pPr>
              <w:widowControl/>
              <w:spacing w:line="68" w:lineRule="atLeast"/>
              <w:jc w:val="left"/>
              <w:rPr>
                <w:rFonts w:hint="default"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1</w:t>
            </w:r>
          </w:p>
          <w:p>
            <w:pPr>
              <w:widowControl/>
              <w:spacing w:line="68" w:lineRule="atLeast"/>
              <w:jc w:val="left"/>
              <w:rPr>
                <w:rFonts w:hint="eastAsia" w:ascii="宋体" w:hAnsi="宋体" w:eastAsia="仿宋" w:cs="Arial"/>
                <w:kern w:val="0"/>
                <w:sz w:val="20"/>
                <w:szCs w:val="24"/>
                <w:lang w:val="en-US" w:eastAsia="zh-CN"/>
              </w:rPr>
            </w:pPr>
          </w:p>
          <w:p>
            <w:pPr>
              <w:widowControl/>
              <w:spacing w:line="68" w:lineRule="atLeast"/>
              <w:jc w:val="left"/>
              <w:rPr>
                <w:rFonts w:hint="eastAsia" w:ascii="宋体" w:hAnsi="宋体" w:eastAsia="仿宋" w:cs="Arial"/>
                <w:kern w:val="0"/>
                <w:sz w:val="20"/>
                <w:szCs w:val="24"/>
                <w:lang w:val="en-US" w:eastAsia="zh-CN"/>
              </w:rPr>
            </w:pPr>
          </w:p>
          <w:p>
            <w:pPr>
              <w:widowControl/>
              <w:spacing w:line="68" w:lineRule="atLeast"/>
              <w:jc w:val="left"/>
              <w:rPr>
                <w:rFonts w:hint="eastAsia" w:ascii="宋体" w:hAnsi="宋体" w:eastAsia="仿宋" w:cs="Arial"/>
                <w:kern w:val="0"/>
                <w:sz w:val="20"/>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活动合规性（</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部门的活动是否在职责范围之内并符合部门中长期规划，用以反映和评价部门活动目标与部门履职、年度工作任务的相符性情况。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部门活动的设定在部门所确定的职责范围之内；</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部门活动符合</w:t>
            </w:r>
            <w:r>
              <w:rPr>
                <w:rFonts w:hint="eastAsia" w:ascii="仿宋" w:hAnsi="仿宋" w:eastAsia="仿宋" w:cs="Arial"/>
                <w:kern w:val="0"/>
                <w:szCs w:val="21"/>
              </w:rPr>
              <w:t>县</w:t>
            </w:r>
            <w:r>
              <w:rPr>
                <w:rFonts w:ascii="仿宋" w:hAnsi="仿宋" w:eastAsia="仿宋" w:cs="Arial"/>
                <w:kern w:val="0"/>
                <w:szCs w:val="21"/>
              </w:rPr>
              <w:t>委、</w:t>
            </w:r>
            <w:r>
              <w:rPr>
                <w:rFonts w:hint="eastAsia" w:ascii="仿宋" w:hAnsi="仿宋" w:eastAsia="仿宋" w:cs="Arial"/>
                <w:kern w:val="0"/>
                <w:szCs w:val="21"/>
              </w:rPr>
              <w:t>县</w:t>
            </w:r>
            <w:r>
              <w:rPr>
                <w:rFonts w:ascii="仿宋" w:hAnsi="仿宋" w:eastAsia="仿宋" w:cs="Arial"/>
                <w:kern w:val="0"/>
                <w:szCs w:val="21"/>
              </w:rPr>
              <w:t>政府的发展规划及本部门的年度工作安排与发展规划。</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其中一项不符合（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活动合理性（</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部门所设立的活动是否明确合理、活动的关键性指标设置是否可衡量，用以反映和评价部门活动目标设定的合理性。</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活动目标的设定是可量化的，可通过清晰、可衡量的关键指标值予以体现；</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在活动目标设定时，将关键指标明细分解为具体的达成目标与工作任务。</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其中一项不符合（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lang w:val="en-US" w:eastAsia="zh-CN"/>
              </w:rPr>
              <w:t>1</w:t>
            </w:r>
            <w:r>
              <w:rPr>
                <w:rFonts w:hint="eastAsia" w:ascii="宋体" w:hAnsi="宋体" w:eastAsia="仿宋" w:cs="Arial"/>
                <w:kern w:val="0"/>
                <w:sz w:val="20"/>
                <w:szCs w:val="24"/>
              </w:rP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目标覆盖率（1分）</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部门年度申报绩效目标项目资金额与部门项目预算资金总额的比率，用以反映部门落实财政部门绩效目标申报要求的资金覆盖情况。</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覆盖率=实际申报绩效目标项目资金总额/部门项目预算资金总额×100%</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达到目标值得1分，未达到目标值</w:t>
            </w:r>
            <w:r>
              <w:rPr>
                <w:rFonts w:hint="eastAsia" w:ascii="仿宋" w:hAnsi="仿宋" w:eastAsia="仿宋" w:cs="宋体"/>
                <w:kern w:val="0"/>
                <w:szCs w:val="21"/>
              </w:rPr>
              <w:t>采用完成比率法计分：</w:t>
            </w:r>
            <w:r>
              <w:rPr>
                <w:rFonts w:hint="eastAsia" w:ascii="仿宋" w:hAnsi="仿宋" w:eastAsia="仿宋" w:cs="Arial"/>
                <w:kern w:val="0"/>
                <w:szCs w:val="21"/>
              </w:rPr>
              <w:t>得分=覆盖率/目标值</w:t>
            </w:r>
            <w:r>
              <w:rPr>
                <w:rFonts w:ascii="仿宋" w:hAnsi="仿宋" w:eastAsia="仿宋" w:cs="Arial"/>
                <w:kern w:val="0"/>
                <w:szCs w:val="21"/>
              </w:rPr>
              <w:t>×</w:t>
            </w:r>
            <w:r>
              <w:rPr>
                <w:rFonts w:hint="eastAsia" w:ascii="仿宋" w:hAnsi="仿宋" w:eastAsia="仿宋" w:cs="Arial"/>
                <w:kern w:val="0"/>
                <w:szCs w:val="21"/>
              </w:rPr>
              <w:t>1，超过目标值不加分。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2"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目标管理创新（1分）</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部门编报整体绩效目标和申报项目绩效目标的数量超过规定的要求。用以反映和考核部门绩效目标管理创新工作情况。</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项目绩效目标创新=部门绩效目标编报数量-按财政部门要求的绩效目标填报数量</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每超过1项得0.1分，满分1分。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93"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预算配置</w:t>
            </w:r>
            <w:r>
              <w:rPr>
                <w:rFonts w:hint="eastAsia" w:ascii="仿宋" w:hAnsi="仿宋" w:eastAsia="仿宋" w:cs="Arial"/>
                <w:kern w:val="0"/>
                <w:sz w:val="24"/>
                <w:szCs w:val="24"/>
              </w:rPr>
              <w:t>(10分)</w:t>
            </w: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财政供养人员</w:t>
            </w:r>
            <w:r>
              <w:rPr>
                <w:rFonts w:ascii="仿宋" w:hAnsi="仿宋" w:eastAsia="仿宋" w:cs="Arial"/>
                <w:kern w:val="0"/>
                <w:szCs w:val="21"/>
              </w:rPr>
              <w:t>控制率（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部门本年度实际在职人员数与编制数的比率，用以反映和评价部门对人员成本的控制程度。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在职人员控制率</w:t>
            </w:r>
            <w:r>
              <w:rPr>
                <w:rFonts w:hint="eastAsia" w:ascii="仿宋" w:hAnsi="仿宋" w:eastAsia="仿宋" w:cs="Arial"/>
                <w:kern w:val="0"/>
                <w:szCs w:val="21"/>
              </w:rPr>
              <w:t>=</w:t>
            </w:r>
            <w:r>
              <w:rPr>
                <w:rFonts w:ascii="仿宋" w:hAnsi="仿宋" w:eastAsia="仿宋" w:cs="Arial"/>
                <w:kern w:val="0"/>
                <w:szCs w:val="21"/>
              </w:rPr>
              <w:t>（在职人员数</w:t>
            </w:r>
            <w:r>
              <w:rPr>
                <w:rFonts w:hint="eastAsia" w:ascii="仿宋" w:hAnsi="仿宋" w:eastAsia="仿宋" w:cs="Arial"/>
                <w:kern w:val="0"/>
                <w:szCs w:val="21"/>
              </w:rPr>
              <w:t>/</w:t>
            </w:r>
            <w:r>
              <w:rPr>
                <w:rFonts w:ascii="仿宋" w:hAnsi="仿宋" w:eastAsia="仿宋" w:cs="Arial"/>
                <w:kern w:val="0"/>
                <w:szCs w:val="21"/>
              </w:rPr>
              <w:t>编制数）×</w:t>
            </w:r>
            <w:r>
              <w:rPr>
                <w:rFonts w:hint="eastAsia" w:ascii="仿宋" w:hAnsi="仿宋" w:eastAsia="仿宋" w:cs="Arial"/>
                <w:kern w:val="0"/>
                <w:szCs w:val="21"/>
              </w:rPr>
              <w:t>100%</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在职人员数：部门实际在职人数，以财政部确定的部门决算编制口径为准，由编制部门和人劳部门批复同意的临聘人员除外。</w:t>
            </w:r>
          </w:p>
          <w:p>
            <w:pPr>
              <w:widowControl/>
              <w:spacing w:line="68" w:lineRule="atLeast"/>
              <w:jc w:val="left"/>
              <w:rPr>
                <w:rFonts w:ascii="仿宋" w:hAnsi="仿宋" w:eastAsia="仿宋" w:cs="宋体"/>
                <w:kern w:val="0"/>
                <w:szCs w:val="21"/>
              </w:rPr>
            </w:pPr>
            <w:r>
              <w:rPr>
                <w:rFonts w:ascii="仿宋" w:hAnsi="仿宋" w:eastAsia="仿宋" w:cs="Arial"/>
                <w:kern w:val="0"/>
                <w:szCs w:val="21"/>
              </w:rPr>
              <w:t>编制数：机构编制部门核定批复的部门人员编制数。</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目标值≤100%；达到目标值得3分，每超出1人扣0.1分，扣完为止。</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5"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“三公经费”变动率（4分）</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部门本年度“三公经费”预算数与上年度“三公经费”预算数的变动比率，用以反映和考核部门对控制重点行政成本的努力程度。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“三公经费”变动率=〔（本年度“三公经费”总额-上年度“三公经费”总额）/上年度“三公经费”总额〕×100%</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“三公经费”：年度预算安排的因公出国（境）费、公务车辆购置及运行费和公务招待费。</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目标值≤0；达到目标值得4分，未达到目标值的采用比率扣分法：扣分值=“三公经费”变动率×4×10，变动率达10%以上的扣4分。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7" w:hRule="atLeast"/>
          <w:jc w:val="center"/>
        </w:trPr>
        <w:tc>
          <w:tcPr>
            <w:tcW w:w="76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重点支出安排率（3分）</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部门（单位）本年度预算安排的重点项目支出与部门项目总支出的比率，用以反映和考核部门（单位）对履行主要职责或完成重点任务的保障程度。重点支出安排率=（重点项目支出/项目总支出）×100%。</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重点项目支出：部门（单位）年度预算安排的，与本部门履职和发展密切相关、具有明显社会和经济影响、党委政府关心或社会比较关注的项目支出总额。具体由被评价部门提出后经对口部门预算管理处审核确定。</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项目总支出：部门（单位）年度预算安排的项目支出总额。</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w:t>
            </w:r>
            <w:r>
              <w:rPr>
                <w:rFonts w:hint="eastAsia" w:ascii="仿宋" w:hAnsi="仿宋" w:eastAsia="仿宋" w:cs="宋体"/>
                <w:kern w:val="0"/>
                <w:szCs w:val="21"/>
              </w:rPr>
              <w:t>≥70%</w:t>
            </w:r>
            <w:r>
              <w:rPr>
                <w:rFonts w:hint="eastAsia" w:ascii="仿宋" w:hAnsi="仿宋" w:eastAsia="仿宋" w:cs="Arial"/>
                <w:kern w:val="0"/>
                <w:szCs w:val="21"/>
              </w:rPr>
              <w:t>；以3分为上限，采用完成比率法计分：得分=重点支出安排率/70%×100%×3，超出目标值不加分。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8" w:hRule="atLeast"/>
          <w:jc w:val="center"/>
        </w:trPr>
        <w:tc>
          <w:tcPr>
            <w:tcW w:w="769" w:type="dxa"/>
            <w:vMerge w:val="restart"/>
            <w:tcBorders>
              <w:top w:val="single" w:color="000000" w:sz="4" w:space="0"/>
              <w:left w:val="single" w:color="000000" w:sz="4" w:space="0"/>
              <w:right w:val="single" w:color="000000" w:sz="4" w:space="0"/>
            </w:tcBorders>
            <w:vAlign w:val="center"/>
          </w:tcPr>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r>
              <w:rPr>
                <w:rFonts w:ascii="仿宋" w:hAnsi="仿宋" w:eastAsia="仿宋" w:cs="Arial"/>
                <w:kern w:val="0"/>
                <w:sz w:val="24"/>
                <w:szCs w:val="24"/>
              </w:rPr>
              <w:t>过程</w:t>
            </w:r>
            <w:r>
              <w:rPr>
                <w:rFonts w:hint="eastAsia" w:ascii="仿宋" w:hAnsi="仿宋" w:eastAsia="仿宋" w:cs="Arial"/>
                <w:kern w:val="0"/>
                <w:sz w:val="24"/>
                <w:szCs w:val="24"/>
              </w:rPr>
              <w:t>(55分)</w:t>
            </w: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jc w:val="center"/>
              <w:rPr>
                <w:rFonts w:ascii="仿宋" w:hAnsi="仿宋" w:eastAsia="仿宋" w:cs="宋体"/>
                <w:kern w:val="0"/>
                <w:sz w:val="24"/>
                <w:szCs w:val="24"/>
              </w:rPr>
            </w:pP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预算执行</w:t>
            </w:r>
            <w:r>
              <w:rPr>
                <w:rFonts w:hint="eastAsia" w:ascii="仿宋" w:hAnsi="仿宋" w:eastAsia="仿宋" w:cs="Arial"/>
                <w:kern w:val="0"/>
                <w:sz w:val="24"/>
                <w:szCs w:val="24"/>
              </w:rPr>
              <w:t>(</w:t>
            </w:r>
            <w:r>
              <w:rPr>
                <w:rFonts w:ascii="仿宋" w:hAnsi="仿宋" w:eastAsia="仿宋" w:cs="Arial"/>
                <w:kern w:val="0"/>
                <w:sz w:val="24"/>
                <w:szCs w:val="24"/>
              </w:rPr>
              <w:t>27</w:t>
            </w:r>
            <w:r>
              <w:rPr>
                <w:rFonts w:hint="eastAsia" w:ascii="仿宋" w:hAnsi="仿宋" w:eastAsia="仿宋" w:cs="Arial"/>
                <w:kern w:val="0"/>
                <w:sz w:val="24"/>
                <w:szCs w:val="24"/>
              </w:rPr>
              <w:t>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预算完成率（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通过对部门本年度预算完成数与预算数的比较，反映和评价部门预算的完成程度。</w:t>
            </w:r>
          </w:p>
          <w:p>
            <w:pPr>
              <w:widowControl/>
              <w:spacing w:line="68" w:lineRule="atLeast"/>
              <w:jc w:val="left"/>
              <w:rPr>
                <w:rFonts w:ascii="仿宋" w:hAnsi="仿宋" w:eastAsia="仿宋" w:cs="宋体"/>
                <w:kern w:val="0"/>
                <w:szCs w:val="21"/>
              </w:rPr>
            </w:pPr>
            <w:r>
              <w:rPr>
                <w:rFonts w:ascii="仿宋" w:hAnsi="仿宋" w:eastAsia="仿宋" w:cs="Arial"/>
                <w:kern w:val="0"/>
                <w:szCs w:val="21"/>
              </w:rPr>
              <w:t>预算完成率</w:t>
            </w:r>
            <w:r>
              <w:rPr>
                <w:rFonts w:hint="eastAsia" w:ascii="仿宋" w:hAnsi="仿宋" w:eastAsia="仿宋" w:cs="Arial"/>
                <w:kern w:val="0"/>
                <w:szCs w:val="21"/>
              </w:rPr>
              <w:t>=</w:t>
            </w:r>
            <w:r>
              <w:rPr>
                <w:rFonts w:ascii="仿宋" w:hAnsi="仿宋" w:eastAsia="仿宋" w:cs="Arial"/>
                <w:kern w:val="0"/>
                <w:szCs w:val="21"/>
              </w:rPr>
              <w:t>（预算完成数</w:t>
            </w:r>
            <w:r>
              <w:rPr>
                <w:rFonts w:hint="eastAsia" w:ascii="仿宋" w:hAnsi="仿宋" w:eastAsia="仿宋" w:cs="Arial"/>
                <w:kern w:val="0"/>
                <w:szCs w:val="21"/>
              </w:rPr>
              <w:t>/</w:t>
            </w:r>
            <w:r>
              <w:rPr>
                <w:rFonts w:ascii="仿宋" w:hAnsi="仿宋" w:eastAsia="仿宋" w:cs="Arial"/>
                <w:kern w:val="0"/>
                <w:szCs w:val="21"/>
              </w:rPr>
              <w:t>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达到目标值的得3分；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100%＞结果≥90%，得3分；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90%＞结果≥80%，得1分；</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结果＜</w:t>
            </w:r>
            <w:r>
              <w:rPr>
                <w:rFonts w:hint="eastAsia" w:ascii="仿宋" w:hAnsi="仿宋" w:eastAsia="仿宋" w:cs="宋体"/>
                <w:kern w:val="0"/>
                <w:szCs w:val="21"/>
              </w:rPr>
              <w:t>80%得0分。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预算调整率（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部门本年度预算调整数与预算数的比率，用以反映和评价部门预算的调整程度。</w:t>
            </w:r>
          </w:p>
          <w:p>
            <w:pPr>
              <w:widowControl/>
              <w:spacing w:line="68" w:lineRule="atLeast"/>
              <w:jc w:val="left"/>
              <w:rPr>
                <w:rFonts w:ascii="仿宋" w:hAnsi="仿宋" w:eastAsia="仿宋" w:cs="宋体"/>
                <w:kern w:val="0"/>
                <w:szCs w:val="21"/>
              </w:rPr>
            </w:pPr>
            <w:r>
              <w:rPr>
                <w:rFonts w:ascii="仿宋" w:hAnsi="仿宋" w:eastAsia="仿宋" w:cs="Arial"/>
                <w:kern w:val="0"/>
                <w:szCs w:val="21"/>
              </w:rPr>
              <w:t>预算调整率</w:t>
            </w:r>
            <w:r>
              <w:rPr>
                <w:rFonts w:hint="eastAsia" w:ascii="仿宋" w:hAnsi="仿宋" w:eastAsia="仿宋" w:cs="Arial"/>
                <w:kern w:val="0"/>
                <w:szCs w:val="21"/>
              </w:rPr>
              <w:t>=</w:t>
            </w:r>
            <w:r>
              <w:rPr>
                <w:rFonts w:ascii="仿宋" w:hAnsi="仿宋" w:eastAsia="仿宋" w:cs="Arial"/>
                <w:kern w:val="0"/>
                <w:szCs w:val="21"/>
              </w:rPr>
              <w:t>（预算调整数</w:t>
            </w:r>
            <w:r>
              <w:rPr>
                <w:rFonts w:hint="eastAsia" w:ascii="仿宋" w:hAnsi="仿宋" w:eastAsia="仿宋" w:cs="Arial"/>
                <w:kern w:val="0"/>
                <w:szCs w:val="21"/>
              </w:rPr>
              <w:t>/</w:t>
            </w:r>
            <w:r>
              <w:rPr>
                <w:rFonts w:ascii="仿宋" w:hAnsi="仿宋" w:eastAsia="仿宋" w:cs="Arial"/>
                <w:kern w:val="0"/>
                <w:szCs w:val="21"/>
              </w:rPr>
              <w:t>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目标值为10%；达到目标值得3分，未达到目标值的每增加0.1个百分点扣0.1分，扣完为止。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1"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color w:val="000000"/>
                <w:kern w:val="0"/>
                <w:szCs w:val="21"/>
              </w:rPr>
              <w:t>支付进度率</w:t>
            </w:r>
            <w:r>
              <w:rPr>
                <w:rFonts w:ascii="仿宋" w:hAnsi="仿宋" w:eastAsia="仿宋" w:cs="Arial"/>
                <w:kern w:val="0"/>
                <w:szCs w:val="21"/>
              </w:rPr>
              <w:t>（</w:t>
            </w:r>
            <w:r>
              <w:rPr>
                <w:rFonts w:hint="eastAsia" w:ascii="仿宋" w:hAnsi="仿宋" w:eastAsia="仿宋" w:cs="Arial"/>
                <w:kern w:val="0"/>
                <w:szCs w:val="21"/>
              </w:rPr>
              <w:t>6分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w:t>
            </w:r>
            <w:r>
              <w:rPr>
                <w:rFonts w:hint="eastAsia" w:ascii="仿宋" w:hAnsi="仿宋" w:eastAsia="仿宋" w:cs="Arial"/>
                <w:kern w:val="0"/>
                <w:szCs w:val="21"/>
              </w:rPr>
              <w:t>年</w:t>
            </w:r>
            <w:r>
              <w:rPr>
                <w:rFonts w:ascii="仿宋" w:hAnsi="仿宋" w:eastAsia="仿宋" w:cs="Arial"/>
                <w:kern w:val="0"/>
                <w:szCs w:val="21"/>
              </w:rPr>
              <w:t>度支付数与</w:t>
            </w:r>
            <w:r>
              <w:rPr>
                <w:rFonts w:hint="eastAsia" w:ascii="仿宋" w:hAnsi="仿宋" w:eastAsia="仿宋" w:cs="Arial"/>
                <w:kern w:val="0"/>
                <w:szCs w:val="21"/>
              </w:rPr>
              <w:t>年</w:t>
            </w:r>
            <w:r>
              <w:rPr>
                <w:rFonts w:ascii="仿宋" w:hAnsi="仿宋" w:eastAsia="仿宋" w:cs="Arial"/>
                <w:kern w:val="0"/>
                <w:szCs w:val="21"/>
              </w:rPr>
              <w:t>度</w:t>
            </w:r>
            <w:r>
              <w:rPr>
                <w:rFonts w:hint="eastAsia" w:ascii="仿宋" w:hAnsi="仿宋" w:eastAsia="仿宋" w:cs="Arial"/>
                <w:kern w:val="0"/>
                <w:szCs w:val="21"/>
              </w:rPr>
              <w:t>预算（调整）</w:t>
            </w:r>
            <w:r>
              <w:rPr>
                <w:rFonts w:ascii="仿宋" w:hAnsi="仿宋" w:eastAsia="仿宋" w:cs="Arial"/>
                <w:kern w:val="0"/>
                <w:szCs w:val="21"/>
              </w:rPr>
              <w:t>数的比率，用以反映和评价部门预算执行的及时和均衡程度。</w:t>
            </w:r>
          </w:p>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半年支付进度=部门上半年实际支出÷（上年结余结转+本年部门预算安排+上半年执行中追加追减）×100%</w:t>
            </w:r>
          </w:p>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全年支付进度=部门全年实际支出÷（上年结余结转+本年部门预算安排+全年执行中追加追减）×100%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半年进度：结果≥50%，得2分；50%＞结果≥40%，得1分；结果＜40%，得0分。</w:t>
            </w:r>
          </w:p>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全年进度：结果≥100%，得4分；100%＞结果≥95%，得3分；95%＞结果≥90%，得2分；90%＞结果≥85%，得2分；结果＜85%，得0分。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结转结余率（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通过对部门本年度结转结余总额与支出预算数的比较，反映和评价部门对本年度结转结余资金的实际控制程度。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结转结余率</w:t>
            </w:r>
            <w:r>
              <w:rPr>
                <w:rFonts w:hint="eastAsia" w:ascii="仿宋" w:hAnsi="仿宋" w:eastAsia="仿宋" w:cs="Arial"/>
                <w:kern w:val="0"/>
                <w:szCs w:val="21"/>
              </w:rPr>
              <w:t>=</w:t>
            </w:r>
            <w:r>
              <w:rPr>
                <w:rFonts w:ascii="仿宋" w:hAnsi="仿宋" w:eastAsia="仿宋" w:cs="Arial"/>
                <w:kern w:val="0"/>
                <w:szCs w:val="21"/>
              </w:rPr>
              <w:t>（结转结余总额</w:t>
            </w:r>
            <w:r>
              <w:rPr>
                <w:rFonts w:hint="eastAsia" w:ascii="仿宋" w:hAnsi="仿宋" w:eastAsia="仿宋" w:cs="Arial"/>
                <w:kern w:val="0"/>
                <w:szCs w:val="21"/>
              </w:rPr>
              <w:t>/</w:t>
            </w:r>
            <w:r>
              <w:rPr>
                <w:rFonts w:ascii="仿宋" w:hAnsi="仿宋" w:eastAsia="仿宋" w:cs="Arial"/>
                <w:kern w:val="0"/>
                <w:szCs w:val="21"/>
              </w:rPr>
              <w:t>支出预算数）×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7"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结转结余变动率(3分）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部门本年度结转结余资金总额与上年度结转结余资金总额的变动比率，用以反映和考核部门对控制结转结余资金的努力程度。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结转结余变动率=〔（本年度累计结转结余资金总额-上年度累计结转结余资金总额）/上年度累计结转结余资金总额〕×100%。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目标值为≤0%；达到目标值得3分，未达到目标值的采用比率扣分法：扣分值=结转结余变动率×2×10，变动率达10%以上的扣2分。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5"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公用经费控制率（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通过对部门本年度实际支出的公用经费总额与预算安排的公用经费总额的比率，反映和评价部门对机构运转成本的实际控制程度。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公用经费控制率</w:t>
            </w:r>
            <w:r>
              <w:rPr>
                <w:rFonts w:hint="eastAsia" w:ascii="仿宋" w:hAnsi="仿宋" w:eastAsia="仿宋" w:cs="Arial"/>
                <w:kern w:val="0"/>
                <w:szCs w:val="21"/>
              </w:rPr>
              <w:t>=</w:t>
            </w:r>
            <w:r>
              <w:rPr>
                <w:rFonts w:ascii="仿宋" w:hAnsi="仿宋" w:eastAsia="仿宋" w:cs="Arial"/>
                <w:kern w:val="0"/>
                <w:szCs w:val="21"/>
              </w:rPr>
              <w:t>（实际支出公用经费总额</w:t>
            </w:r>
            <w:r>
              <w:rPr>
                <w:rFonts w:hint="eastAsia" w:ascii="仿宋" w:hAnsi="仿宋" w:eastAsia="仿宋" w:cs="Arial"/>
                <w:kern w:val="0"/>
                <w:szCs w:val="21"/>
              </w:rPr>
              <w:t>/</w:t>
            </w:r>
            <w:r>
              <w:rPr>
                <w:rFonts w:ascii="仿宋" w:hAnsi="仿宋" w:eastAsia="仿宋" w:cs="Arial"/>
                <w:kern w:val="0"/>
                <w:szCs w:val="21"/>
              </w:rPr>
              <w:t>预算安排公用经费总额）×</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default"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3"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“三公经费”控制率（3分）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部门（单位）本年度“三公经费”实际支出数与预算安排数的比率，用以反映和考核部门（单位）对“三公经费”的实际控制程度。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“三公经费”控制率=（“三公经费”实际支出/“三公经费”预算安排数）×100%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1"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政府采购执行率（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通过对部门本年度实际政府采购预算项目个数与政府采购预算项目个数的比较，反映和评价部门政府采购预算执行情况。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政府采购执行率</w:t>
            </w:r>
            <w:r>
              <w:rPr>
                <w:rFonts w:hint="eastAsia" w:ascii="仿宋" w:hAnsi="仿宋" w:eastAsia="仿宋" w:cs="Arial"/>
                <w:kern w:val="0"/>
                <w:szCs w:val="21"/>
              </w:rPr>
              <w:t>=</w:t>
            </w:r>
            <w:r>
              <w:rPr>
                <w:rFonts w:ascii="仿宋" w:hAnsi="仿宋" w:eastAsia="仿宋" w:cs="Arial"/>
                <w:kern w:val="0"/>
                <w:szCs w:val="21"/>
              </w:rPr>
              <w:t>（实际政府采购预算项目个数</w:t>
            </w:r>
            <w:r>
              <w:rPr>
                <w:rFonts w:hint="eastAsia" w:ascii="仿宋" w:hAnsi="仿宋" w:eastAsia="仿宋" w:cs="Arial"/>
                <w:kern w:val="0"/>
                <w:szCs w:val="21"/>
              </w:rPr>
              <w:t>/</w:t>
            </w:r>
            <w:r>
              <w:rPr>
                <w:rFonts w:ascii="仿宋" w:hAnsi="仿宋" w:eastAsia="仿宋" w:cs="Arial"/>
                <w:kern w:val="0"/>
                <w:szCs w:val="21"/>
              </w:rPr>
              <w:t>政府采购预算项目个数）×</w:t>
            </w:r>
            <w:r>
              <w:rPr>
                <w:rFonts w:hint="eastAsia" w:ascii="仿宋" w:hAnsi="仿宋" w:eastAsia="仿宋" w:cs="Arial"/>
                <w:kern w:val="0"/>
                <w:szCs w:val="21"/>
              </w:rPr>
              <w:t>100%</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政府采购项目中非预算内安排的项目除外。</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目标值为100%；以3分为上限，采用完成比率法计分：得分=政府采购执行率×3。</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1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pPr>
              <w:widowControl/>
              <w:spacing w:line="240" w:lineRule="exact"/>
              <w:jc w:val="center"/>
              <w:rPr>
                <w:rFonts w:ascii="仿宋" w:hAnsi="仿宋" w:eastAsia="仿宋" w:cs="宋体"/>
                <w:kern w:val="0"/>
                <w:sz w:val="24"/>
                <w:szCs w:val="24"/>
              </w:rPr>
            </w:pPr>
            <w:r>
              <w:rPr>
                <w:rFonts w:ascii="仿宋" w:hAnsi="仿宋" w:eastAsia="仿宋" w:cs="Arial"/>
                <w:kern w:val="0"/>
                <w:sz w:val="24"/>
                <w:szCs w:val="24"/>
              </w:rPr>
              <w:t>预算管理</w:t>
            </w:r>
          </w:p>
          <w:p>
            <w:pPr>
              <w:spacing w:line="68" w:lineRule="atLeast"/>
              <w:jc w:val="center"/>
              <w:rPr>
                <w:rFonts w:ascii="仿宋" w:hAnsi="仿宋" w:eastAsia="仿宋" w:cs="宋体"/>
                <w:kern w:val="0"/>
                <w:sz w:val="24"/>
                <w:szCs w:val="24"/>
              </w:rPr>
            </w:pPr>
            <w:r>
              <w:rPr>
                <w:rFonts w:ascii="仿宋" w:hAnsi="仿宋" w:eastAsia="仿宋" w:cs="Arial"/>
                <w:kern w:val="0"/>
                <w:sz w:val="24"/>
                <w:szCs w:val="24"/>
              </w:rPr>
              <w:t>（</w:t>
            </w:r>
            <w:r>
              <w:rPr>
                <w:rFonts w:hint="eastAsia" w:ascii="仿宋" w:hAnsi="仿宋" w:eastAsia="仿宋" w:cs="Arial"/>
                <w:kern w:val="0"/>
                <w:sz w:val="24"/>
                <w:szCs w:val="24"/>
              </w:rPr>
              <w:t>18分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管理制度健全性</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部门为加强预算管理，规范财务行为而制定的管理制度是否健全完整，用以反映和考核部门预算管理制度对完成主要职责或促进事业发展的保障情况。</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评价要点：</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1．是否已制定或具有预算资金管理办法、内部财务管理制度、会计核算制度等管理制度；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2.相关管理制度是否合法、合规、完整；</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3.相关管理制度是否得到有效执行。</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7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ascii="仿宋" w:hAnsi="仿宋" w:eastAsia="仿宋" w:cs="Arial"/>
                <w:kern w:val="0"/>
                <w:szCs w:val="21"/>
              </w:rPr>
              <w:t>资金使用合规性</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9分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部门使用预算资金是否符合相关的预算财务管理制度的规定，反映和评价部门预算资金的规范运行情况。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符合国家财经法规和财务管理制度规定以及有关部门资金管理办法的规定；</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资金的拨付有完整的审批过程和手续；</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项目的重大开支经过评估论证；</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4.</w:t>
            </w:r>
            <w:r>
              <w:rPr>
                <w:rFonts w:ascii="仿宋" w:hAnsi="仿宋" w:eastAsia="仿宋" w:cs="Arial"/>
                <w:kern w:val="0"/>
                <w:szCs w:val="21"/>
              </w:rPr>
              <w:t>符合部门预算批复的用途；</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5.</w:t>
            </w:r>
            <w:r>
              <w:rPr>
                <w:rFonts w:ascii="仿宋" w:hAnsi="仿宋" w:eastAsia="仿宋" w:cs="Arial"/>
                <w:kern w:val="0"/>
                <w:szCs w:val="21"/>
              </w:rPr>
              <w:t>不存在截留情况；</w:t>
            </w:r>
            <w:r>
              <w:rPr>
                <w:rFonts w:hint="eastAsia" w:ascii="仿宋" w:hAnsi="仿宋" w:eastAsia="仿宋" w:cs="Arial"/>
                <w:kern w:val="0"/>
                <w:szCs w:val="21"/>
              </w:rPr>
              <w:t>6.</w:t>
            </w:r>
            <w:r>
              <w:rPr>
                <w:rFonts w:ascii="仿宋" w:hAnsi="仿宋" w:eastAsia="仿宋" w:cs="Arial"/>
                <w:kern w:val="0"/>
                <w:szCs w:val="21"/>
              </w:rPr>
              <w:t>不存在挤占情况；</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7.</w:t>
            </w:r>
            <w:r>
              <w:rPr>
                <w:rFonts w:ascii="仿宋" w:hAnsi="仿宋" w:eastAsia="仿宋" w:cs="Arial"/>
                <w:kern w:val="0"/>
                <w:szCs w:val="21"/>
              </w:rPr>
              <w:t>不存在挪用情况；</w:t>
            </w:r>
            <w:r>
              <w:rPr>
                <w:rFonts w:hint="eastAsia" w:ascii="仿宋" w:hAnsi="仿宋" w:eastAsia="仿宋" w:cs="Arial"/>
                <w:kern w:val="0"/>
                <w:szCs w:val="21"/>
              </w:rPr>
              <w:t>8.</w:t>
            </w:r>
            <w:r>
              <w:rPr>
                <w:rFonts w:ascii="仿宋" w:hAnsi="仿宋" w:eastAsia="仿宋" w:cs="Arial"/>
                <w:kern w:val="0"/>
                <w:szCs w:val="21"/>
              </w:rPr>
              <w:t>不存在虚列支出情况。</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9分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符合其中七项（</w:t>
            </w:r>
            <w:r>
              <w:rPr>
                <w:rFonts w:hint="eastAsia" w:ascii="仿宋" w:hAnsi="仿宋" w:eastAsia="仿宋" w:cs="Arial"/>
                <w:kern w:val="0"/>
                <w:szCs w:val="21"/>
              </w:rPr>
              <w:t>8分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符合其中六项（</w:t>
            </w:r>
            <w:r>
              <w:rPr>
                <w:rFonts w:hint="eastAsia" w:ascii="仿宋" w:hAnsi="仿宋" w:eastAsia="仿宋" w:cs="Arial"/>
                <w:kern w:val="0"/>
                <w:szCs w:val="21"/>
              </w:rPr>
              <w:t>5分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符合其中五项（</w:t>
            </w:r>
            <w:r>
              <w:rPr>
                <w:rFonts w:hint="eastAsia" w:ascii="仿宋" w:hAnsi="仿宋" w:eastAsia="仿宋" w:cs="Arial"/>
                <w:kern w:val="0"/>
                <w:szCs w:val="21"/>
              </w:rPr>
              <w:t>3分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符合其中四项及以下（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预决算信息公开性（</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部门是否按照政府信息公开有关规定公开相关预决算信息，用以反映和评价部门预决算管理的公开透明情况。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预决算信息是指与部门预算、执行、决算、监督、绩效等管理相关的信息。</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公开预决算信息；</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按规定内容公开预决算信息；</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按规定时限公开预决算信息。</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3分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2分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color w:val="000000"/>
                <w:kern w:val="0"/>
                <w:szCs w:val="21"/>
              </w:rPr>
            </w:pPr>
            <w:r>
              <w:rPr>
                <w:rFonts w:ascii="仿宋" w:hAnsi="仿宋" w:eastAsia="仿宋" w:cs="Arial"/>
                <w:color w:val="000000"/>
                <w:kern w:val="0"/>
                <w:szCs w:val="21"/>
              </w:rPr>
              <w:t>基础信息完善性</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部门基础信息是否完善，用以反映和评价基础信息对预算管理工作的支撑情况。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基本财务管理制度健全；</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基础数据信息和会计信息资料真实；</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基础数据信息和会计信息资料完整；</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4.</w:t>
            </w:r>
            <w:r>
              <w:rPr>
                <w:rFonts w:ascii="仿宋" w:hAnsi="仿宋" w:eastAsia="仿宋" w:cs="Arial"/>
                <w:kern w:val="0"/>
                <w:szCs w:val="21"/>
              </w:rPr>
              <w:t>基础数据信息和会计信息资料准确。</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符合全部四项（</w:t>
            </w:r>
            <w:r>
              <w:rPr>
                <w:rFonts w:hint="eastAsia" w:ascii="仿宋" w:hAnsi="仿宋" w:eastAsia="仿宋" w:cs="Arial"/>
                <w:kern w:val="0"/>
                <w:szCs w:val="21"/>
              </w:rPr>
              <w:t>4分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符合其中三项（</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0"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restart"/>
            <w:tcBorders>
              <w:left w:val="single" w:color="000000" w:sz="4" w:space="0"/>
              <w:right w:val="single" w:color="000000" w:sz="4" w:space="0"/>
            </w:tcBorders>
            <w:vAlign w:val="center"/>
          </w:tcPr>
          <w:p>
            <w:pPr>
              <w:spacing w:line="68" w:lineRule="atLeast"/>
              <w:jc w:val="left"/>
              <w:rPr>
                <w:rFonts w:ascii="仿宋" w:hAnsi="仿宋" w:eastAsia="仿宋" w:cs="宋体"/>
                <w:kern w:val="0"/>
                <w:sz w:val="24"/>
                <w:szCs w:val="24"/>
              </w:rPr>
            </w:pPr>
            <w:r>
              <w:rPr>
                <w:rFonts w:ascii="仿宋" w:hAnsi="仿宋" w:eastAsia="仿宋" w:cs="Arial"/>
                <w:kern w:val="0"/>
                <w:sz w:val="24"/>
                <w:szCs w:val="24"/>
              </w:rPr>
              <w:t>资产管理（8</w:t>
            </w:r>
            <w:r>
              <w:rPr>
                <w:rFonts w:hint="eastAsia" w:ascii="仿宋" w:hAnsi="仿宋" w:eastAsia="仿宋" w:cs="Arial"/>
                <w:kern w:val="0"/>
                <w:sz w:val="24"/>
                <w:szCs w:val="24"/>
              </w:rPr>
              <w:t>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color w:val="000000"/>
                <w:kern w:val="0"/>
                <w:szCs w:val="21"/>
              </w:rPr>
            </w:pPr>
            <w:r>
              <w:rPr>
                <w:rFonts w:hint="eastAsia" w:ascii="仿宋" w:hAnsi="仿宋" w:eastAsia="仿宋" w:cs="Arial"/>
                <w:color w:val="000000"/>
                <w:kern w:val="0"/>
                <w:szCs w:val="21"/>
              </w:rPr>
              <w:t>管理制度健全性</w:t>
            </w:r>
          </w:p>
          <w:p>
            <w:pPr>
              <w:widowControl/>
              <w:spacing w:line="68" w:lineRule="atLeast"/>
              <w:jc w:val="left"/>
              <w:rPr>
                <w:rFonts w:ascii="仿宋" w:hAnsi="仿宋" w:eastAsia="仿宋" w:cs="Arial"/>
                <w:color w:val="000000"/>
                <w:kern w:val="0"/>
                <w:szCs w:val="21"/>
              </w:rPr>
            </w:pPr>
            <w:r>
              <w:rPr>
                <w:rFonts w:hint="eastAsia" w:ascii="仿宋" w:hAnsi="仿宋" w:eastAsia="仿宋" w:cs="Arial"/>
                <w:color w:val="000000"/>
                <w:kern w:val="0"/>
                <w:szCs w:val="21"/>
              </w:rPr>
              <w:t>（2分）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部门为加强资产管理、规范资产管理行为而制定的管理制度是否健全完整，用以反映和考核部门资产管理制度对完成主要职责或促进社会发展的保障情况。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1.是否已制定或具有资产管理制度；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2.相关资金管理制度是否合法、合规、完整；</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3.相关资产管理制度是否得到有效执行。</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pPr>
              <w:widowControl/>
              <w:spacing w:line="240" w:lineRule="exact"/>
              <w:jc w:val="left"/>
              <w:rPr>
                <w:rFonts w:ascii="仿宋" w:hAnsi="仿宋" w:eastAsia="仿宋" w:cs="Arial"/>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1"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ascii="仿宋" w:hAnsi="仿宋" w:eastAsia="仿宋" w:cs="Arial"/>
                <w:kern w:val="0"/>
                <w:szCs w:val="21"/>
              </w:rPr>
              <w:t>资产管理完</w:t>
            </w:r>
            <w:r>
              <w:rPr>
                <w:rFonts w:hint="eastAsia" w:ascii="仿宋" w:hAnsi="仿宋" w:eastAsia="仿宋" w:cs="Arial"/>
                <w:kern w:val="0"/>
                <w:szCs w:val="21"/>
              </w:rPr>
              <w:t>全</w:t>
            </w:r>
            <w:r>
              <w:rPr>
                <w:rFonts w:ascii="仿宋" w:hAnsi="仿宋" w:eastAsia="仿宋" w:cs="Arial"/>
                <w:kern w:val="0"/>
                <w:szCs w:val="21"/>
              </w:rPr>
              <w:t>性</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部门的资产是否保存完整、使用合规、收入及时足额上缴，用以反映和评价部门资产运行情况。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资产保存完整；</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资产账务管理是否合规，帐实相符；</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资产有偿使用及处置收入及时足额上缴。</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符合全部三项（</w:t>
            </w:r>
            <w:r>
              <w:rPr>
                <w:rFonts w:hint="eastAsia" w:ascii="仿宋" w:hAnsi="仿宋" w:eastAsia="仿宋" w:cs="Arial"/>
                <w:kern w:val="0"/>
                <w:szCs w:val="21"/>
              </w:rPr>
              <w:t>3分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符合其中一项（</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符合零项（</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ascii="仿宋" w:hAnsi="仿宋" w:eastAsia="仿宋" w:cs="Arial"/>
                <w:kern w:val="0"/>
                <w:szCs w:val="21"/>
              </w:rPr>
              <w:t>固定资产利用率</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部门实际在用固定资产总额与所有固定资产总额的比率，用以反映和评价部门固定资产使用效率。</w:t>
            </w:r>
          </w:p>
          <w:p>
            <w:pPr>
              <w:widowControl/>
              <w:spacing w:line="68" w:lineRule="atLeast"/>
              <w:jc w:val="left"/>
              <w:rPr>
                <w:rFonts w:ascii="仿宋" w:hAnsi="仿宋" w:eastAsia="仿宋" w:cs="宋体"/>
                <w:kern w:val="0"/>
                <w:szCs w:val="21"/>
              </w:rPr>
            </w:pPr>
            <w:r>
              <w:rPr>
                <w:rFonts w:ascii="仿宋" w:hAnsi="仿宋" w:eastAsia="仿宋" w:cs="Arial"/>
                <w:kern w:val="0"/>
                <w:szCs w:val="21"/>
              </w:rPr>
              <w:t>固定资产利用率</w:t>
            </w:r>
            <w:r>
              <w:rPr>
                <w:rFonts w:hint="eastAsia" w:ascii="仿宋" w:hAnsi="仿宋" w:eastAsia="仿宋" w:cs="Arial"/>
                <w:kern w:val="0"/>
                <w:szCs w:val="21"/>
              </w:rPr>
              <w:t>=</w:t>
            </w:r>
            <w:r>
              <w:rPr>
                <w:rFonts w:ascii="仿宋" w:hAnsi="仿宋" w:eastAsia="仿宋" w:cs="Arial"/>
                <w:kern w:val="0"/>
                <w:szCs w:val="21"/>
              </w:rPr>
              <w:t>（实际在用固定资产总额</w:t>
            </w:r>
            <w:r>
              <w:rPr>
                <w:rFonts w:hint="eastAsia" w:ascii="仿宋" w:hAnsi="仿宋" w:eastAsia="仿宋" w:cs="Arial"/>
                <w:kern w:val="0"/>
                <w:szCs w:val="21"/>
              </w:rPr>
              <w:t>/</w:t>
            </w:r>
            <w:r>
              <w:rPr>
                <w:rFonts w:ascii="仿宋" w:hAnsi="仿宋" w:eastAsia="仿宋" w:cs="Arial"/>
                <w:kern w:val="0"/>
                <w:szCs w:val="21"/>
              </w:rPr>
              <w:t>所有固定资产总额）×</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目标值为80%；以3分为上限，采用完成比率法计分：得分=固定资产利用率/80%×100%×3，超出目标值不加分。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预算绩效监控管理（2分）</w:t>
            </w: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监控率</w:t>
            </w:r>
            <w:r>
              <w:rPr>
                <w:rFonts w:hint="eastAsia" w:ascii="仿宋" w:hAnsi="仿宋" w:eastAsia="仿宋" w:cs="宋体"/>
                <w:kern w:val="0"/>
                <w:szCs w:val="21"/>
              </w:rPr>
              <w:t>（2分）</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部门（单位）纳入绩效监控的项目数量占实际申报绩效目标项目数量的比重，用以反映和考核部门（单位）在项目运行中实施绩效管理的水平和程度。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监控率=实施绩效监控项目数/实际申报绩效目标项目数×100%</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目标值为90%；以2分为上限，采用完成比率法计分：得分=监控率×2，超出目标值不加分。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产出</w:t>
            </w:r>
            <w:r>
              <w:rPr>
                <w:rFonts w:hint="eastAsia" w:ascii="仿宋" w:hAnsi="仿宋" w:eastAsia="仿宋" w:cs="Arial"/>
                <w:kern w:val="0"/>
                <w:sz w:val="24"/>
                <w:szCs w:val="24"/>
              </w:rPr>
              <w:t>(15分)</w:t>
            </w: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职责履行（</w:t>
            </w:r>
            <w:r>
              <w:rPr>
                <w:rFonts w:hint="eastAsia" w:ascii="仿宋" w:hAnsi="仿宋" w:eastAsia="仿宋" w:cs="Arial"/>
                <w:kern w:val="0"/>
                <w:sz w:val="24"/>
                <w:szCs w:val="24"/>
              </w:rPr>
              <w:t>15分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项目实际完成率（</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部门履行职责而实际完成的项目数与计划完成的项目数的比率，用以反映和评价部门履职任务目标的实现程度。</w:t>
            </w:r>
          </w:p>
          <w:p>
            <w:pPr>
              <w:widowControl/>
              <w:spacing w:line="68" w:lineRule="atLeast"/>
              <w:jc w:val="left"/>
              <w:rPr>
                <w:rFonts w:ascii="仿宋" w:hAnsi="仿宋" w:eastAsia="仿宋" w:cs="宋体"/>
                <w:kern w:val="0"/>
                <w:szCs w:val="21"/>
              </w:rPr>
            </w:pPr>
            <w:r>
              <w:rPr>
                <w:rFonts w:ascii="仿宋" w:hAnsi="仿宋" w:eastAsia="仿宋" w:cs="Arial"/>
                <w:kern w:val="0"/>
                <w:szCs w:val="21"/>
              </w:rPr>
              <w:t>项目实际完成率</w:t>
            </w:r>
            <w:r>
              <w:rPr>
                <w:rFonts w:hint="eastAsia" w:ascii="仿宋" w:hAnsi="仿宋" w:eastAsia="仿宋" w:cs="Arial"/>
                <w:kern w:val="0"/>
                <w:szCs w:val="21"/>
              </w:rPr>
              <w:t>=</w:t>
            </w:r>
            <w:r>
              <w:rPr>
                <w:rFonts w:ascii="仿宋" w:hAnsi="仿宋" w:eastAsia="仿宋" w:cs="Arial"/>
                <w:kern w:val="0"/>
                <w:szCs w:val="21"/>
              </w:rPr>
              <w:t>（实际完成项目数</w:t>
            </w:r>
            <w:r>
              <w:rPr>
                <w:rFonts w:hint="eastAsia" w:ascii="仿宋" w:hAnsi="仿宋" w:eastAsia="仿宋" w:cs="Arial"/>
                <w:kern w:val="0"/>
                <w:szCs w:val="21"/>
              </w:rPr>
              <w:t>/</w:t>
            </w:r>
            <w:r>
              <w:rPr>
                <w:rFonts w:ascii="仿宋" w:hAnsi="仿宋" w:eastAsia="仿宋" w:cs="Arial"/>
                <w:kern w:val="0"/>
                <w:szCs w:val="21"/>
              </w:rPr>
              <w:t>计划完成项目数）×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目标值为100%；</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达到目标值得4分；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100%＞结果≥95%，得3分；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95%＞结果≥90%，得2分；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90%＞结果≥85%，得1分；</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结果＜</w:t>
            </w:r>
            <w:r>
              <w:rPr>
                <w:rFonts w:hint="eastAsia" w:ascii="仿宋" w:hAnsi="仿宋" w:eastAsia="仿宋" w:cs="宋体"/>
                <w:kern w:val="0"/>
                <w:szCs w:val="21"/>
              </w:rPr>
              <w:t>85%得0分。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仿宋" w:hAnsi="仿宋" w:eastAsia="宋体" w:cs="宋体"/>
                <w:kern w:val="0"/>
                <w:sz w:val="24"/>
                <w:szCs w:val="24"/>
                <w:lang w:val="en-US" w:eastAsia="zh-CN"/>
              </w:rPr>
            </w:pPr>
            <w:r>
              <w:rPr>
                <w:rFonts w:hint="eastAsia" w:ascii="宋体" w:hAnsi="宋体" w:eastAsia="宋体" w:cs="宋体"/>
                <w:kern w:val="0"/>
                <w:sz w:val="20"/>
                <w:szCs w:val="24"/>
              </w:rPr>
              <w:t> </w:t>
            </w:r>
            <w:r>
              <w:rPr>
                <w:rFonts w:hint="eastAsia" w:ascii="宋体" w:hAnsi="宋体" w:eastAsia="宋体" w:cs="宋体"/>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项目质量达标率（</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部门已完成项目中质量达标项目个数占已完成项目个数的比率</w:t>
            </w:r>
            <w:r>
              <w:rPr>
                <w:rFonts w:hint="eastAsia" w:ascii="仿宋" w:hAnsi="仿宋" w:eastAsia="仿宋" w:cs="Arial"/>
                <w:kern w:val="0"/>
                <w:szCs w:val="21"/>
              </w:rPr>
              <w:t>,</w:t>
            </w:r>
            <w:r>
              <w:rPr>
                <w:rFonts w:ascii="仿宋" w:hAnsi="仿宋" w:eastAsia="仿宋" w:cs="Arial"/>
                <w:kern w:val="0"/>
                <w:szCs w:val="21"/>
              </w:rPr>
              <w:t>用以反映和评价部门履职质量目标的实现程度。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项目质量达标率</w:t>
            </w:r>
            <w:r>
              <w:rPr>
                <w:rFonts w:hint="eastAsia" w:ascii="仿宋" w:hAnsi="仿宋" w:eastAsia="仿宋" w:cs="Arial"/>
                <w:kern w:val="0"/>
                <w:szCs w:val="21"/>
              </w:rPr>
              <w:t>=</w:t>
            </w:r>
            <w:r>
              <w:rPr>
                <w:rFonts w:ascii="仿宋" w:hAnsi="仿宋" w:eastAsia="仿宋" w:cs="Arial"/>
                <w:kern w:val="0"/>
                <w:szCs w:val="21"/>
              </w:rPr>
              <w:t>（已完成项目中质量达标项目个数</w:t>
            </w:r>
            <w:r>
              <w:rPr>
                <w:rFonts w:hint="eastAsia" w:ascii="仿宋" w:hAnsi="仿宋" w:eastAsia="仿宋" w:cs="Arial"/>
                <w:kern w:val="0"/>
                <w:szCs w:val="21"/>
              </w:rPr>
              <w:t>/</w:t>
            </w:r>
            <w:r>
              <w:rPr>
                <w:rFonts w:ascii="仿宋" w:hAnsi="仿宋" w:eastAsia="仿宋" w:cs="Arial"/>
                <w:kern w:val="0"/>
                <w:szCs w:val="21"/>
              </w:rPr>
              <w:t>已完成项目个数）×</w:t>
            </w:r>
            <w:r>
              <w:rPr>
                <w:rFonts w:hint="eastAsia" w:ascii="仿宋" w:hAnsi="仿宋" w:eastAsia="仿宋" w:cs="Arial"/>
                <w:kern w:val="0"/>
                <w:szCs w:val="21"/>
              </w:rPr>
              <w:t>100%</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项目质量达标是指项目决算验收合格。</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目标值100%；以4分为上限，采用完成比率法计分：得分=项目质量达标率×4，</w:t>
            </w:r>
            <w:r>
              <w:rPr>
                <w:rFonts w:hint="eastAsia" w:ascii="仿宋" w:hAnsi="仿宋" w:eastAsia="仿宋" w:cs="Arial"/>
                <w:kern w:val="0"/>
                <w:szCs w:val="21"/>
              </w:rPr>
              <w:t>≤</w:t>
            </w:r>
            <w:r>
              <w:rPr>
                <w:rFonts w:hint="eastAsia" w:ascii="仿宋" w:hAnsi="仿宋" w:eastAsia="仿宋" w:cs="宋体"/>
                <w:kern w:val="0"/>
                <w:szCs w:val="21"/>
              </w:rPr>
              <w:t>95%的扣4分。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仿宋" w:hAnsi="仿宋" w:eastAsia="宋体" w:cs="宋体"/>
                <w:kern w:val="0"/>
                <w:sz w:val="24"/>
                <w:szCs w:val="24"/>
                <w:lang w:val="en-US" w:eastAsia="zh-CN"/>
              </w:rPr>
            </w:pPr>
            <w:r>
              <w:rPr>
                <w:rFonts w:hint="eastAsia" w:ascii="宋体" w:hAnsi="宋体" w:eastAsia="宋体" w:cs="宋体"/>
                <w:kern w:val="0"/>
                <w:sz w:val="20"/>
                <w:szCs w:val="24"/>
              </w:rPr>
              <w:t> </w:t>
            </w:r>
            <w:r>
              <w:rPr>
                <w:rFonts w:hint="eastAsia" w:ascii="宋体" w:hAnsi="宋体" w:eastAsia="宋体" w:cs="宋体"/>
                <w:kern w:val="0"/>
                <w:sz w:val="20"/>
                <w:szCs w:val="24"/>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重点工作办结率</w:t>
            </w:r>
            <w:r>
              <w:rPr>
                <w:rFonts w:ascii="仿宋" w:hAnsi="仿宋" w:eastAsia="仿宋" w:cs="Arial"/>
                <w:kern w:val="0"/>
                <w:szCs w:val="21"/>
              </w:rPr>
              <w:t>（</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部门年度重点工作实际完成数与交办或下达数的比率，用以反映部门对重点工作的办理落实程度。</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重点工作办结率=（重点工作实际完成数/交办或下达数）×100%。</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重点工作是指党委、政府、人大、相关部门交办或下达的工作任务。</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目标值100%；以4分为上限，采用完成比率法计分：得分=重点工作办结率×4，</w:t>
            </w:r>
            <w:r>
              <w:rPr>
                <w:rFonts w:hint="eastAsia" w:ascii="仿宋" w:hAnsi="仿宋" w:eastAsia="仿宋" w:cs="Arial"/>
                <w:kern w:val="0"/>
                <w:szCs w:val="21"/>
              </w:rPr>
              <w:t>≤</w:t>
            </w:r>
            <w:r>
              <w:rPr>
                <w:rFonts w:hint="eastAsia" w:ascii="仿宋" w:hAnsi="仿宋" w:eastAsia="仿宋" w:cs="宋体"/>
                <w:kern w:val="0"/>
                <w:szCs w:val="21"/>
              </w:rPr>
              <w:t>90%的扣4分。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仿宋" w:hAnsi="仿宋" w:eastAsia="宋体" w:cs="宋体"/>
                <w:kern w:val="0"/>
                <w:sz w:val="24"/>
                <w:szCs w:val="24"/>
                <w:lang w:val="en-US" w:eastAsia="zh-CN"/>
              </w:rPr>
            </w:pPr>
            <w:r>
              <w:rPr>
                <w:rFonts w:hint="eastAsia" w:ascii="宋体" w:hAnsi="宋体" w:eastAsia="宋体" w:cs="宋体"/>
                <w:kern w:val="0"/>
                <w:sz w:val="20"/>
                <w:szCs w:val="24"/>
              </w:rPr>
              <w:t> </w:t>
            </w:r>
            <w:r>
              <w:rPr>
                <w:rFonts w:hint="eastAsia" w:ascii="宋体" w:hAnsi="宋体" w:eastAsia="宋体" w:cs="宋体"/>
                <w:kern w:val="0"/>
                <w:sz w:val="20"/>
                <w:szCs w:val="24"/>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4" w:hRule="atLeast"/>
          <w:jc w:val="center"/>
        </w:trPr>
        <w:tc>
          <w:tcPr>
            <w:tcW w:w="76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部门绩效自评项目占比率（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部门自评项目在所有项目中所占的份额，反映和评价部门对项目自评的重视程度。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占比率</w:t>
            </w:r>
            <w:r>
              <w:rPr>
                <w:rFonts w:hint="eastAsia" w:ascii="仿宋" w:hAnsi="仿宋" w:eastAsia="仿宋" w:cs="Arial"/>
                <w:kern w:val="0"/>
                <w:szCs w:val="21"/>
              </w:rPr>
              <w:t>=(</w:t>
            </w:r>
            <w:r>
              <w:rPr>
                <w:rFonts w:ascii="仿宋" w:hAnsi="仿宋" w:eastAsia="仿宋" w:cs="Arial"/>
                <w:kern w:val="0"/>
                <w:szCs w:val="21"/>
              </w:rPr>
              <w:t>自评项目</w:t>
            </w:r>
            <w:r>
              <w:rPr>
                <w:rFonts w:hint="eastAsia" w:ascii="仿宋" w:hAnsi="仿宋" w:eastAsia="仿宋" w:cs="Arial"/>
                <w:kern w:val="0"/>
                <w:szCs w:val="21"/>
              </w:rPr>
              <w:t>资金量/</w:t>
            </w:r>
            <w:r>
              <w:rPr>
                <w:rFonts w:ascii="仿宋" w:hAnsi="仿宋" w:eastAsia="仿宋" w:cs="Arial"/>
                <w:kern w:val="0"/>
                <w:szCs w:val="21"/>
              </w:rPr>
              <w:t>项目</w:t>
            </w:r>
            <w:r>
              <w:rPr>
                <w:rFonts w:hint="eastAsia" w:ascii="仿宋" w:hAnsi="仿宋" w:eastAsia="仿宋" w:cs="Arial"/>
                <w:kern w:val="0"/>
                <w:szCs w:val="21"/>
              </w:rPr>
              <w:t>支出资金量)×100%</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部门支出项目绩效自评范围：本年度列入本级财政预算安排的项目。</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达到目标值得3分，未达到目标值</w:t>
            </w:r>
            <w:r>
              <w:rPr>
                <w:rFonts w:hint="eastAsia" w:ascii="仿宋" w:hAnsi="仿宋" w:eastAsia="仿宋" w:cs="宋体"/>
                <w:kern w:val="0"/>
                <w:szCs w:val="21"/>
              </w:rPr>
              <w:t>采用完成比率法计分：</w:t>
            </w:r>
            <w:r>
              <w:rPr>
                <w:rFonts w:ascii="仿宋" w:hAnsi="仿宋" w:eastAsia="仿宋" w:cs="Arial"/>
                <w:kern w:val="0"/>
                <w:szCs w:val="21"/>
              </w:rPr>
              <w:t>得分</w:t>
            </w:r>
            <w:r>
              <w:rPr>
                <w:rFonts w:hint="eastAsia" w:ascii="仿宋" w:hAnsi="仿宋" w:eastAsia="仿宋" w:cs="Arial"/>
                <w:kern w:val="0"/>
                <w:szCs w:val="21"/>
              </w:rPr>
              <w:t>=</w:t>
            </w:r>
            <w:r>
              <w:rPr>
                <w:rFonts w:ascii="仿宋" w:hAnsi="仿宋" w:eastAsia="仿宋" w:cs="Arial"/>
                <w:kern w:val="0"/>
                <w:szCs w:val="21"/>
              </w:rPr>
              <w:t>占比率</w:t>
            </w:r>
            <w:r>
              <w:rPr>
                <w:rFonts w:hint="eastAsia" w:ascii="仿宋" w:hAnsi="仿宋" w:eastAsia="仿宋" w:cs="Arial"/>
                <w:kern w:val="0"/>
                <w:szCs w:val="21"/>
              </w:rPr>
              <w:t>/目标值</w:t>
            </w:r>
            <w:r>
              <w:rPr>
                <w:rFonts w:ascii="仿宋" w:hAnsi="仿宋" w:eastAsia="仿宋" w:cs="Arial"/>
                <w:kern w:val="0"/>
                <w:szCs w:val="21"/>
              </w:rPr>
              <w:t>×</w:t>
            </w:r>
            <w:r>
              <w:rPr>
                <w:rFonts w:hint="eastAsia" w:ascii="仿宋" w:hAnsi="仿宋" w:eastAsia="仿宋" w:cs="Arial"/>
                <w:kern w:val="0"/>
                <w:szCs w:val="21"/>
              </w:rPr>
              <w:t>3，超过目标值不加分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hint="eastAsia" w:ascii="宋体" w:hAnsi="宋体" w:eastAsia="宋体" w:cs="宋体"/>
                <w:kern w:val="0"/>
                <w:sz w:val="20"/>
                <w:szCs w:val="24"/>
                <w:lang w:val="en-US" w:eastAsia="zh-CN"/>
              </w:rPr>
            </w:pPr>
            <w:r>
              <w:rPr>
                <w:rFonts w:hint="eastAsia" w:ascii="宋体" w:hAnsi="宋体" w:eastAsia="宋体" w:cs="宋体"/>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3" w:hRule="atLeast"/>
          <w:jc w:val="center"/>
        </w:trPr>
        <w:tc>
          <w:tcPr>
            <w:tcW w:w="76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效果（</w:t>
            </w:r>
            <w:r>
              <w:rPr>
                <w:rFonts w:hint="eastAsia" w:ascii="仿宋" w:hAnsi="仿宋" w:eastAsia="仿宋" w:cs="Arial"/>
                <w:kern w:val="0"/>
                <w:sz w:val="24"/>
                <w:szCs w:val="24"/>
              </w:rPr>
              <w:t>15</w:t>
            </w:r>
            <w:r>
              <w:rPr>
                <w:rFonts w:ascii="仿宋" w:hAnsi="仿宋" w:eastAsia="仿宋" w:cs="Arial"/>
                <w:kern w:val="0"/>
                <w:sz w:val="24"/>
                <w:szCs w:val="24"/>
              </w:rPr>
              <w:t>）</w:t>
            </w: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监督发现问题</w:t>
            </w:r>
          </w:p>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（2分）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违规率（2分）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部门存在违规问题的资金数量占部门预算支出资金总额的比重，用以反映和考核部门预算资金管理使用的合法、合规情况。</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违规率=存在违规问题的资金额/部门预算支出资金总额×100%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宋体"/>
                <w:kern w:val="0"/>
                <w:szCs w:val="21"/>
              </w:rPr>
              <w:t>目标值0，</w:t>
            </w:r>
            <w:r>
              <w:rPr>
                <w:rFonts w:hint="eastAsia" w:ascii="仿宋" w:hAnsi="仿宋" w:eastAsia="仿宋" w:cs="Arial"/>
                <w:kern w:val="0"/>
                <w:szCs w:val="21"/>
              </w:rPr>
              <w:t>达到目标值得2分，未达到目标值的每增加0.1个百分点扣0.1分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仿宋" w:hAnsi="仿宋" w:eastAsia="宋体" w:cs="宋体"/>
                <w:kern w:val="0"/>
                <w:sz w:val="24"/>
                <w:szCs w:val="24"/>
                <w:lang w:val="en-US" w:eastAsia="zh-CN"/>
              </w:rPr>
            </w:pPr>
            <w:r>
              <w:rPr>
                <w:rFonts w:hint="eastAsia" w:ascii="宋体" w:hAnsi="宋体" w:eastAsia="宋体" w:cs="宋体"/>
                <w:kern w:val="0"/>
                <w:sz w:val="20"/>
                <w:szCs w:val="24"/>
              </w:rPr>
              <w:t> </w:t>
            </w:r>
            <w:r>
              <w:rPr>
                <w:rFonts w:hint="eastAsia" w:ascii="宋体" w:hAnsi="宋体" w:eastAsia="宋体" w:cs="宋体"/>
                <w:kern w:val="0"/>
                <w:sz w:val="20"/>
                <w:szCs w:val="24"/>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5" w:hRule="atLeast"/>
          <w:jc w:val="center"/>
        </w:trPr>
        <w:tc>
          <w:tcPr>
            <w:tcW w:w="769" w:type="dxa"/>
            <w:vMerge w:val="continue"/>
            <w:tcBorders>
              <w:left w:val="single" w:color="000000" w:sz="4" w:space="0"/>
              <w:right w:val="single" w:color="000000" w:sz="4" w:space="0"/>
            </w:tcBorders>
            <w:vAlign w:val="center"/>
          </w:tcPr>
          <w:p>
            <w:pPr>
              <w:widowControl/>
              <w:spacing w:line="68" w:lineRule="atLeast"/>
              <w:jc w:val="left"/>
              <w:rPr>
                <w:rFonts w:ascii="仿宋" w:hAnsi="仿宋" w:eastAsia="仿宋" w:cs="Arial"/>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工作成效（</w:t>
            </w:r>
            <w:r>
              <w:rPr>
                <w:rFonts w:hint="eastAsia" w:ascii="仿宋" w:hAnsi="仿宋" w:eastAsia="仿宋" w:cs="Arial"/>
                <w:kern w:val="0"/>
                <w:sz w:val="24"/>
                <w:szCs w:val="24"/>
              </w:rPr>
              <w:t>5</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宋体"/>
                <w:bCs/>
                <w:color w:val="000000"/>
                <w:kern w:val="0"/>
                <w:szCs w:val="21"/>
              </w:rPr>
              <w:t>部门预算绩效管理</w:t>
            </w:r>
            <w:r>
              <w:rPr>
                <w:rFonts w:hint="eastAsia" w:ascii="仿宋" w:hAnsi="仿宋" w:eastAsia="仿宋" w:cs="宋体"/>
                <w:bCs/>
                <w:color w:val="000000"/>
                <w:kern w:val="0"/>
                <w:szCs w:val="21"/>
              </w:rPr>
              <w:t>考核评价</w:t>
            </w:r>
            <w:r>
              <w:rPr>
                <w:rFonts w:ascii="仿宋" w:hAnsi="仿宋" w:eastAsia="仿宋" w:cs="Arial"/>
                <w:bCs/>
                <w:kern w:val="0"/>
                <w:szCs w:val="21"/>
              </w:rPr>
              <w:t>（</w:t>
            </w:r>
            <w:r>
              <w:rPr>
                <w:rFonts w:hint="eastAsia" w:ascii="仿宋" w:hAnsi="仿宋" w:eastAsia="仿宋" w:cs="Arial"/>
                <w:bCs/>
                <w:kern w:val="0"/>
                <w:szCs w:val="21"/>
              </w:rPr>
              <w:t>5</w:t>
            </w:r>
            <w:r>
              <w:rPr>
                <w:rFonts w:ascii="仿宋" w:hAnsi="仿宋" w:eastAsia="仿宋" w:cs="Arial"/>
                <w:bCs/>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宋体"/>
                <w:color w:val="000000"/>
                <w:kern w:val="0"/>
                <w:szCs w:val="21"/>
              </w:rPr>
              <w:t>财政部门对部门开展预算绩效管理工作的评价结果，用以反映部门对预算绩效管理工作的重视程度和取得的成效。</w:t>
            </w:r>
          </w:p>
          <w:p>
            <w:pPr>
              <w:widowControl/>
              <w:spacing w:line="240" w:lineRule="exact"/>
              <w:jc w:val="left"/>
              <w:rPr>
                <w:rFonts w:ascii="仿宋" w:hAnsi="仿宋" w:eastAsia="仿宋" w:cs="宋体"/>
                <w:kern w:val="0"/>
                <w:szCs w:val="21"/>
              </w:rPr>
            </w:pPr>
            <w:r>
              <w:rPr>
                <w:rFonts w:hint="eastAsia" w:ascii="仿宋" w:hAnsi="仿宋" w:eastAsia="仿宋" w:cs="宋体"/>
                <w:color w:val="000000"/>
                <w:kern w:val="0"/>
                <w:szCs w:val="21"/>
              </w:rPr>
              <w:t>1.</w:t>
            </w:r>
            <w:r>
              <w:rPr>
                <w:rFonts w:ascii="仿宋" w:hAnsi="仿宋" w:eastAsia="仿宋" w:cs="宋体"/>
                <w:color w:val="000000"/>
                <w:kern w:val="0"/>
                <w:szCs w:val="21"/>
              </w:rPr>
              <w:t>财政部门对部门绩效管理工作开展情况进行核查评价，包括绩效目标管理、绩效执行监控、绩效自评和评价结果应用等情况，按百分制。</w:t>
            </w:r>
          </w:p>
          <w:p>
            <w:pPr>
              <w:widowControl/>
              <w:spacing w:line="68" w:lineRule="atLeast"/>
              <w:jc w:val="left"/>
              <w:rPr>
                <w:rFonts w:ascii="仿宋" w:hAnsi="仿宋" w:eastAsia="仿宋" w:cs="宋体"/>
                <w:kern w:val="0"/>
                <w:szCs w:val="21"/>
              </w:rPr>
            </w:pPr>
            <w:r>
              <w:rPr>
                <w:rFonts w:hint="eastAsia" w:ascii="仿宋" w:hAnsi="仿宋" w:eastAsia="仿宋" w:cs="宋体"/>
                <w:color w:val="000000"/>
                <w:kern w:val="0"/>
                <w:szCs w:val="21"/>
              </w:rPr>
              <w:t>2.</w:t>
            </w:r>
            <w:r>
              <w:rPr>
                <w:rFonts w:ascii="仿宋" w:hAnsi="仿宋" w:eastAsia="仿宋" w:cs="宋体"/>
                <w:color w:val="000000"/>
                <w:kern w:val="0"/>
                <w:szCs w:val="21"/>
              </w:rPr>
              <w:t>以部门为单位进行综合计算，得出各部门绩效管理工作评价结果。</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宋体"/>
                <w:color w:val="000000"/>
                <w:kern w:val="0"/>
                <w:szCs w:val="21"/>
              </w:rPr>
              <w:t>综合得分</w:t>
            </w:r>
            <w:r>
              <w:rPr>
                <w:rFonts w:hint="eastAsia" w:ascii="仿宋" w:hAnsi="仿宋" w:eastAsia="仿宋" w:cs="宋体"/>
                <w:color w:val="000000"/>
                <w:kern w:val="0"/>
                <w:szCs w:val="21"/>
              </w:rPr>
              <w:t>=</w:t>
            </w:r>
            <w:r>
              <w:rPr>
                <w:rFonts w:ascii="仿宋" w:hAnsi="仿宋" w:eastAsia="仿宋" w:cs="宋体"/>
                <w:color w:val="000000"/>
                <w:kern w:val="0"/>
                <w:szCs w:val="21"/>
              </w:rPr>
              <w:t>（部门绩效管理工作评价结果</w:t>
            </w:r>
            <w:r>
              <w:rPr>
                <w:rFonts w:hint="eastAsia" w:ascii="仿宋" w:hAnsi="仿宋" w:eastAsia="仿宋" w:cs="宋体"/>
                <w:color w:val="000000"/>
                <w:kern w:val="0"/>
                <w:szCs w:val="21"/>
              </w:rPr>
              <w:t>/100</w:t>
            </w:r>
            <w:r>
              <w:rPr>
                <w:rFonts w:ascii="仿宋" w:hAnsi="仿宋" w:eastAsia="仿宋" w:cs="宋体"/>
                <w:color w:val="000000"/>
                <w:kern w:val="0"/>
                <w:szCs w:val="21"/>
              </w:rPr>
              <w:t>）</w:t>
            </w:r>
            <w:r>
              <w:rPr>
                <w:rFonts w:hint="eastAsia" w:ascii="仿宋" w:hAnsi="仿宋" w:eastAsia="仿宋" w:cs="宋体"/>
                <w:color w:val="000000"/>
                <w:kern w:val="0"/>
                <w:szCs w:val="21"/>
              </w:rPr>
              <w:t>*5</w:t>
            </w:r>
            <w:r>
              <w:rPr>
                <w:rFonts w:ascii="仿宋" w:hAnsi="仿宋" w:eastAsia="仿宋" w:cs="宋体"/>
                <w:color w:val="000000"/>
                <w:kern w:val="0"/>
                <w:szCs w:val="21"/>
              </w:rPr>
              <w:t>分</w:t>
            </w:r>
          </w:p>
          <w:p>
            <w:pPr>
              <w:widowControl/>
              <w:spacing w:line="68" w:lineRule="atLeast"/>
              <w:jc w:val="left"/>
              <w:rPr>
                <w:rFonts w:ascii="仿宋" w:hAnsi="仿宋" w:eastAsia="仿宋" w:cs="宋体"/>
                <w:kern w:val="0"/>
                <w:szCs w:val="21"/>
              </w:rPr>
            </w:pPr>
            <w:r>
              <w:rPr>
                <w:rFonts w:hint="eastAsia" w:ascii="宋体" w:hAnsi="宋体" w:eastAsia="仿宋" w:cs="宋体"/>
                <w:kern w:val="0"/>
                <w:szCs w:val="21"/>
              </w:rPr>
              <w:t> </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宋体" w:hAnsi="宋体" w:eastAsia="宋体" w:cs="宋体"/>
                <w:kern w:val="0"/>
                <w:sz w:val="20"/>
                <w:szCs w:val="24"/>
                <w:lang w:val="en-US" w:eastAsia="zh-CN"/>
              </w:rPr>
            </w:pPr>
            <w:r>
              <w:rPr>
                <w:rFonts w:hint="eastAsia" w:ascii="宋体" w:hAnsi="宋体" w:eastAsia="宋体" w:cs="宋体"/>
                <w:kern w:val="0"/>
                <w:sz w:val="20"/>
                <w:szCs w:val="24"/>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评价结果应用</w:t>
            </w:r>
          </w:p>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（2分）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应用率（2分）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部门应用绩效评价结果的项目数占绩效评价项目数的比重，用以反映和考核部门绩效评价结果的利用水平和程度。</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应用率=应用绩效评价结果的项目数量/部门实施绩效评价项目数量×100%。</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绩效评价结果包括向财政部门报告绩效评价结果、向被评价单位反馈绩效评价结果、内部公开绩效评价结果和落实整改措施等方面，其中，落实整改措施包括调整预算结构、改革预算管理、整改发现问题、健全制度措施和实施绩效问责。</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目标值为100%；以2分为上限，采用完成比率法计分：得分=应用率×2，超出目标值不加分。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宋体" w:hAnsi="宋体" w:eastAsia="宋体" w:cs="宋体"/>
                <w:kern w:val="0"/>
                <w:sz w:val="20"/>
                <w:szCs w:val="24"/>
                <w:lang w:val="en-US" w:eastAsia="zh-CN"/>
              </w:rPr>
            </w:pPr>
            <w:r>
              <w:rPr>
                <w:rFonts w:hint="eastAsia" w:ascii="宋体" w:hAnsi="宋体" w:eastAsia="宋体" w:cs="宋体"/>
                <w:kern w:val="0"/>
                <w:sz w:val="20"/>
                <w:szCs w:val="24"/>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结果应用创新（1分）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结果应用创新（1分）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部门将绩效结果主动对外公开、预算绩效管理工作开展情况向同级政府、人大等部门报告，用以反映和考核部门在结果应用方面的创新情况。</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评价要点：</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1.部门是否按要求对社会公开绩效评价结果。</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2.部门是否将预算绩效管理工作开展情况向同级政府、人大等部门报告。</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0.5分</w:t>
            </w:r>
            <w:r>
              <w:rPr>
                <w:rFonts w:ascii="仿宋" w:hAnsi="仿宋" w:eastAsia="仿宋" w:cs="Arial"/>
                <w:kern w:val="0"/>
                <w:szCs w:val="21"/>
              </w:rPr>
              <w:t>）</w:t>
            </w:r>
          </w:p>
          <w:p>
            <w:pPr>
              <w:widowControl/>
              <w:spacing w:line="240" w:lineRule="exact"/>
              <w:jc w:val="left"/>
              <w:rPr>
                <w:rFonts w:ascii="仿宋" w:hAnsi="仿宋" w:eastAsia="仿宋" w:cs="Arial"/>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宋体" w:hAnsi="宋体" w:eastAsia="宋体" w:cs="宋体"/>
                <w:kern w:val="0"/>
                <w:sz w:val="20"/>
                <w:szCs w:val="24"/>
                <w:lang w:val="en-US" w:eastAsia="zh-CN"/>
              </w:rPr>
            </w:pPr>
            <w:r>
              <w:rPr>
                <w:rFonts w:hint="eastAsia" w:ascii="宋体" w:hAnsi="宋体" w:eastAsia="宋体" w:cs="宋体"/>
                <w:kern w:val="0"/>
                <w:sz w:val="20"/>
                <w:szCs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社会效益（</w:t>
            </w:r>
            <w:r>
              <w:rPr>
                <w:rFonts w:hint="eastAsia" w:ascii="仿宋" w:hAnsi="仿宋" w:eastAsia="仿宋" w:cs="Arial"/>
                <w:kern w:val="0"/>
                <w:sz w:val="24"/>
                <w:szCs w:val="24"/>
              </w:rPr>
              <w:t>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社会公众满意度（</w:t>
            </w:r>
            <w:r>
              <w:rPr>
                <w:rFonts w:hint="eastAsia" w:ascii="仿宋" w:hAnsi="仿宋" w:eastAsia="仿宋" w:cs="Arial"/>
                <w:kern w:val="0"/>
                <w:szCs w:val="21"/>
              </w:rPr>
              <w:t>5分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通过问卷调查了解社会公众对部门履职效果、解决民众关心的热点问题、厉行节约等方面的满意程度，反映和评价部门支出所带来的社会效益。</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按照满意度调查的优秀、良好、合格、不合格给予该项指标打分：</w:t>
            </w:r>
          </w:p>
          <w:p>
            <w:pPr>
              <w:widowControl/>
              <w:spacing w:line="68" w:lineRule="atLeast"/>
              <w:jc w:val="left"/>
              <w:rPr>
                <w:rFonts w:ascii="仿宋" w:hAnsi="仿宋" w:eastAsia="仿宋" w:cs="宋体"/>
                <w:kern w:val="0"/>
                <w:szCs w:val="21"/>
              </w:rPr>
            </w:pPr>
            <w:r>
              <w:rPr>
                <w:rFonts w:ascii="仿宋" w:hAnsi="仿宋" w:eastAsia="仿宋" w:cs="Arial"/>
                <w:kern w:val="0"/>
                <w:szCs w:val="21"/>
              </w:rPr>
              <w:t>优秀（</w:t>
            </w:r>
            <w:r>
              <w:rPr>
                <w:rFonts w:hint="eastAsia" w:ascii="仿宋" w:hAnsi="仿宋" w:eastAsia="仿宋" w:cs="Arial"/>
                <w:kern w:val="0"/>
                <w:szCs w:val="21"/>
              </w:rPr>
              <w:t>5分</w:t>
            </w:r>
            <w:r>
              <w:rPr>
                <w:rFonts w:ascii="仿宋" w:hAnsi="仿宋" w:eastAsia="仿宋" w:cs="Arial"/>
                <w:kern w:val="0"/>
                <w:szCs w:val="21"/>
              </w:rPr>
              <w:t>）；良好（</w:t>
            </w:r>
            <w:r>
              <w:rPr>
                <w:rFonts w:hint="eastAsia" w:ascii="仿宋" w:hAnsi="仿宋" w:eastAsia="仿宋" w:cs="Arial"/>
                <w:kern w:val="0"/>
                <w:szCs w:val="21"/>
              </w:rPr>
              <w:t>3分</w:t>
            </w:r>
            <w:r>
              <w:rPr>
                <w:rFonts w:ascii="仿宋" w:hAnsi="仿宋" w:eastAsia="仿宋" w:cs="Arial"/>
                <w:kern w:val="0"/>
                <w:szCs w:val="21"/>
              </w:rPr>
              <w:t>）；合格（</w:t>
            </w:r>
            <w:r>
              <w:rPr>
                <w:rFonts w:hint="eastAsia" w:ascii="仿宋" w:hAnsi="仿宋" w:eastAsia="仿宋" w:cs="Arial"/>
                <w:kern w:val="0"/>
                <w:szCs w:val="21"/>
              </w:rPr>
              <w:t>1分</w:t>
            </w:r>
            <w:r>
              <w:rPr>
                <w:rFonts w:ascii="仿宋" w:hAnsi="仿宋" w:eastAsia="仿宋" w:cs="Arial"/>
                <w:kern w:val="0"/>
                <w:szCs w:val="21"/>
              </w:rPr>
              <w:t>）；不合格（</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eastAsia" w:ascii="宋体" w:hAnsi="宋体" w:eastAsia="宋体" w:cs="宋体"/>
                <w:kern w:val="0"/>
                <w:sz w:val="20"/>
                <w:szCs w:val="24"/>
                <w:lang w:val="en-US" w:eastAsia="zh-CN"/>
              </w:rPr>
            </w:pPr>
            <w:r>
              <w:rPr>
                <w:rFonts w:hint="eastAsia" w:ascii="宋体" w:hAnsi="宋体" w:eastAsia="宋体" w:cs="宋体"/>
                <w:kern w:val="0"/>
                <w:sz w:val="20"/>
                <w:szCs w:val="24"/>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769" w:type="dxa"/>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小计</w:t>
            </w: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100</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hint="default" w:ascii="宋体" w:hAnsi="宋体" w:eastAsia="宋体" w:cs="宋体"/>
                <w:kern w:val="0"/>
                <w:sz w:val="20"/>
                <w:szCs w:val="24"/>
                <w:lang w:val="en-US" w:eastAsia="zh-CN"/>
              </w:rPr>
            </w:pPr>
            <w:r>
              <w:rPr>
                <w:rFonts w:hint="eastAsia" w:ascii="宋体" w:hAnsi="宋体" w:eastAsia="宋体" w:cs="宋体"/>
                <w:kern w:val="0"/>
                <w:sz w:val="20"/>
                <w:szCs w:val="24"/>
                <w:lang w:val="en-US" w:eastAsia="zh-CN"/>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jc w:val="center"/>
        </w:trPr>
        <w:tc>
          <w:tcPr>
            <w:tcW w:w="769" w:type="dxa"/>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评价结果</w:t>
            </w: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6435" w:type="dxa"/>
            <w:gridSpan w:val="2"/>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lang w:eastAsia="zh-CN"/>
              </w:rPr>
              <w:t>☑</w:t>
            </w:r>
            <w:r>
              <w:rPr>
                <w:rFonts w:hint="eastAsia" w:ascii="仿宋" w:hAnsi="仿宋" w:eastAsia="仿宋" w:cs="Arial"/>
                <w:kern w:val="0"/>
                <w:szCs w:val="21"/>
              </w:rPr>
              <w:t>优秀</w:t>
            </w:r>
            <w:r>
              <w:rPr>
                <w:rFonts w:ascii="仿宋" w:hAnsi="仿宋" w:eastAsia="仿宋" w:cs="Arial"/>
                <w:kern w:val="0"/>
                <w:szCs w:val="21"/>
              </w:rPr>
              <w:t xml:space="preserve">  90分≤得分≤100分； □良好  80分≤得分≤89分；</w:t>
            </w:r>
          </w:p>
          <w:p>
            <w:pPr>
              <w:widowControl/>
              <w:spacing w:line="68" w:lineRule="atLeast"/>
              <w:jc w:val="left"/>
              <w:rPr>
                <w:rFonts w:ascii="仿宋" w:hAnsi="仿宋" w:eastAsia="仿宋" w:cs="Arial"/>
                <w:kern w:val="0"/>
                <w:szCs w:val="21"/>
              </w:rPr>
            </w:pPr>
            <w:r>
              <w:rPr>
                <w:rFonts w:ascii="仿宋" w:hAnsi="仿宋" w:eastAsia="仿宋" w:cs="Arial"/>
                <w:kern w:val="0"/>
                <w:szCs w:val="21"/>
              </w:rPr>
              <w:t xml:space="preserve">  □中  60分≤得分≤79分；  □较差  0≤得分≤59分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宋体" w:hAnsi="宋体" w:eastAsia="宋体" w:cs="宋体"/>
                <w:kern w:val="0"/>
                <w:sz w:val="20"/>
                <w:szCs w:val="24"/>
              </w:rPr>
            </w:pPr>
          </w:p>
        </w:tc>
      </w:tr>
    </w:tbl>
    <w:p>
      <w:pPr>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rPr>
          <w:rFonts w:hint="eastAsia" w:ascii="仿宋" w:hAnsi="仿宋" w:eastAsia="仿宋"/>
          <w:b/>
          <w:sz w:val="24"/>
          <w:szCs w:val="24"/>
        </w:rPr>
      </w:pPr>
    </w:p>
    <w:p>
      <w:pPr>
        <w:rPr>
          <w:rFonts w:hint="eastAsia" w:ascii="仿宋" w:hAnsi="仿宋" w:eastAsia="仿宋"/>
          <w:b/>
          <w:sz w:val="24"/>
          <w:szCs w:val="24"/>
        </w:rPr>
      </w:pPr>
    </w:p>
    <w:p>
      <w:pPr>
        <w:rPr>
          <w:rFonts w:hint="eastAsia" w:ascii="仿宋" w:hAnsi="仿宋" w:eastAsia="仿宋"/>
          <w:b/>
          <w:sz w:val="24"/>
          <w:szCs w:val="24"/>
        </w:rPr>
      </w:pPr>
    </w:p>
    <w:p>
      <w:pPr>
        <w:rPr>
          <w:rFonts w:hint="eastAsia" w:ascii="仿宋" w:hAnsi="仿宋" w:eastAsia="仿宋"/>
          <w:b/>
          <w:sz w:val="24"/>
          <w:szCs w:val="24"/>
        </w:rPr>
      </w:pPr>
    </w:p>
    <w:p>
      <w:pPr>
        <w:rPr>
          <w:rFonts w:hint="eastAsia" w:ascii="仿宋" w:hAnsi="仿宋" w:eastAsia="仿宋"/>
          <w:b/>
          <w:sz w:val="24"/>
          <w:szCs w:val="24"/>
        </w:rPr>
      </w:pPr>
    </w:p>
    <w:p>
      <w:pPr>
        <w:rPr>
          <w:rFonts w:hint="eastAsia" w:ascii="仿宋" w:hAnsi="仿宋" w:eastAsia="仿宋"/>
          <w:b/>
          <w:sz w:val="24"/>
          <w:szCs w:val="24"/>
        </w:rPr>
      </w:pPr>
    </w:p>
    <w:p>
      <w:pPr>
        <w:rPr>
          <w:rFonts w:hint="eastAsia" w:ascii="仿宋" w:hAnsi="仿宋" w:eastAsia="仿宋"/>
          <w:b/>
          <w:sz w:val="24"/>
          <w:szCs w:val="24"/>
        </w:rPr>
      </w:pPr>
    </w:p>
    <w:p>
      <w:pPr>
        <w:rPr>
          <w:rFonts w:hint="eastAsia" w:ascii="仿宋" w:hAnsi="仿宋" w:eastAsia="仿宋"/>
          <w:b/>
          <w:sz w:val="24"/>
          <w:szCs w:val="24"/>
        </w:rPr>
      </w:pPr>
    </w:p>
    <w:p>
      <w:pPr>
        <w:rPr>
          <w:rFonts w:hint="eastAsia" w:ascii="仿宋" w:hAnsi="仿宋" w:eastAsia="仿宋"/>
          <w:b/>
          <w:sz w:val="24"/>
          <w:szCs w:val="24"/>
        </w:rPr>
      </w:pPr>
    </w:p>
    <w:p>
      <w:pPr>
        <w:rPr>
          <w:rFonts w:hint="eastAsia" w:ascii="仿宋" w:hAnsi="仿宋" w:eastAsia="仿宋"/>
          <w:b/>
          <w:sz w:val="24"/>
          <w:szCs w:val="24"/>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sdt>
      <w:sdtPr>
        <w:id w:val="631346811"/>
        <w:docPartObj>
          <w:docPartGallery w:val="autotext"/>
        </w:docPartObj>
      </w:sdtPr>
      <w:sdtContent/>
    </w:sdt>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EE7816"/>
    <w:rsid w:val="6DEE78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2022-04-17T04:33:00Z</dcterms:created>
  <dc:creator>Administrator</dc:creator>
  <cp:lastModifiedBy>Administrator</cp:lastModifiedBy>
  <dcterms:modified xsi:type="dcterms:W3CDTF">2022-04-17T04:34:10Z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