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8063D">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szCs w:val="32"/>
        </w:rPr>
      </w:pPr>
      <w:bookmarkStart w:id="0" w:name="_Toc29927"/>
      <w:r>
        <w:rPr>
          <w:rFonts w:hint="eastAsia" w:ascii="仿宋_GB2312" w:hAnsi="仿宋_GB2312" w:eastAsia="仿宋_GB2312" w:cs="仿宋_GB2312"/>
          <w:b/>
          <w:bCs/>
          <w:sz w:val="44"/>
          <w:szCs w:val="44"/>
        </w:rPr>
        <w:t>202</w:t>
      </w:r>
      <w:r>
        <w:rPr>
          <w:rFonts w:hint="eastAsia" w:ascii="仿宋_GB2312" w:hAnsi="仿宋_GB2312" w:cs="仿宋_GB2312"/>
          <w:b/>
          <w:bCs/>
          <w:sz w:val="44"/>
          <w:szCs w:val="44"/>
          <w:lang w:val="en-US" w:eastAsia="zh-CN"/>
        </w:rPr>
        <w:t>3</w:t>
      </w:r>
      <w:r>
        <w:rPr>
          <w:rFonts w:hint="eastAsia" w:ascii="仿宋_GB2312" w:hAnsi="仿宋_GB2312" w:eastAsia="仿宋_GB2312" w:cs="仿宋_GB2312"/>
          <w:b/>
          <w:bCs/>
          <w:sz w:val="44"/>
          <w:szCs w:val="44"/>
        </w:rPr>
        <w:t>年度辰溪县田湾镇乌金村溪堤建设项目专项资金绩效评价报告</w:t>
      </w:r>
      <w:bookmarkEnd w:id="0"/>
    </w:p>
    <w:p w14:paraId="1BA48915">
      <w:pPr>
        <w:rPr>
          <w:b/>
          <w:szCs w:val="32"/>
        </w:rPr>
      </w:pPr>
    </w:p>
    <w:p w14:paraId="392C25F7">
      <w:pPr>
        <w:adjustRightInd w:val="0"/>
        <w:ind w:firstLine="480" w:firstLineChars="20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highlight w:val="yellow"/>
        </w:rPr>
        <w:t>湘正德绩评字[202</w:t>
      </w:r>
      <w:r>
        <w:rPr>
          <w:rFonts w:hint="eastAsia" w:ascii="仿宋_GB2312" w:hAnsi="仿宋_GB2312" w:cs="仿宋_GB2312"/>
          <w:color w:val="000000"/>
          <w:kern w:val="0"/>
          <w:sz w:val="24"/>
          <w:szCs w:val="24"/>
          <w:highlight w:val="yellow"/>
          <w:lang w:val="en-US" w:eastAsia="zh-CN"/>
        </w:rPr>
        <w:t>4</w:t>
      </w:r>
      <w:r>
        <w:rPr>
          <w:rFonts w:hint="eastAsia" w:ascii="仿宋_GB2312" w:hAnsi="仿宋_GB2312" w:eastAsia="仿宋_GB2312" w:cs="仿宋_GB2312"/>
          <w:color w:val="000000"/>
          <w:kern w:val="0"/>
          <w:sz w:val="24"/>
          <w:szCs w:val="24"/>
          <w:highlight w:val="yellow"/>
        </w:rPr>
        <w:t>]第</w:t>
      </w:r>
      <w:r>
        <w:rPr>
          <w:rFonts w:hint="eastAsia" w:ascii="仿宋_GB2312" w:hAnsi="仿宋_GB2312" w:cs="仿宋_GB2312"/>
          <w:color w:val="000000"/>
          <w:kern w:val="0"/>
          <w:sz w:val="24"/>
          <w:szCs w:val="24"/>
          <w:highlight w:val="yellow"/>
          <w:lang w:val="en-US" w:eastAsia="zh-CN"/>
        </w:rPr>
        <w:t>xxx</w:t>
      </w:r>
      <w:r>
        <w:rPr>
          <w:rFonts w:hint="eastAsia" w:ascii="仿宋_GB2312" w:hAnsi="仿宋_GB2312" w:eastAsia="仿宋_GB2312" w:cs="仿宋_GB2312"/>
          <w:color w:val="000000"/>
          <w:kern w:val="0"/>
          <w:sz w:val="24"/>
          <w:szCs w:val="24"/>
          <w:highlight w:val="yellow"/>
        </w:rPr>
        <w:t>号</w:t>
      </w:r>
    </w:p>
    <w:p w14:paraId="3A6D1E30">
      <w:pPr>
        <w:pStyle w:val="2"/>
      </w:pPr>
    </w:p>
    <w:p w14:paraId="52CAC5C5">
      <w:pPr>
        <w:rPr>
          <w:b/>
          <w:szCs w:val="32"/>
        </w:rPr>
      </w:pPr>
    </w:p>
    <w:p w14:paraId="698B8D45">
      <w:pPr>
        <w:ind w:left="2889" w:leftChars="200" w:hanging="2249" w:hangingChars="700"/>
        <w:rPr>
          <w:rFonts w:hint="eastAsia"/>
          <w:szCs w:val="32"/>
        </w:rPr>
      </w:pPr>
      <w:r>
        <w:rPr>
          <w:b/>
          <w:szCs w:val="32"/>
        </w:rPr>
        <w:t>评价项目类型</w:t>
      </w:r>
      <w:r>
        <w:rPr>
          <w:szCs w:val="32"/>
        </w:rPr>
        <w:t>：</w:t>
      </w:r>
      <w:r>
        <w:rPr>
          <w:rFonts w:ascii="Times New Roman" w:hAnsi="Times New Roman" w:eastAsia="仿宋_GB2312" w:cs="Times New Roman"/>
          <w:b w:val="0"/>
          <w:kern w:val="2"/>
          <w:sz w:val="32"/>
          <w:szCs w:val="32"/>
          <w:lang w:val="en-US" w:eastAsia="zh-CN" w:bidi="ar-SA"/>
        </w:rPr>
        <w:t>项目实施</w:t>
      </w:r>
      <w:r>
        <w:rPr>
          <w:rFonts w:hint="eastAsia" w:ascii="Times New Roman" w:hAnsi="Times New Roman" w:eastAsia="仿宋_GB2312" w:cs="Times New Roman"/>
          <w:b w:val="0"/>
          <w:kern w:val="2"/>
          <w:sz w:val="32"/>
          <w:szCs w:val="32"/>
          <w:lang w:val="en-US" w:eastAsia="zh-CN" w:bidi="ar-SA"/>
        </w:rPr>
        <w:t>前</w:t>
      </w:r>
      <w:r>
        <w:rPr>
          <w:rFonts w:ascii="Times New Roman" w:hAnsi="Times New Roman" w:eastAsia="仿宋_GB2312" w:cs="Times New Roman"/>
          <w:b w:val="0"/>
          <w:kern w:val="2"/>
          <w:sz w:val="32"/>
          <w:szCs w:val="32"/>
          <w:lang w:val="en-US" w:eastAsia="zh-CN" w:bidi="ar-SA"/>
        </w:rPr>
        <w:t>评价</w:t>
      </w:r>
      <w:r>
        <w:rPr>
          <w:rFonts w:ascii="Times New Roman" w:hAnsi="Times New Roman" w:eastAsia="仿宋_GB2312" w:cs="Times New Roman"/>
          <w:b w:val="0"/>
          <w:kern w:val="2"/>
          <w:sz w:val="32"/>
          <w:szCs w:val="32"/>
          <w:lang w:val="en-US" w:eastAsia="zh-CN" w:bidi="ar-SA"/>
        </w:rPr>
        <w:sym w:font="Wingdings" w:char="00A8"/>
      </w:r>
      <w:r>
        <w:rPr>
          <w:rFonts w:hint="eastAsia" w:cs="Times New Roman"/>
          <w:b w:val="0"/>
          <w:kern w:val="2"/>
          <w:sz w:val="32"/>
          <w:szCs w:val="32"/>
          <w:lang w:val="en-US" w:eastAsia="zh-CN" w:bidi="ar-SA"/>
        </w:rPr>
        <w:t xml:space="preserve">    </w:t>
      </w:r>
      <w:r>
        <w:rPr>
          <w:szCs w:val="32"/>
        </w:rPr>
        <w:t>项目实施过程评</w:t>
      </w:r>
      <w:r>
        <w:rPr>
          <w:sz w:val="28"/>
          <w:szCs w:val="28"/>
        </w:rPr>
        <w:t>价</w:t>
      </w:r>
      <w:r>
        <w:rPr>
          <w:szCs w:val="32"/>
        </w:rPr>
        <w:sym w:font="Wingdings" w:char="00A8"/>
      </w:r>
      <w:r>
        <w:rPr>
          <w:szCs w:val="32"/>
        </w:rPr>
        <w:t xml:space="preserve">  项目完成结果评价</w:t>
      </w:r>
      <w:r>
        <w:rPr>
          <w:rFonts w:hint="eastAsia"/>
          <w:szCs w:val="32"/>
        </w:rPr>
        <w:sym w:font="Wingdings 2" w:char="0052"/>
      </w:r>
    </w:p>
    <w:p w14:paraId="5B80E696">
      <w:pPr>
        <w:widowControl/>
        <w:spacing w:line="360" w:lineRule="auto"/>
        <w:ind w:left="2892" w:leftChars="201" w:hanging="2249" w:hangingChars="700"/>
        <w:jc w:val="left"/>
        <w:rPr>
          <w:rFonts w:hint="eastAsia" w:eastAsia="仿宋_GB2312"/>
          <w:szCs w:val="32"/>
          <w:u w:val="single"/>
          <w:lang w:val="en-US" w:eastAsia="zh-CN"/>
        </w:rPr>
      </w:pPr>
      <w:r>
        <w:rPr>
          <w:b/>
          <w:szCs w:val="32"/>
        </w:rPr>
        <w:t>评价项目名称</w:t>
      </w:r>
      <w:r>
        <w:rPr>
          <w:szCs w:val="32"/>
        </w:rPr>
        <w:t>：</w:t>
      </w:r>
      <w:r>
        <w:rPr>
          <w:rFonts w:hint="eastAsia"/>
          <w:u w:val="single"/>
        </w:rPr>
        <w:t>2023年度辰溪县田湾镇乌金村溪堤建设项目专项资金绩效评价报告</w:t>
      </w:r>
      <w:r>
        <w:rPr>
          <w:rFonts w:hint="eastAsia"/>
          <w:u w:val="single"/>
          <w:lang w:val="en-US" w:eastAsia="zh-CN"/>
        </w:rPr>
        <w:t xml:space="preserve"> </w:t>
      </w:r>
    </w:p>
    <w:p w14:paraId="42AD1BEB">
      <w:pPr>
        <w:rPr>
          <w:rFonts w:eastAsia="宋体"/>
          <w:kern w:val="0"/>
          <w:sz w:val="24"/>
        </w:rPr>
      </w:pPr>
      <w:r>
        <w:rPr>
          <w:b/>
          <w:szCs w:val="32"/>
        </w:rPr>
        <w:t>评价项目金额</w:t>
      </w:r>
      <w:r>
        <w:rPr>
          <w:szCs w:val="32"/>
        </w:rPr>
        <w:t>：</w:t>
      </w:r>
      <w:r>
        <w:rPr>
          <w:rFonts w:hint="eastAsia"/>
          <w:u w:val="single"/>
          <w:lang w:val="en-US" w:eastAsia="zh-CN"/>
        </w:rPr>
        <w:t>366.49</w:t>
      </w:r>
      <w:r>
        <w:rPr>
          <w:rFonts w:hint="eastAsia"/>
          <w:u w:val="single"/>
        </w:rPr>
        <w:t>万元</w:t>
      </w:r>
      <w:r>
        <w:rPr>
          <w:rFonts w:hint="eastAsia" w:eastAsia="宋体"/>
          <w:kern w:val="0"/>
          <w:szCs w:val="32"/>
          <w:u w:val="single"/>
        </w:rPr>
        <w:t xml:space="preserve"> </w:t>
      </w:r>
    </w:p>
    <w:p w14:paraId="3A1ED697">
      <w:pPr>
        <w:ind w:left="2230" w:leftChars="201" w:hanging="1587" w:hangingChars="494"/>
      </w:pPr>
      <w:r>
        <w:rPr>
          <w:b/>
          <w:szCs w:val="32"/>
        </w:rPr>
        <w:t>评价项目单位：</w:t>
      </w:r>
      <w:r>
        <w:rPr>
          <w:rFonts w:hint="eastAsia"/>
          <w:bCs/>
          <w:szCs w:val="32"/>
          <w:u w:val="single"/>
        </w:rPr>
        <w:t>田湾镇人民政府</w:t>
      </w:r>
      <w:r>
        <w:rPr>
          <w:u w:val="single"/>
        </w:rPr>
        <w:t xml:space="preserve"> </w:t>
      </w:r>
    </w:p>
    <w:p w14:paraId="64911F8B">
      <w:pPr>
        <w:jc w:val="left"/>
        <w:rPr>
          <w:b/>
          <w:szCs w:val="32"/>
        </w:rPr>
      </w:pPr>
      <w:r>
        <w:rPr>
          <w:rFonts w:hint="eastAsia"/>
          <w:b/>
          <w:szCs w:val="32"/>
        </w:rPr>
        <w:t>评价</w:t>
      </w:r>
      <w:r>
        <w:rPr>
          <w:b/>
          <w:szCs w:val="32"/>
        </w:rPr>
        <w:t>组织单位：</w:t>
      </w:r>
      <w:r>
        <w:rPr>
          <w:rFonts w:hint="eastAsia" w:ascii="Times New Roman" w:hAnsi="Times New Roman" w:eastAsia="仿宋_GB2312" w:cs="仿宋_GB2312"/>
          <w:b w:val="0"/>
          <w:bCs/>
          <w:sz w:val="30"/>
          <w:szCs w:val="32"/>
          <w:u w:val="single"/>
        </w:rPr>
        <w:t>辰溪县财政局</w:t>
      </w:r>
      <w:r>
        <w:rPr>
          <w:rFonts w:hint="eastAsia"/>
          <w:bCs/>
          <w:szCs w:val="32"/>
          <w:u w:val="single"/>
        </w:rPr>
        <w:t xml:space="preserve"> </w:t>
      </w:r>
    </w:p>
    <w:p w14:paraId="66392EF4">
      <w:pPr>
        <w:jc w:val="left"/>
        <w:rPr>
          <w:b/>
          <w:szCs w:val="32"/>
        </w:rPr>
      </w:pPr>
      <w:r>
        <w:rPr>
          <w:rFonts w:hint="eastAsia"/>
          <w:b/>
          <w:szCs w:val="32"/>
        </w:rPr>
        <w:t>评价</w:t>
      </w:r>
      <w:r>
        <w:rPr>
          <w:b/>
          <w:szCs w:val="32"/>
        </w:rPr>
        <w:t>实施</w:t>
      </w:r>
      <w:r>
        <w:rPr>
          <w:rFonts w:hint="eastAsia"/>
          <w:b/>
          <w:szCs w:val="32"/>
        </w:rPr>
        <w:t>单位</w:t>
      </w:r>
      <w:r>
        <w:rPr>
          <w:b/>
          <w:szCs w:val="32"/>
        </w:rPr>
        <w:t>：</w:t>
      </w:r>
      <w:r>
        <w:rPr>
          <w:rFonts w:hint="eastAsia"/>
          <w:bCs/>
          <w:szCs w:val="32"/>
          <w:u w:val="single"/>
        </w:rPr>
        <w:t xml:space="preserve">湖南正德联合会计师事务所（普通合伙） </w:t>
      </w:r>
    </w:p>
    <w:p w14:paraId="7EB990DE">
      <w:pPr>
        <w:ind w:left="2085" w:hanging="2224" w:hangingChars="695"/>
      </w:pPr>
    </w:p>
    <w:p w14:paraId="030E2118">
      <w:pPr>
        <w:rPr>
          <w:rFonts w:eastAsia="黑体"/>
          <w:sz w:val="44"/>
          <w:szCs w:val="44"/>
          <w:u w:val="thick"/>
        </w:rPr>
      </w:pPr>
    </w:p>
    <w:p w14:paraId="39E37FAC">
      <w:pPr>
        <w:rPr>
          <w:rFonts w:eastAsia="黑体"/>
          <w:sz w:val="44"/>
          <w:szCs w:val="44"/>
          <w:u w:val="thick"/>
        </w:rPr>
      </w:pPr>
    </w:p>
    <w:p w14:paraId="0E81F0F6">
      <w:pPr>
        <w:pStyle w:val="2"/>
        <w:rPr>
          <w:rFonts w:eastAsia="黑体"/>
          <w:sz w:val="44"/>
          <w:szCs w:val="44"/>
          <w:u w:val="thick"/>
        </w:rPr>
      </w:pPr>
    </w:p>
    <w:p w14:paraId="35EE82DF">
      <w:pPr>
        <w:rPr>
          <w:rFonts w:eastAsia="黑体"/>
          <w:sz w:val="44"/>
          <w:szCs w:val="44"/>
          <w:u w:val="thick"/>
        </w:rPr>
      </w:pPr>
    </w:p>
    <w:p w14:paraId="7202AAFE">
      <w:pPr>
        <w:jc w:val="center"/>
        <w:rPr>
          <w:rFonts w:hint="eastAsia"/>
          <w:szCs w:val="32"/>
        </w:rPr>
      </w:pPr>
      <w:r>
        <w:rPr>
          <w:rFonts w:hint="eastAsia" w:cs="仿宋_GB2312"/>
          <w:b w:val="0"/>
          <w:bCs/>
          <w:sz w:val="30"/>
          <w:szCs w:val="32"/>
          <w:lang w:eastAsia="zh-CN"/>
        </w:rPr>
        <w:t>二〇</w:t>
      </w:r>
      <w:r>
        <w:rPr>
          <w:rFonts w:hint="eastAsia" w:ascii="Times New Roman" w:hAnsi="Times New Roman" w:eastAsia="仿宋_GB2312" w:cs="仿宋_GB2312"/>
          <w:b w:val="0"/>
          <w:bCs/>
          <w:sz w:val="30"/>
          <w:szCs w:val="32"/>
        </w:rPr>
        <w:t>二</w:t>
      </w:r>
      <w:r>
        <w:rPr>
          <w:rFonts w:hint="eastAsia" w:cs="仿宋_GB2312"/>
          <w:b w:val="0"/>
          <w:bCs/>
          <w:sz w:val="30"/>
          <w:szCs w:val="32"/>
          <w:lang w:val="en-US" w:eastAsia="zh-CN"/>
        </w:rPr>
        <w:t>四</w:t>
      </w:r>
      <w:r>
        <w:rPr>
          <w:rFonts w:hint="eastAsia" w:ascii="Times New Roman" w:hAnsi="Times New Roman" w:eastAsia="仿宋_GB2312" w:cs="仿宋_GB2312"/>
          <w:b w:val="0"/>
          <w:bCs/>
          <w:sz w:val="30"/>
          <w:szCs w:val="32"/>
        </w:rPr>
        <w:t>年</w:t>
      </w:r>
      <w:r>
        <w:rPr>
          <w:rFonts w:hint="eastAsia" w:cs="仿宋_GB2312"/>
          <w:b w:val="0"/>
          <w:bCs/>
          <w:sz w:val="30"/>
          <w:szCs w:val="32"/>
          <w:lang w:val="en-US" w:eastAsia="zh-CN"/>
        </w:rPr>
        <w:t>九</w:t>
      </w:r>
      <w:r>
        <w:rPr>
          <w:rFonts w:hint="eastAsia" w:ascii="Times New Roman" w:hAnsi="Times New Roman" w:eastAsia="仿宋_GB2312" w:cs="仿宋_GB2312"/>
          <w:b w:val="0"/>
          <w:bCs/>
          <w:sz w:val="30"/>
          <w:szCs w:val="32"/>
        </w:rPr>
        <w:t>月</w:t>
      </w:r>
    </w:p>
    <w:p w14:paraId="6007FC5D">
      <w:pPr>
        <w:jc w:val="center"/>
        <w:rPr>
          <w:b w:val="0"/>
          <w:bCs w:val="0"/>
          <w:sz w:val="30"/>
          <w:szCs w:val="30"/>
        </w:rPr>
        <w:sectPr>
          <w:headerReference r:id="rId5" w:type="default"/>
          <w:footerReference r:id="rId6" w:type="default"/>
          <w:pgSz w:w="11906" w:h="16838"/>
          <w:pgMar w:top="1440" w:right="1474" w:bottom="1440" w:left="1588" w:header="851" w:footer="992" w:gutter="0"/>
          <w:pgNumType w:start="1"/>
          <w:cols w:space="720" w:num="1"/>
          <w:docGrid w:type="lines" w:linePitch="312" w:charSpace="0"/>
        </w:sectPr>
      </w:pPr>
    </w:p>
    <w:p w14:paraId="15990252">
      <w:pPr>
        <w:spacing w:line="360" w:lineRule="auto"/>
        <w:ind w:firstLine="720"/>
        <w:jc w:val="center"/>
        <w:outlineLvl w:val="0"/>
        <w:rPr>
          <w:rFonts w:hint="eastAsia" w:ascii="仿宋_GB2312" w:hAnsi="仿宋_GB2312" w:eastAsia="仿宋_GB2312" w:cs="仿宋_GB2312"/>
          <w:b/>
          <w:bCs/>
          <w:sz w:val="40"/>
          <w:szCs w:val="40"/>
        </w:rPr>
      </w:pPr>
      <w:bookmarkStart w:id="1" w:name="_Toc19718"/>
      <w:bookmarkStart w:id="2" w:name="_Toc23307"/>
      <w:r>
        <w:rPr>
          <w:rFonts w:hint="eastAsia" w:ascii="仿宋_GB2312" w:hAnsi="仿宋_GB2312" w:eastAsia="仿宋_GB2312" w:cs="仿宋_GB2312"/>
          <w:b/>
          <w:bCs/>
          <w:sz w:val="40"/>
          <w:szCs w:val="40"/>
        </w:rPr>
        <w:t>项目支出绩效评价汇总表</w:t>
      </w:r>
      <w:bookmarkEnd w:id="1"/>
      <w:bookmarkEnd w:id="2"/>
    </w:p>
    <w:p w14:paraId="3029460F">
      <w:pPr>
        <w:pStyle w:val="2"/>
        <w:rPr>
          <w:rFonts w:hint="eastAsia"/>
        </w:rPr>
      </w:pP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1985"/>
        <w:gridCol w:w="6068"/>
      </w:tblGrid>
      <w:tr w14:paraId="55F33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553" w:type="pct"/>
            <w:vMerge w:val="restart"/>
            <w:tcBorders>
              <w:top w:val="single" w:color="auto" w:sz="4" w:space="0"/>
              <w:bottom w:val="nil"/>
            </w:tcBorders>
            <w:noWrap w:val="0"/>
            <w:vAlign w:val="center"/>
          </w:tcPr>
          <w:p w14:paraId="325FA26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p>
          <w:p w14:paraId="0EABBEA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w:t>
            </w:r>
          </w:p>
          <w:p w14:paraId="710335D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目</w:t>
            </w:r>
          </w:p>
          <w:p w14:paraId="74AA5BC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基</w:t>
            </w:r>
          </w:p>
          <w:p w14:paraId="6463364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本</w:t>
            </w:r>
          </w:p>
          <w:p w14:paraId="143026F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情</w:t>
            </w:r>
          </w:p>
          <w:p w14:paraId="02CF5A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况</w:t>
            </w:r>
          </w:p>
        </w:tc>
        <w:tc>
          <w:tcPr>
            <w:tcW w:w="1096" w:type="pct"/>
            <w:noWrap w:val="0"/>
            <w:vAlign w:val="center"/>
          </w:tcPr>
          <w:p w14:paraId="220B0FA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项目名称</w:t>
            </w:r>
          </w:p>
        </w:tc>
        <w:tc>
          <w:tcPr>
            <w:tcW w:w="3350" w:type="pct"/>
            <w:noWrap w:val="0"/>
            <w:vAlign w:val="center"/>
          </w:tcPr>
          <w:p w14:paraId="0AAF6D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2023年度辰溪县田湾镇乌金村溪堤建设项目专项资金绩效评价报告</w:t>
            </w:r>
          </w:p>
        </w:tc>
      </w:tr>
      <w:tr w14:paraId="7C9EA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pct"/>
            <w:vMerge w:val="continue"/>
            <w:tcBorders>
              <w:bottom w:val="nil"/>
            </w:tcBorders>
            <w:noWrap w:val="0"/>
            <w:vAlign w:val="top"/>
          </w:tcPr>
          <w:p w14:paraId="62C3C57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1BD426C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项目内容</w:t>
            </w:r>
          </w:p>
        </w:tc>
        <w:tc>
          <w:tcPr>
            <w:tcW w:w="3350" w:type="pct"/>
            <w:noWrap w:val="0"/>
            <w:vAlign w:val="center"/>
          </w:tcPr>
          <w:p w14:paraId="3B72595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在辰溪县田湾镇乌金村新建溪堤930m（高5.5m， 宽1.5m）</w:t>
            </w:r>
            <w:r>
              <w:rPr>
                <w:rFonts w:hint="eastAsia" w:ascii="仿宋_GB2312" w:hAnsi="仿宋_GB2312" w:eastAsia="仿宋_GB2312" w:cs="仿宋_GB2312"/>
                <w:sz w:val="28"/>
                <w:szCs w:val="28"/>
              </w:rPr>
              <w:t>。</w:t>
            </w:r>
          </w:p>
        </w:tc>
      </w:tr>
      <w:tr w14:paraId="0CDC5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53" w:type="pct"/>
            <w:vMerge w:val="continue"/>
            <w:tcBorders>
              <w:bottom w:val="nil"/>
            </w:tcBorders>
            <w:noWrap w:val="0"/>
            <w:vAlign w:val="top"/>
          </w:tcPr>
          <w:p w14:paraId="20A3393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0388DC5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项目单位</w:t>
            </w:r>
          </w:p>
        </w:tc>
        <w:tc>
          <w:tcPr>
            <w:tcW w:w="3350" w:type="pct"/>
            <w:noWrap w:val="0"/>
            <w:vAlign w:val="center"/>
          </w:tcPr>
          <w:p w14:paraId="12925D6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bCs/>
                <w:szCs w:val="32"/>
                <w:u w:val="none"/>
              </w:rPr>
              <w:t>辰溪县田湾镇人民政府</w:t>
            </w:r>
          </w:p>
        </w:tc>
      </w:tr>
      <w:tr w14:paraId="7B1DB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553" w:type="pct"/>
            <w:vMerge w:val="continue"/>
            <w:tcBorders>
              <w:bottom w:val="nil"/>
            </w:tcBorders>
            <w:noWrap w:val="0"/>
            <w:vAlign w:val="top"/>
          </w:tcPr>
          <w:p w14:paraId="4CFB0EF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352E4B8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项目属性</w:t>
            </w:r>
          </w:p>
        </w:tc>
        <w:tc>
          <w:tcPr>
            <w:tcW w:w="3350" w:type="pct"/>
            <w:noWrap w:val="0"/>
            <w:vAlign w:val="center"/>
          </w:tcPr>
          <w:p w14:paraId="415C1AD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w:t>
            </w:r>
            <w:r>
              <w:rPr>
                <w:rFonts w:hint="eastAsia" w:ascii="仿宋_GB2312" w:hAnsi="仿宋_GB2312" w:eastAsia="仿宋_GB2312" w:cs="仿宋_GB2312"/>
                <w:sz w:val="28"/>
                <w:szCs w:val="28"/>
              </w:rPr>
              <w:t xml:space="preserve">经常性   </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rPr>
              <w:sym w:font="Wingdings 2" w:char="0052"/>
            </w:r>
            <w:r>
              <w:rPr>
                <w:rFonts w:hint="eastAsia" w:ascii="仿宋_GB2312" w:hAnsi="仿宋_GB2312" w:eastAsia="仿宋_GB2312" w:cs="仿宋_GB2312"/>
                <w:sz w:val="28"/>
                <w:szCs w:val="28"/>
              </w:rPr>
              <w:t xml:space="preserve">一次性   </w:t>
            </w:r>
            <w:r>
              <w:rPr>
                <w:rFonts w:hint="eastAsia" w:ascii="仿宋_GB2312" w:hAnsi="仿宋_GB2312" w:eastAsia="仿宋_GB2312" w:cs="仿宋_GB2312"/>
                <w:kern w:val="0"/>
                <w:sz w:val="28"/>
                <w:szCs w:val="28"/>
              </w:rPr>
              <w:sym w:font="Wingdings 2" w:char="00A3"/>
            </w:r>
            <w:r>
              <w:rPr>
                <w:rFonts w:hint="eastAsia" w:ascii="仿宋_GB2312" w:hAnsi="仿宋_GB2312" w:eastAsia="仿宋_GB2312" w:cs="仿宋_GB2312"/>
                <w:sz w:val="28"/>
                <w:szCs w:val="28"/>
              </w:rPr>
              <w:t xml:space="preserve">新增    </w:t>
            </w:r>
            <w:r>
              <w:rPr>
                <w:rFonts w:hint="eastAsia" w:ascii="仿宋_GB2312" w:hAnsi="仿宋_GB2312" w:eastAsia="仿宋_GB2312" w:cs="仿宋_GB2312"/>
                <w:kern w:val="0"/>
                <w:sz w:val="28"/>
                <w:szCs w:val="28"/>
              </w:rPr>
              <w:t>□</w:t>
            </w:r>
            <w:r>
              <w:rPr>
                <w:rFonts w:hint="eastAsia" w:ascii="仿宋_GB2312" w:hAnsi="仿宋_GB2312" w:eastAsia="仿宋_GB2312" w:cs="仿宋_GB2312"/>
                <w:sz w:val="28"/>
                <w:szCs w:val="28"/>
              </w:rPr>
              <w:t>延续</w:t>
            </w:r>
          </w:p>
        </w:tc>
      </w:tr>
      <w:tr w14:paraId="44049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pct"/>
            <w:vMerge w:val="continue"/>
            <w:tcBorders>
              <w:bottom w:val="single" w:color="auto" w:sz="4" w:space="0"/>
            </w:tcBorders>
            <w:noWrap w:val="0"/>
            <w:vAlign w:val="top"/>
          </w:tcPr>
          <w:p w14:paraId="7B847E4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p>
        </w:tc>
        <w:tc>
          <w:tcPr>
            <w:tcW w:w="1096" w:type="pct"/>
            <w:noWrap w:val="0"/>
            <w:vAlign w:val="center"/>
          </w:tcPr>
          <w:p w14:paraId="78B2C55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立项依据</w:t>
            </w:r>
          </w:p>
        </w:tc>
        <w:tc>
          <w:tcPr>
            <w:tcW w:w="3350" w:type="pct"/>
            <w:noWrap w:val="0"/>
            <w:vAlign w:val="center"/>
          </w:tcPr>
          <w:p w14:paraId="7715805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湘发改投资〔2022〕1062号《湖南省发展和改革委员会关于提前下达湖南省2023年部分中央财政以工代赈任务计划的通知》；辰委乡振组发〔2023〕3号《关于下达2023年第一批巩固拓展脱贫攻坚成果同乡村振兴有效衔接统筹整合财政涉农资金项目计划的通知》。</w:t>
            </w:r>
          </w:p>
        </w:tc>
      </w:tr>
      <w:tr w14:paraId="38BF9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553" w:type="pct"/>
            <w:tcBorders>
              <w:top w:val="single" w:color="auto" w:sz="4" w:space="0"/>
              <w:bottom w:val="single" w:color="auto" w:sz="4" w:space="0"/>
            </w:tcBorders>
            <w:noWrap w:val="0"/>
            <w:vAlign w:val="center"/>
          </w:tcPr>
          <w:p w14:paraId="000C065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资金拨付情况</w:t>
            </w:r>
          </w:p>
        </w:tc>
        <w:tc>
          <w:tcPr>
            <w:tcW w:w="1096" w:type="pct"/>
            <w:noWrap w:val="0"/>
            <w:vAlign w:val="center"/>
          </w:tcPr>
          <w:p w14:paraId="7968867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资金总额及</w:t>
            </w:r>
          </w:p>
          <w:p w14:paraId="61F468F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使用情况</w:t>
            </w:r>
          </w:p>
        </w:tc>
        <w:tc>
          <w:tcPr>
            <w:tcW w:w="3350" w:type="pct"/>
            <w:noWrap w:val="0"/>
            <w:vAlign w:val="center"/>
          </w:tcPr>
          <w:p w14:paraId="4915446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本项目县级财政预算安排</w:t>
            </w:r>
            <w:r>
              <w:rPr>
                <w:rFonts w:hint="eastAsia" w:ascii="仿宋_GB2312" w:hAnsi="仿宋_GB2312" w:cs="仿宋_GB2312"/>
                <w:sz w:val="28"/>
                <w:szCs w:val="28"/>
                <w:lang w:val="en-US" w:eastAsia="zh-CN"/>
              </w:rPr>
              <w:t>366.49</w:t>
            </w:r>
            <w:r>
              <w:rPr>
                <w:rFonts w:hint="eastAsia" w:ascii="仿宋_GB2312" w:hAnsi="仿宋_GB2312" w:eastAsia="仿宋_GB2312" w:cs="仿宋_GB2312"/>
                <w:sz w:val="28"/>
                <w:szCs w:val="28"/>
              </w:rPr>
              <w:t>万元，截至绩效评价日，田湾镇人民政府累计收到拨付资金</w:t>
            </w:r>
            <w:r>
              <w:rPr>
                <w:rFonts w:hint="eastAsia" w:ascii="仿宋_GB2312" w:hAnsi="仿宋_GB2312" w:cs="仿宋_GB2312"/>
                <w:sz w:val="28"/>
                <w:szCs w:val="28"/>
                <w:lang w:val="en-US" w:eastAsia="zh-CN"/>
              </w:rPr>
              <w:t>220</w:t>
            </w:r>
            <w:r>
              <w:rPr>
                <w:rFonts w:hint="eastAsia" w:ascii="仿宋_GB2312" w:hAnsi="仿宋_GB2312" w:eastAsia="仿宋_GB2312" w:cs="仿宋_GB2312"/>
                <w:sz w:val="28"/>
                <w:szCs w:val="28"/>
              </w:rPr>
              <w:t>.00万元，累计支出</w:t>
            </w:r>
            <w:r>
              <w:rPr>
                <w:rFonts w:hint="eastAsia" w:ascii="仿宋_GB2312" w:hAnsi="仿宋_GB2312" w:cs="仿宋_GB2312"/>
                <w:sz w:val="28"/>
                <w:szCs w:val="28"/>
                <w:lang w:val="en-US" w:eastAsia="zh-CN"/>
              </w:rPr>
              <w:t>220</w:t>
            </w:r>
            <w:r>
              <w:rPr>
                <w:rFonts w:hint="eastAsia" w:ascii="仿宋_GB2312" w:hAnsi="仿宋_GB2312" w:eastAsia="仿宋_GB2312" w:cs="仿宋_GB2312"/>
                <w:sz w:val="28"/>
                <w:szCs w:val="28"/>
              </w:rPr>
              <w:t>.00万元，资金到位率</w:t>
            </w:r>
            <w:r>
              <w:rPr>
                <w:rFonts w:hint="eastAsia" w:ascii="仿宋_GB2312" w:hAnsi="仿宋_GB2312" w:cs="仿宋_GB2312"/>
                <w:sz w:val="28"/>
                <w:szCs w:val="28"/>
                <w:lang w:val="en-US" w:eastAsia="zh-CN"/>
              </w:rPr>
              <w:t>60.11</w:t>
            </w:r>
            <w:r>
              <w:rPr>
                <w:rFonts w:hint="eastAsia" w:ascii="仿宋_GB2312" w:hAnsi="仿宋_GB2312" w:eastAsia="仿宋_GB2312" w:cs="仿宋_GB2312"/>
                <w:sz w:val="28"/>
                <w:szCs w:val="28"/>
              </w:rPr>
              <w:t>%，资金执行率100%。</w:t>
            </w:r>
          </w:p>
        </w:tc>
      </w:tr>
      <w:tr w14:paraId="232D6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649" w:type="pct"/>
            <w:gridSpan w:val="2"/>
            <w:noWrap w:val="0"/>
            <w:vAlign w:val="center"/>
          </w:tcPr>
          <w:p w14:paraId="120FF4A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资金</w:t>
            </w:r>
            <w:r>
              <w:rPr>
                <w:rFonts w:hint="eastAsia" w:ascii="仿宋_GB2312" w:hAnsi="仿宋_GB2312" w:eastAsia="仿宋_GB2312" w:cs="仿宋_GB2312"/>
                <w:b/>
                <w:bCs/>
                <w:sz w:val="28"/>
                <w:szCs w:val="28"/>
              </w:rPr>
              <w:t>起止时间</w:t>
            </w:r>
          </w:p>
        </w:tc>
        <w:tc>
          <w:tcPr>
            <w:tcW w:w="3350" w:type="pct"/>
            <w:noWrap w:val="0"/>
            <w:vAlign w:val="center"/>
          </w:tcPr>
          <w:p w14:paraId="6581277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20</w:t>
            </w:r>
            <w:r>
              <w:rPr>
                <w:rFonts w:hint="eastAsia" w:ascii="仿宋_GB2312" w:hAnsi="仿宋_GB2312" w:cs="仿宋_GB2312"/>
                <w:sz w:val="28"/>
                <w:szCs w:val="28"/>
                <w:lang w:val="en-US" w:eastAsia="zh-CN"/>
              </w:rPr>
              <w:t>23年7月—</w:t>
            </w:r>
            <w:r>
              <w:rPr>
                <w:rFonts w:hint="eastAsia" w:ascii="仿宋_GB2312" w:hAnsi="仿宋_GB2312" w:eastAsia="仿宋_GB2312" w:cs="仿宋_GB2312"/>
                <w:sz w:val="28"/>
                <w:szCs w:val="28"/>
              </w:rPr>
              <w:t>202</w:t>
            </w:r>
            <w:r>
              <w:rPr>
                <w:rFonts w:hint="eastAsia" w:ascii="仿宋_GB2312" w:hAnsi="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cs="仿宋_GB2312"/>
                <w:sz w:val="28"/>
                <w:szCs w:val="28"/>
                <w:lang w:val="en-US" w:eastAsia="zh-CN"/>
              </w:rPr>
              <w:t>3月</w:t>
            </w:r>
          </w:p>
        </w:tc>
      </w:tr>
      <w:tr w14:paraId="77A2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1649" w:type="pct"/>
            <w:gridSpan w:val="2"/>
            <w:noWrap w:val="0"/>
            <w:vAlign w:val="center"/>
          </w:tcPr>
          <w:p w14:paraId="0F6005E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项目总评分</w:t>
            </w:r>
          </w:p>
        </w:tc>
        <w:tc>
          <w:tcPr>
            <w:tcW w:w="3350" w:type="pct"/>
            <w:noWrap w:val="0"/>
            <w:vAlign w:val="center"/>
          </w:tcPr>
          <w:p w14:paraId="35EC0A7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sz w:val="28"/>
                <w:szCs w:val="28"/>
                <w:highlight w:val="none"/>
              </w:rPr>
            </w:pPr>
            <w:r>
              <w:rPr>
                <w:rFonts w:hint="eastAsia" w:ascii="仿宋_GB2312" w:hAnsi="仿宋_GB2312" w:cs="仿宋_GB2312"/>
                <w:sz w:val="28"/>
                <w:szCs w:val="28"/>
                <w:highlight w:val="none"/>
                <w:lang w:val="en-US" w:eastAsia="zh-CN"/>
              </w:rPr>
              <w:t>83.20</w:t>
            </w:r>
            <w:r>
              <w:rPr>
                <w:rFonts w:hint="eastAsia" w:ascii="仿宋_GB2312" w:hAnsi="仿宋_GB2312" w:eastAsia="仿宋_GB2312" w:cs="仿宋_GB2312"/>
                <w:sz w:val="28"/>
                <w:szCs w:val="28"/>
                <w:highlight w:val="none"/>
              </w:rPr>
              <w:t>分</w:t>
            </w:r>
          </w:p>
        </w:tc>
      </w:tr>
      <w:tr w14:paraId="3D7B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1649" w:type="pct"/>
            <w:gridSpan w:val="2"/>
            <w:noWrap w:val="0"/>
            <w:vAlign w:val="center"/>
          </w:tcPr>
          <w:p w14:paraId="6153B2A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评价等次</w:t>
            </w:r>
          </w:p>
        </w:tc>
        <w:tc>
          <w:tcPr>
            <w:tcW w:w="3350" w:type="pct"/>
            <w:noWrap w:val="0"/>
            <w:vAlign w:val="center"/>
          </w:tcPr>
          <w:p w14:paraId="535436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kern w:val="0"/>
                <w:sz w:val="28"/>
                <w:szCs w:val="28"/>
              </w:rPr>
              <w:t xml:space="preserve">优（90分以上）       </w:t>
            </w:r>
            <w:r>
              <w:rPr>
                <w:rFonts w:hint="eastAsia" w:ascii="仿宋_GB2312" w:hAnsi="仿宋_GB2312" w:eastAsia="仿宋_GB2312" w:cs="仿宋_GB2312"/>
                <w:sz w:val="28"/>
                <w:szCs w:val="28"/>
              </w:rPr>
              <w:sym w:font="Wingdings 2" w:char="0052"/>
            </w:r>
            <w:r>
              <w:rPr>
                <w:rFonts w:hint="eastAsia" w:ascii="仿宋_GB2312" w:hAnsi="仿宋_GB2312" w:cs="仿宋_GB2312"/>
                <w:kern w:val="0"/>
                <w:sz w:val="28"/>
                <w:szCs w:val="28"/>
                <w:lang w:val="en-US" w:eastAsia="zh-CN"/>
              </w:rPr>
              <w:t>良</w:t>
            </w:r>
            <w:r>
              <w:rPr>
                <w:rFonts w:hint="eastAsia" w:ascii="仿宋_GB2312" w:hAnsi="仿宋_GB2312" w:eastAsia="仿宋_GB2312" w:cs="仿宋_GB2312"/>
                <w:kern w:val="0"/>
                <w:sz w:val="28"/>
                <w:szCs w:val="28"/>
              </w:rPr>
              <w:t>（80分</w:t>
            </w:r>
            <w:r>
              <w:rPr>
                <w:rFonts w:hint="eastAsia" w:ascii="仿宋_GB2312" w:hAnsi="仿宋_GB2312" w:cs="仿宋_GB2312"/>
                <w:kern w:val="0"/>
                <w:sz w:val="28"/>
                <w:szCs w:val="28"/>
                <w:lang w:eastAsia="zh-CN"/>
              </w:rPr>
              <w:t>—</w:t>
            </w:r>
            <w:r>
              <w:rPr>
                <w:rFonts w:hint="eastAsia" w:ascii="仿宋_GB2312" w:hAnsi="仿宋_GB2312" w:eastAsia="仿宋_GB2312" w:cs="仿宋_GB2312"/>
                <w:kern w:val="0"/>
                <w:sz w:val="28"/>
                <w:szCs w:val="28"/>
              </w:rPr>
              <w:t xml:space="preserve">90分）  </w:t>
            </w:r>
          </w:p>
          <w:p w14:paraId="6725403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kern w:val="0"/>
                <w:sz w:val="28"/>
                <w:szCs w:val="28"/>
                <w:lang w:val="en-US" w:eastAsia="zh-CN"/>
              </w:rPr>
              <w:t>较差</w:t>
            </w:r>
            <w:r>
              <w:rPr>
                <w:rFonts w:hint="eastAsia" w:ascii="仿宋_GB2312" w:hAnsi="仿宋_GB2312" w:eastAsia="仿宋_GB2312" w:cs="仿宋_GB2312"/>
                <w:kern w:val="0"/>
                <w:sz w:val="28"/>
                <w:szCs w:val="28"/>
              </w:rPr>
              <w:t>（60分</w:t>
            </w:r>
            <w:r>
              <w:rPr>
                <w:rFonts w:hint="eastAsia" w:ascii="仿宋_GB2312" w:hAnsi="仿宋_GB2312" w:cs="仿宋_GB2312"/>
                <w:kern w:val="0"/>
                <w:sz w:val="28"/>
                <w:szCs w:val="28"/>
                <w:lang w:eastAsia="zh-CN"/>
              </w:rPr>
              <w:t>—</w:t>
            </w:r>
            <w:r>
              <w:rPr>
                <w:rFonts w:hint="eastAsia" w:ascii="仿宋_GB2312" w:hAnsi="仿宋_GB2312" w:eastAsia="仿宋_GB2312" w:cs="仿宋_GB2312"/>
                <w:kern w:val="0"/>
                <w:sz w:val="28"/>
                <w:szCs w:val="28"/>
              </w:rPr>
              <w:t xml:space="preserve">80分）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kern w:val="0"/>
                <w:sz w:val="28"/>
                <w:szCs w:val="28"/>
              </w:rPr>
              <w:t>差（60分以下）</w:t>
            </w:r>
          </w:p>
        </w:tc>
      </w:tr>
    </w:tbl>
    <w:p w14:paraId="67E9852B">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pPr>
    </w:p>
    <w:p w14:paraId="1D470A02">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sectPr>
          <w:footerReference r:id="rId7" w:type="default"/>
          <w:pgSz w:w="11906" w:h="16838"/>
          <w:pgMar w:top="1440" w:right="1474" w:bottom="1440" w:left="1588" w:header="851" w:footer="992" w:gutter="0"/>
          <w:pgNumType w:start="1"/>
          <w:cols w:space="720" w:num="1"/>
          <w:docGrid w:type="lines" w:linePitch="312" w:charSpace="0"/>
        </w:sectPr>
      </w:pPr>
    </w:p>
    <w:p w14:paraId="5EC9B47E">
      <w:pPr>
        <w:keepNext w:val="0"/>
        <w:keepLines w:val="0"/>
        <w:pageBreakBefore w:val="0"/>
        <w:widowControl w:val="0"/>
        <w:tabs>
          <w:tab w:val="left" w:pos="2097"/>
          <w:tab w:val="center" w:pos="4921"/>
        </w:tabs>
        <w:kinsoku/>
        <w:wordWrap/>
        <w:overflowPunct/>
        <w:topLinePunct w:val="0"/>
        <w:autoSpaceDE/>
        <w:autoSpaceDN/>
        <w:bidi w:val="0"/>
        <w:adjustRightInd/>
        <w:snapToGrid/>
        <w:spacing w:line="360" w:lineRule="auto"/>
        <w:ind w:firstLine="720"/>
        <w:jc w:val="center"/>
        <w:textAlignment w:val="auto"/>
        <w:rPr>
          <w:rFonts w:hint="eastAsia" w:cs="Times New Roman"/>
          <w:b/>
          <w:bCs/>
          <w:kern w:val="2"/>
          <w:sz w:val="44"/>
          <w:szCs w:val="40"/>
          <w:lang w:val="en-US" w:eastAsia="zh-CN" w:bidi="ar-SA"/>
        </w:rPr>
      </w:pPr>
      <w:r>
        <w:rPr>
          <w:rFonts w:hint="eastAsia" w:cs="Times New Roman"/>
          <w:b/>
          <w:bCs/>
          <w:kern w:val="2"/>
          <w:sz w:val="44"/>
          <w:szCs w:val="40"/>
          <w:lang w:val="en-US" w:eastAsia="zh-CN" w:bidi="ar-SA"/>
        </w:rPr>
        <w:t>目  录</w:t>
      </w:r>
    </w:p>
    <w:p w14:paraId="1327FE46">
      <w:pPr>
        <w:pStyle w:val="2"/>
      </w:pPr>
    </w:p>
    <w:p w14:paraId="07FB1CFB">
      <w:pPr>
        <w:pStyle w:val="10"/>
        <w:tabs>
          <w:tab w:val="right" w:leader="dot" w:pos="8844"/>
          <w:tab w:val="clear" w:pos="8834"/>
        </w:tabs>
      </w:pPr>
      <w:r>
        <w:rPr>
          <w:rFonts w:hint="eastAsia"/>
          <w:sz w:val="36"/>
          <w:szCs w:val="36"/>
          <w:lang w:eastAsia="zh-CN"/>
        </w:rPr>
        <w:fldChar w:fldCharType="begin"/>
      </w:r>
      <w:r>
        <w:rPr>
          <w:rFonts w:hint="eastAsia"/>
          <w:sz w:val="36"/>
          <w:szCs w:val="36"/>
          <w:lang w:eastAsia="zh-CN"/>
        </w:rPr>
        <w:instrText xml:space="preserve">TOC \o "1-2" \h \u </w:instrText>
      </w:r>
      <w:r>
        <w:rPr>
          <w:rFonts w:hint="eastAsia"/>
          <w:sz w:val="36"/>
          <w:szCs w:val="36"/>
          <w:lang w:eastAsia="zh-CN"/>
        </w:rPr>
        <w:fldChar w:fldCharType="separate"/>
      </w:r>
    </w:p>
    <w:p w14:paraId="0322D402">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_Toc18684 </w:instrText>
      </w:r>
      <w:r>
        <w:rPr>
          <w:rFonts w:hint="eastAsia"/>
          <w:szCs w:val="24"/>
          <w:lang w:eastAsia="zh-CN"/>
        </w:rPr>
        <w:fldChar w:fldCharType="separate"/>
      </w:r>
      <w:r>
        <w:rPr>
          <w:rFonts w:hint="eastAsia"/>
        </w:rPr>
        <w:t>一、项目基本情况</w:t>
      </w:r>
      <w:r>
        <w:tab/>
      </w:r>
      <w:r>
        <w:fldChar w:fldCharType="begin"/>
      </w:r>
      <w:r>
        <w:instrText xml:space="preserve"> PAGEREF _Toc18684 \h </w:instrText>
      </w:r>
      <w:r>
        <w:fldChar w:fldCharType="separate"/>
      </w:r>
      <w:r>
        <w:t>1</w:t>
      </w:r>
      <w:r>
        <w:fldChar w:fldCharType="end"/>
      </w:r>
      <w:r>
        <w:rPr>
          <w:rFonts w:hint="eastAsia"/>
          <w:szCs w:val="24"/>
          <w:lang w:eastAsia="zh-CN"/>
        </w:rPr>
        <w:fldChar w:fldCharType="end"/>
      </w:r>
    </w:p>
    <w:p w14:paraId="197FF888">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_Toc25535 </w:instrText>
      </w:r>
      <w:r>
        <w:rPr>
          <w:rFonts w:hint="eastAsia"/>
          <w:szCs w:val="24"/>
          <w:lang w:eastAsia="zh-CN"/>
        </w:rPr>
        <w:fldChar w:fldCharType="separate"/>
      </w:r>
      <w:r>
        <w:rPr>
          <w:rFonts w:hint="eastAsia"/>
        </w:rPr>
        <w:t>（一）</w:t>
      </w:r>
      <w:r>
        <w:rPr>
          <w:rFonts w:hint="eastAsia"/>
          <w:lang w:val="en-US" w:eastAsia="zh-CN"/>
        </w:rPr>
        <w:t>项目概况</w:t>
      </w:r>
      <w:r>
        <w:tab/>
      </w:r>
      <w:r>
        <w:fldChar w:fldCharType="begin"/>
      </w:r>
      <w:r>
        <w:instrText xml:space="preserve"> PAGEREF _Toc25535 \h </w:instrText>
      </w:r>
      <w:r>
        <w:fldChar w:fldCharType="separate"/>
      </w:r>
      <w:r>
        <w:t>1</w:t>
      </w:r>
      <w:r>
        <w:fldChar w:fldCharType="end"/>
      </w:r>
      <w:r>
        <w:rPr>
          <w:rFonts w:hint="eastAsia"/>
          <w:szCs w:val="24"/>
          <w:lang w:eastAsia="zh-CN"/>
        </w:rPr>
        <w:fldChar w:fldCharType="end"/>
      </w:r>
    </w:p>
    <w:p w14:paraId="2FC85F0D">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_Toc9215 </w:instrText>
      </w:r>
      <w:r>
        <w:rPr>
          <w:rFonts w:hint="eastAsia"/>
          <w:szCs w:val="24"/>
          <w:lang w:eastAsia="zh-CN"/>
        </w:rPr>
        <w:fldChar w:fldCharType="separate"/>
      </w:r>
      <w:r>
        <w:rPr>
          <w:rFonts w:hint="eastAsia"/>
          <w:lang w:val="en-US" w:eastAsia="zh-CN"/>
        </w:rPr>
        <w:t>（二）项目绩效目标</w:t>
      </w:r>
      <w:r>
        <w:tab/>
      </w:r>
      <w:r>
        <w:fldChar w:fldCharType="begin"/>
      </w:r>
      <w:r>
        <w:instrText xml:space="preserve"> PAGEREF _Toc9215 \h </w:instrText>
      </w:r>
      <w:r>
        <w:fldChar w:fldCharType="separate"/>
      </w:r>
      <w:r>
        <w:t>5</w:t>
      </w:r>
      <w:r>
        <w:fldChar w:fldCharType="end"/>
      </w:r>
      <w:r>
        <w:rPr>
          <w:rFonts w:hint="eastAsia"/>
          <w:szCs w:val="24"/>
          <w:lang w:eastAsia="zh-CN"/>
        </w:rPr>
        <w:fldChar w:fldCharType="end"/>
      </w:r>
    </w:p>
    <w:p w14:paraId="11240B84">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_Toc10899 </w:instrText>
      </w:r>
      <w:r>
        <w:rPr>
          <w:rFonts w:hint="eastAsia"/>
          <w:szCs w:val="24"/>
          <w:lang w:eastAsia="zh-CN"/>
        </w:rPr>
        <w:fldChar w:fldCharType="separate"/>
      </w:r>
      <w:r>
        <w:rPr>
          <w:rFonts w:hint="eastAsia"/>
          <w:lang w:val="en-US" w:eastAsia="zh-CN"/>
        </w:rPr>
        <w:t>二、绩效评价工作开展情况</w:t>
      </w:r>
      <w:r>
        <w:tab/>
      </w:r>
      <w:r>
        <w:fldChar w:fldCharType="begin"/>
      </w:r>
      <w:r>
        <w:instrText xml:space="preserve"> PAGEREF _Toc10899 \h </w:instrText>
      </w:r>
      <w:r>
        <w:fldChar w:fldCharType="separate"/>
      </w:r>
      <w:r>
        <w:t>6</w:t>
      </w:r>
      <w:r>
        <w:fldChar w:fldCharType="end"/>
      </w:r>
      <w:r>
        <w:rPr>
          <w:rFonts w:hint="eastAsia"/>
          <w:szCs w:val="24"/>
          <w:lang w:eastAsia="zh-CN"/>
        </w:rPr>
        <w:fldChar w:fldCharType="end"/>
      </w:r>
    </w:p>
    <w:p w14:paraId="75B926D8">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_Toc5644 </w:instrText>
      </w:r>
      <w:r>
        <w:rPr>
          <w:rFonts w:hint="eastAsia"/>
          <w:szCs w:val="24"/>
          <w:lang w:eastAsia="zh-CN"/>
        </w:rPr>
        <w:fldChar w:fldCharType="separate"/>
      </w:r>
      <w:r>
        <w:rPr>
          <w:rFonts w:hint="eastAsia"/>
          <w:lang w:val="en-US" w:eastAsia="zh-CN"/>
        </w:rPr>
        <w:t>（一）绩效评价目的、对象和范围</w:t>
      </w:r>
      <w:r>
        <w:tab/>
      </w:r>
      <w:r>
        <w:fldChar w:fldCharType="begin"/>
      </w:r>
      <w:r>
        <w:instrText xml:space="preserve"> PAGEREF _Toc5644 \h </w:instrText>
      </w:r>
      <w:r>
        <w:fldChar w:fldCharType="separate"/>
      </w:r>
      <w:r>
        <w:t>6</w:t>
      </w:r>
      <w:r>
        <w:fldChar w:fldCharType="end"/>
      </w:r>
      <w:r>
        <w:rPr>
          <w:rFonts w:hint="eastAsia"/>
          <w:szCs w:val="24"/>
          <w:lang w:eastAsia="zh-CN"/>
        </w:rPr>
        <w:fldChar w:fldCharType="end"/>
      </w:r>
    </w:p>
    <w:p w14:paraId="59787510">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_Toc5746 </w:instrText>
      </w:r>
      <w:r>
        <w:rPr>
          <w:rFonts w:hint="eastAsia"/>
          <w:szCs w:val="24"/>
          <w:lang w:eastAsia="zh-CN"/>
        </w:rPr>
        <w:fldChar w:fldCharType="separate"/>
      </w:r>
      <w:r>
        <w:rPr>
          <w:rFonts w:hint="eastAsia"/>
          <w:lang w:val="en-US" w:eastAsia="zh-CN"/>
        </w:rPr>
        <w:t>（二）绩效评价原则、指标体系、评价方法和评价标准</w:t>
      </w:r>
      <w:r>
        <w:tab/>
      </w:r>
      <w:r>
        <w:fldChar w:fldCharType="begin"/>
      </w:r>
      <w:r>
        <w:instrText xml:space="preserve"> PAGEREF _Toc5746 \h </w:instrText>
      </w:r>
      <w:r>
        <w:fldChar w:fldCharType="separate"/>
      </w:r>
      <w:r>
        <w:t>7</w:t>
      </w:r>
      <w:r>
        <w:fldChar w:fldCharType="end"/>
      </w:r>
      <w:r>
        <w:rPr>
          <w:rFonts w:hint="eastAsia"/>
          <w:szCs w:val="24"/>
          <w:lang w:eastAsia="zh-CN"/>
        </w:rPr>
        <w:fldChar w:fldCharType="end"/>
      </w:r>
    </w:p>
    <w:p w14:paraId="38FE0A6E">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_Toc19329 </w:instrText>
      </w:r>
      <w:r>
        <w:rPr>
          <w:rFonts w:hint="eastAsia"/>
          <w:szCs w:val="24"/>
          <w:lang w:eastAsia="zh-CN"/>
        </w:rPr>
        <w:fldChar w:fldCharType="separate"/>
      </w:r>
      <w:r>
        <w:rPr>
          <w:rFonts w:hint="eastAsia"/>
          <w:lang w:val="en-US" w:eastAsia="zh-CN"/>
        </w:rPr>
        <w:t>（三）绩效评价工作过程</w:t>
      </w:r>
      <w:r>
        <w:tab/>
      </w:r>
      <w:r>
        <w:fldChar w:fldCharType="begin"/>
      </w:r>
      <w:r>
        <w:instrText xml:space="preserve"> PAGEREF _Toc19329 \h </w:instrText>
      </w:r>
      <w:r>
        <w:fldChar w:fldCharType="separate"/>
      </w:r>
      <w:r>
        <w:t>8</w:t>
      </w:r>
      <w:r>
        <w:fldChar w:fldCharType="end"/>
      </w:r>
      <w:r>
        <w:rPr>
          <w:rFonts w:hint="eastAsia"/>
          <w:szCs w:val="24"/>
          <w:lang w:eastAsia="zh-CN"/>
        </w:rPr>
        <w:fldChar w:fldCharType="end"/>
      </w:r>
    </w:p>
    <w:p w14:paraId="71E88ACC">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_Toc19843 </w:instrText>
      </w:r>
      <w:r>
        <w:rPr>
          <w:rFonts w:hint="eastAsia"/>
          <w:szCs w:val="24"/>
          <w:lang w:eastAsia="zh-CN"/>
        </w:rPr>
        <w:fldChar w:fldCharType="separate"/>
      </w:r>
      <w:r>
        <w:rPr>
          <w:rFonts w:hint="eastAsia"/>
        </w:rPr>
        <w:t>三、综合评价结论及指标分析</w:t>
      </w:r>
      <w:r>
        <w:tab/>
      </w:r>
      <w:r>
        <w:fldChar w:fldCharType="begin"/>
      </w:r>
      <w:r>
        <w:instrText xml:space="preserve"> PAGEREF _Toc19843 \h </w:instrText>
      </w:r>
      <w:r>
        <w:fldChar w:fldCharType="separate"/>
      </w:r>
      <w:r>
        <w:t>10</w:t>
      </w:r>
      <w:r>
        <w:fldChar w:fldCharType="end"/>
      </w:r>
      <w:r>
        <w:rPr>
          <w:rFonts w:hint="eastAsia"/>
          <w:szCs w:val="24"/>
          <w:lang w:eastAsia="zh-CN"/>
        </w:rPr>
        <w:fldChar w:fldCharType="end"/>
      </w:r>
    </w:p>
    <w:p w14:paraId="4FE9EFE7">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_Toc22559 </w:instrText>
      </w:r>
      <w:r>
        <w:rPr>
          <w:rFonts w:hint="eastAsia"/>
          <w:szCs w:val="24"/>
          <w:lang w:eastAsia="zh-CN"/>
        </w:rPr>
        <w:fldChar w:fldCharType="separate"/>
      </w:r>
      <w:r>
        <w:rPr>
          <w:rFonts w:hint="eastAsia"/>
        </w:rPr>
        <w:t>（一）评价结论</w:t>
      </w:r>
      <w:r>
        <w:tab/>
      </w:r>
      <w:r>
        <w:fldChar w:fldCharType="begin"/>
      </w:r>
      <w:r>
        <w:instrText xml:space="preserve"> PAGEREF _Toc22559 \h </w:instrText>
      </w:r>
      <w:r>
        <w:fldChar w:fldCharType="separate"/>
      </w:r>
      <w:r>
        <w:t>10</w:t>
      </w:r>
      <w:r>
        <w:fldChar w:fldCharType="end"/>
      </w:r>
      <w:r>
        <w:rPr>
          <w:rFonts w:hint="eastAsia"/>
          <w:szCs w:val="24"/>
          <w:lang w:eastAsia="zh-CN"/>
        </w:rPr>
        <w:fldChar w:fldCharType="end"/>
      </w:r>
    </w:p>
    <w:p w14:paraId="63457193">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_Toc27093 </w:instrText>
      </w:r>
      <w:r>
        <w:rPr>
          <w:rFonts w:hint="eastAsia"/>
          <w:szCs w:val="24"/>
          <w:lang w:eastAsia="zh-CN"/>
        </w:rPr>
        <w:fldChar w:fldCharType="separate"/>
      </w:r>
      <w:r>
        <w:rPr>
          <w:rFonts w:hint="eastAsia"/>
          <w:lang w:eastAsia="zh-CN"/>
        </w:rPr>
        <w:t>（</w:t>
      </w:r>
      <w:r>
        <w:rPr>
          <w:rFonts w:hint="eastAsia"/>
        </w:rPr>
        <w:t>二</w:t>
      </w:r>
      <w:r>
        <w:rPr>
          <w:rFonts w:hint="eastAsia"/>
          <w:lang w:eastAsia="zh-CN"/>
        </w:rPr>
        <w:t>）</w:t>
      </w:r>
      <w:r>
        <w:rPr>
          <w:rFonts w:hint="eastAsia"/>
        </w:rPr>
        <w:t>指标分析</w:t>
      </w:r>
      <w:r>
        <w:tab/>
      </w:r>
      <w:r>
        <w:fldChar w:fldCharType="begin"/>
      </w:r>
      <w:r>
        <w:instrText xml:space="preserve"> PAGEREF _Toc27093 \h </w:instrText>
      </w:r>
      <w:r>
        <w:fldChar w:fldCharType="separate"/>
      </w:r>
      <w:r>
        <w:t>11</w:t>
      </w:r>
      <w:r>
        <w:fldChar w:fldCharType="end"/>
      </w:r>
      <w:r>
        <w:rPr>
          <w:rFonts w:hint="eastAsia"/>
          <w:szCs w:val="24"/>
          <w:lang w:eastAsia="zh-CN"/>
        </w:rPr>
        <w:fldChar w:fldCharType="end"/>
      </w:r>
    </w:p>
    <w:p w14:paraId="7EEEBC56">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_Toc13764 </w:instrText>
      </w:r>
      <w:r>
        <w:rPr>
          <w:rFonts w:hint="eastAsia"/>
          <w:szCs w:val="24"/>
          <w:lang w:eastAsia="zh-CN"/>
        </w:rPr>
        <w:fldChar w:fldCharType="separate"/>
      </w:r>
      <w:r>
        <w:rPr>
          <w:rFonts w:hint="eastAsia"/>
        </w:rPr>
        <w:t>四、主要</w:t>
      </w:r>
      <w:r>
        <w:rPr>
          <w:rFonts w:hint="eastAsia"/>
          <w:lang w:val="en-US" w:eastAsia="zh-CN"/>
        </w:rPr>
        <w:t>经验和做法</w:t>
      </w:r>
      <w:r>
        <w:tab/>
      </w:r>
      <w:r>
        <w:fldChar w:fldCharType="begin"/>
      </w:r>
      <w:r>
        <w:instrText xml:space="preserve"> PAGEREF _Toc13764 \h </w:instrText>
      </w:r>
      <w:r>
        <w:fldChar w:fldCharType="separate"/>
      </w:r>
      <w:r>
        <w:t>16</w:t>
      </w:r>
      <w:r>
        <w:fldChar w:fldCharType="end"/>
      </w:r>
      <w:r>
        <w:rPr>
          <w:rFonts w:hint="eastAsia"/>
          <w:szCs w:val="24"/>
          <w:lang w:eastAsia="zh-CN"/>
        </w:rPr>
        <w:fldChar w:fldCharType="end"/>
      </w:r>
    </w:p>
    <w:p w14:paraId="10D7021E">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_Toc19887 </w:instrText>
      </w:r>
      <w:r>
        <w:rPr>
          <w:rFonts w:hint="eastAsia"/>
          <w:szCs w:val="24"/>
          <w:lang w:eastAsia="zh-CN"/>
        </w:rPr>
        <w:fldChar w:fldCharType="separate"/>
      </w:r>
      <w:r>
        <w:rPr>
          <w:rFonts w:hint="eastAsia"/>
          <w:lang w:eastAsia="zh-CN"/>
        </w:rPr>
        <w:t>（</w:t>
      </w:r>
      <w:r>
        <w:rPr>
          <w:rFonts w:hint="eastAsia"/>
          <w:lang w:val="en-US" w:eastAsia="zh-CN"/>
        </w:rPr>
        <w:t>一）前期准备工作充分，手续完备</w:t>
      </w:r>
      <w:r>
        <w:tab/>
      </w:r>
      <w:r>
        <w:fldChar w:fldCharType="begin"/>
      </w:r>
      <w:r>
        <w:instrText xml:space="preserve"> PAGEREF _Toc19887 \h </w:instrText>
      </w:r>
      <w:r>
        <w:fldChar w:fldCharType="separate"/>
      </w:r>
      <w:r>
        <w:t>16</w:t>
      </w:r>
      <w:r>
        <w:fldChar w:fldCharType="end"/>
      </w:r>
      <w:r>
        <w:rPr>
          <w:rFonts w:hint="eastAsia"/>
          <w:szCs w:val="24"/>
          <w:lang w:eastAsia="zh-CN"/>
        </w:rPr>
        <w:fldChar w:fldCharType="end"/>
      </w:r>
    </w:p>
    <w:p w14:paraId="3739E809">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_Toc22008 </w:instrText>
      </w:r>
      <w:r>
        <w:rPr>
          <w:rFonts w:hint="eastAsia"/>
          <w:szCs w:val="24"/>
          <w:lang w:eastAsia="zh-CN"/>
        </w:rPr>
        <w:fldChar w:fldCharType="separate"/>
      </w:r>
      <w:r>
        <w:rPr>
          <w:rFonts w:hint="eastAsia"/>
          <w:lang w:val="en-US" w:eastAsia="zh-CN"/>
        </w:rPr>
        <w:t>（二）按规定进行政府采购</w:t>
      </w:r>
      <w:r>
        <w:tab/>
      </w:r>
      <w:r>
        <w:fldChar w:fldCharType="begin"/>
      </w:r>
      <w:r>
        <w:instrText xml:space="preserve"> PAGEREF _Toc22008 \h </w:instrText>
      </w:r>
      <w:r>
        <w:fldChar w:fldCharType="separate"/>
      </w:r>
      <w:r>
        <w:t>16</w:t>
      </w:r>
      <w:r>
        <w:fldChar w:fldCharType="end"/>
      </w:r>
      <w:r>
        <w:rPr>
          <w:rFonts w:hint="eastAsia"/>
          <w:szCs w:val="24"/>
          <w:lang w:eastAsia="zh-CN"/>
        </w:rPr>
        <w:fldChar w:fldCharType="end"/>
      </w:r>
    </w:p>
    <w:p w14:paraId="0BEE5832">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_Toc17262 </w:instrText>
      </w:r>
      <w:r>
        <w:rPr>
          <w:rFonts w:hint="eastAsia"/>
          <w:szCs w:val="24"/>
          <w:lang w:eastAsia="zh-CN"/>
        </w:rPr>
        <w:fldChar w:fldCharType="separate"/>
      </w:r>
      <w:r>
        <w:rPr>
          <w:rFonts w:hint="eastAsia"/>
        </w:rPr>
        <w:t>五、存在的主要问题</w:t>
      </w:r>
      <w:r>
        <w:tab/>
      </w:r>
      <w:r>
        <w:fldChar w:fldCharType="begin"/>
      </w:r>
      <w:r>
        <w:instrText xml:space="preserve"> PAGEREF _Toc17262 \h </w:instrText>
      </w:r>
      <w:r>
        <w:fldChar w:fldCharType="separate"/>
      </w:r>
      <w:r>
        <w:t>16</w:t>
      </w:r>
      <w:r>
        <w:fldChar w:fldCharType="end"/>
      </w:r>
      <w:r>
        <w:rPr>
          <w:rFonts w:hint="eastAsia"/>
          <w:szCs w:val="24"/>
          <w:lang w:eastAsia="zh-CN"/>
        </w:rPr>
        <w:fldChar w:fldCharType="end"/>
      </w:r>
    </w:p>
    <w:p w14:paraId="122C2C25">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_Toc17614 </w:instrText>
      </w:r>
      <w:r>
        <w:rPr>
          <w:rFonts w:hint="eastAsia"/>
          <w:szCs w:val="24"/>
          <w:lang w:eastAsia="zh-CN"/>
        </w:rPr>
        <w:fldChar w:fldCharType="separate"/>
      </w:r>
      <w:r>
        <w:rPr>
          <w:rFonts w:hint="eastAsia"/>
        </w:rPr>
        <w:t>（一）绩效目标管理欠规范</w:t>
      </w:r>
      <w:r>
        <w:tab/>
      </w:r>
      <w:r>
        <w:fldChar w:fldCharType="begin"/>
      </w:r>
      <w:r>
        <w:instrText xml:space="preserve"> PAGEREF _Toc17614 \h </w:instrText>
      </w:r>
      <w:r>
        <w:fldChar w:fldCharType="separate"/>
      </w:r>
      <w:r>
        <w:t>16</w:t>
      </w:r>
      <w:r>
        <w:fldChar w:fldCharType="end"/>
      </w:r>
      <w:r>
        <w:rPr>
          <w:rFonts w:hint="eastAsia"/>
          <w:szCs w:val="24"/>
          <w:lang w:eastAsia="zh-CN"/>
        </w:rPr>
        <w:fldChar w:fldCharType="end"/>
      </w:r>
    </w:p>
    <w:p w14:paraId="7C097FA0">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_Toc3415 </w:instrText>
      </w:r>
      <w:r>
        <w:rPr>
          <w:rFonts w:hint="eastAsia"/>
          <w:szCs w:val="24"/>
          <w:lang w:eastAsia="zh-CN"/>
        </w:rPr>
        <w:fldChar w:fldCharType="separate"/>
      </w:r>
      <w:r>
        <w:rPr>
          <w:rFonts w:hint="eastAsia" w:ascii="Cambria" w:hAnsi="Cambria" w:eastAsia="楷体" w:cs="Times New Roman"/>
          <w:bCs/>
          <w:kern w:val="2"/>
          <w:szCs w:val="32"/>
          <w:highlight w:val="none"/>
          <w:lang w:val="en-US" w:eastAsia="zh-CN" w:bidi="ar-SA"/>
        </w:rPr>
        <w:t>（二）</w:t>
      </w:r>
      <w:r>
        <w:rPr>
          <w:rFonts w:hint="eastAsia"/>
          <w:highlight w:val="none"/>
          <w:lang w:val="en-US" w:eastAsia="zh-CN"/>
        </w:rPr>
        <w:t>预算设置不科学</w:t>
      </w:r>
      <w:r>
        <w:tab/>
      </w:r>
      <w:r>
        <w:fldChar w:fldCharType="begin"/>
      </w:r>
      <w:r>
        <w:instrText xml:space="preserve"> PAGEREF _Toc3415 \h </w:instrText>
      </w:r>
      <w:r>
        <w:fldChar w:fldCharType="separate"/>
      </w:r>
      <w:r>
        <w:t>17</w:t>
      </w:r>
      <w:r>
        <w:fldChar w:fldCharType="end"/>
      </w:r>
      <w:r>
        <w:rPr>
          <w:rFonts w:hint="eastAsia"/>
          <w:szCs w:val="24"/>
          <w:lang w:eastAsia="zh-CN"/>
        </w:rPr>
        <w:fldChar w:fldCharType="end"/>
      </w:r>
    </w:p>
    <w:p w14:paraId="603A9B54">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_Toc4077 </w:instrText>
      </w:r>
      <w:r>
        <w:rPr>
          <w:rFonts w:hint="eastAsia"/>
          <w:szCs w:val="24"/>
          <w:lang w:eastAsia="zh-CN"/>
        </w:rPr>
        <w:fldChar w:fldCharType="separate"/>
      </w:r>
      <w:r>
        <w:rPr>
          <w:rFonts w:hint="eastAsia"/>
        </w:rPr>
        <w:t>（</w:t>
      </w:r>
      <w:r>
        <w:rPr>
          <w:rFonts w:hint="eastAsia"/>
          <w:lang w:val="en-US" w:eastAsia="zh-CN"/>
        </w:rPr>
        <w:t>三</w:t>
      </w:r>
      <w:r>
        <w:rPr>
          <w:rFonts w:hint="eastAsia"/>
        </w:rPr>
        <w:t>）资金到位不及时</w:t>
      </w:r>
      <w:r>
        <w:tab/>
      </w:r>
      <w:r>
        <w:fldChar w:fldCharType="begin"/>
      </w:r>
      <w:r>
        <w:instrText xml:space="preserve"> PAGEREF _Toc4077 \h </w:instrText>
      </w:r>
      <w:r>
        <w:fldChar w:fldCharType="separate"/>
      </w:r>
      <w:r>
        <w:t>17</w:t>
      </w:r>
      <w:r>
        <w:fldChar w:fldCharType="end"/>
      </w:r>
      <w:r>
        <w:rPr>
          <w:rFonts w:hint="eastAsia"/>
          <w:szCs w:val="24"/>
          <w:lang w:eastAsia="zh-CN"/>
        </w:rPr>
        <w:fldChar w:fldCharType="end"/>
      </w:r>
    </w:p>
    <w:p w14:paraId="40EB2B14">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_Toc27917 </w:instrText>
      </w:r>
      <w:r>
        <w:rPr>
          <w:rFonts w:hint="eastAsia"/>
          <w:szCs w:val="24"/>
          <w:lang w:eastAsia="zh-CN"/>
        </w:rPr>
        <w:fldChar w:fldCharType="separate"/>
      </w:r>
      <w:r>
        <w:rPr>
          <w:rFonts w:hint="eastAsia"/>
        </w:rPr>
        <w:t>（</w:t>
      </w:r>
      <w:r>
        <w:rPr>
          <w:rFonts w:hint="eastAsia"/>
          <w:lang w:val="en-US" w:eastAsia="zh-CN"/>
        </w:rPr>
        <w:t>四</w:t>
      </w:r>
      <w:r>
        <w:rPr>
          <w:rFonts w:hint="eastAsia"/>
        </w:rPr>
        <w:t>）</w:t>
      </w:r>
      <w:r>
        <w:rPr>
          <w:rFonts w:hint="eastAsia"/>
          <w:lang w:val="en-US" w:eastAsia="zh-CN"/>
        </w:rPr>
        <w:t>项目后续管理</w:t>
      </w:r>
      <w:r>
        <w:rPr>
          <w:rFonts w:hint="eastAsia"/>
        </w:rPr>
        <w:t>不到位</w:t>
      </w:r>
      <w:r>
        <w:tab/>
      </w:r>
      <w:r>
        <w:fldChar w:fldCharType="begin"/>
      </w:r>
      <w:r>
        <w:instrText xml:space="preserve"> PAGEREF _Toc27917 \h </w:instrText>
      </w:r>
      <w:r>
        <w:fldChar w:fldCharType="separate"/>
      </w:r>
      <w:r>
        <w:t>17</w:t>
      </w:r>
      <w:r>
        <w:fldChar w:fldCharType="end"/>
      </w:r>
      <w:r>
        <w:rPr>
          <w:rFonts w:hint="eastAsia"/>
          <w:szCs w:val="24"/>
          <w:lang w:eastAsia="zh-CN"/>
        </w:rPr>
        <w:fldChar w:fldCharType="end"/>
      </w:r>
    </w:p>
    <w:p w14:paraId="4AFBD2DF">
      <w:pPr>
        <w:pStyle w:val="10"/>
        <w:tabs>
          <w:tab w:val="right" w:leader="dot" w:pos="8844"/>
          <w:tab w:val="clear" w:pos="8834"/>
        </w:tabs>
      </w:pPr>
      <w:r>
        <w:rPr>
          <w:rFonts w:hint="eastAsia"/>
          <w:szCs w:val="24"/>
          <w:lang w:eastAsia="zh-CN"/>
        </w:rPr>
        <w:fldChar w:fldCharType="begin"/>
      </w:r>
      <w:r>
        <w:rPr>
          <w:rFonts w:hint="eastAsia"/>
          <w:szCs w:val="24"/>
          <w:lang w:eastAsia="zh-CN"/>
        </w:rPr>
        <w:instrText xml:space="preserve"> HYPERLINK \l _Toc31416 </w:instrText>
      </w:r>
      <w:r>
        <w:rPr>
          <w:rFonts w:hint="eastAsia"/>
          <w:szCs w:val="24"/>
          <w:lang w:eastAsia="zh-CN"/>
        </w:rPr>
        <w:fldChar w:fldCharType="separate"/>
      </w:r>
      <w:r>
        <w:rPr>
          <w:rFonts w:hint="eastAsia"/>
        </w:rPr>
        <w:t>六、有关建议措施</w:t>
      </w:r>
      <w:r>
        <w:tab/>
      </w:r>
      <w:r>
        <w:fldChar w:fldCharType="begin"/>
      </w:r>
      <w:r>
        <w:instrText xml:space="preserve"> PAGEREF _Toc31416 \h </w:instrText>
      </w:r>
      <w:r>
        <w:fldChar w:fldCharType="separate"/>
      </w:r>
      <w:r>
        <w:t>17</w:t>
      </w:r>
      <w:r>
        <w:fldChar w:fldCharType="end"/>
      </w:r>
      <w:r>
        <w:rPr>
          <w:rFonts w:hint="eastAsia"/>
          <w:szCs w:val="24"/>
          <w:lang w:eastAsia="zh-CN"/>
        </w:rPr>
        <w:fldChar w:fldCharType="end"/>
      </w:r>
    </w:p>
    <w:p w14:paraId="26C70A83">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_Toc10114 </w:instrText>
      </w:r>
      <w:r>
        <w:rPr>
          <w:rFonts w:hint="eastAsia"/>
          <w:szCs w:val="24"/>
          <w:lang w:eastAsia="zh-CN"/>
        </w:rPr>
        <w:fldChar w:fldCharType="separate"/>
      </w:r>
      <w:r>
        <w:rPr>
          <w:rFonts w:hint="eastAsia"/>
        </w:rPr>
        <w:t>（一）规范项目绩效目标管理</w:t>
      </w:r>
      <w:r>
        <w:tab/>
      </w:r>
      <w:r>
        <w:fldChar w:fldCharType="begin"/>
      </w:r>
      <w:r>
        <w:instrText xml:space="preserve"> PAGEREF _Toc10114 \h </w:instrText>
      </w:r>
      <w:r>
        <w:fldChar w:fldCharType="separate"/>
      </w:r>
      <w:r>
        <w:t>17</w:t>
      </w:r>
      <w:r>
        <w:fldChar w:fldCharType="end"/>
      </w:r>
      <w:r>
        <w:rPr>
          <w:rFonts w:hint="eastAsia"/>
          <w:szCs w:val="24"/>
          <w:lang w:eastAsia="zh-CN"/>
        </w:rPr>
        <w:fldChar w:fldCharType="end"/>
      </w:r>
    </w:p>
    <w:p w14:paraId="5C764476">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_Toc4341 </w:instrText>
      </w:r>
      <w:r>
        <w:rPr>
          <w:rFonts w:hint="eastAsia"/>
          <w:szCs w:val="24"/>
          <w:lang w:eastAsia="zh-CN"/>
        </w:rPr>
        <w:fldChar w:fldCharType="separate"/>
      </w:r>
      <w:r>
        <w:rPr>
          <w:rFonts w:hint="eastAsia"/>
        </w:rPr>
        <w:t>（二）</w:t>
      </w:r>
      <w:r>
        <w:rPr>
          <w:rFonts w:hint="eastAsia"/>
          <w:lang w:val="en-US" w:eastAsia="zh-CN"/>
        </w:rPr>
        <w:t>规范预算编制</w:t>
      </w:r>
      <w:r>
        <w:tab/>
      </w:r>
      <w:r>
        <w:fldChar w:fldCharType="begin"/>
      </w:r>
      <w:r>
        <w:instrText xml:space="preserve"> PAGEREF _Toc4341 \h </w:instrText>
      </w:r>
      <w:r>
        <w:fldChar w:fldCharType="separate"/>
      </w:r>
      <w:r>
        <w:t>18</w:t>
      </w:r>
      <w:r>
        <w:fldChar w:fldCharType="end"/>
      </w:r>
      <w:r>
        <w:rPr>
          <w:rFonts w:hint="eastAsia"/>
          <w:szCs w:val="24"/>
          <w:lang w:eastAsia="zh-CN"/>
        </w:rPr>
        <w:fldChar w:fldCharType="end"/>
      </w:r>
    </w:p>
    <w:p w14:paraId="07A0B261">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_Toc29082 </w:instrText>
      </w:r>
      <w:r>
        <w:rPr>
          <w:rFonts w:hint="eastAsia"/>
          <w:szCs w:val="24"/>
          <w:lang w:eastAsia="zh-CN"/>
        </w:rPr>
        <w:fldChar w:fldCharType="separate"/>
      </w:r>
      <w:r>
        <w:rPr>
          <w:rFonts w:hint="eastAsia"/>
        </w:rPr>
        <w:t>（</w:t>
      </w:r>
      <w:r>
        <w:rPr>
          <w:rFonts w:hint="eastAsia"/>
          <w:lang w:val="en-US" w:eastAsia="zh-CN"/>
        </w:rPr>
        <w:t>三</w:t>
      </w:r>
      <w:r>
        <w:rPr>
          <w:rFonts w:hint="eastAsia"/>
        </w:rPr>
        <w:t>）及时督促资金到位</w:t>
      </w:r>
      <w:r>
        <w:tab/>
      </w:r>
      <w:r>
        <w:fldChar w:fldCharType="begin"/>
      </w:r>
      <w:r>
        <w:instrText xml:space="preserve"> PAGEREF _Toc29082 \h </w:instrText>
      </w:r>
      <w:r>
        <w:fldChar w:fldCharType="separate"/>
      </w:r>
      <w:r>
        <w:t>18</w:t>
      </w:r>
      <w:r>
        <w:fldChar w:fldCharType="end"/>
      </w:r>
      <w:r>
        <w:rPr>
          <w:rFonts w:hint="eastAsia"/>
          <w:szCs w:val="24"/>
          <w:lang w:eastAsia="zh-CN"/>
        </w:rPr>
        <w:fldChar w:fldCharType="end"/>
      </w:r>
    </w:p>
    <w:p w14:paraId="16D4D643">
      <w:pPr>
        <w:pStyle w:val="11"/>
        <w:tabs>
          <w:tab w:val="right" w:leader="dot" w:pos="8844"/>
        </w:tabs>
      </w:pPr>
      <w:r>
        <w:rPr>
          <w:rFonts w:hint="eastAsia"/>
          <w:szCs w:val="24"/>
          <w:lang w:eastAsia="zh-CN"/>
        </w:rPr>
        <w:fldChar w:fldCharType="begin"/>
      </w:r>
      <w:r>
        <w:rPr>
          <w:rFonts w:hint="eastAsia"/>
          <w:szCs w:val="24"/>
          <w:lang w:eastAsia="zh-CN"/>
        </w:rPr>
        <w:instrText xml:space="preserve"> HYPERLINK \l _Toc29535 </w:instrText>
      </w:r>
      <w:r>
        <w:rPr>
          <w:rFonts w:hint="eastAsia"/>
          <w:szCs w:val="24"/>
          <w:lang w:eastAsia="zh-CN"/>
        </w:rPr>
        <w:fldChar w:fldCharType="separate"/>
      </w:r>
      <w:r>
        <w:rPr>
          <w:rFonts w:hint="eastAsia"/>
        </w:rPr>
        <w:t>（</w:t>
      </w:r>
      <w:r>
        <w:rPr>
          <w:rFonts w:hint="eastAsia"/>
          <w:lang w:val="en-US" w:eastAsia="zh-CN"/>
        </w:rPr>
        <w:t>四</w:t>
      </w:r>
      <w:r>
        <w:rPr>
          <w:rFonts w:hint="eastAsia"/>
        </w:rPr>
        <w:t>）</w:t>
      </w:r>
      <w:r>
        <w:rPr>
          <w:rFonts w:hint="eastAsia"/>
          <w:lang w:val="en-US" w:eastAsia="zh-CN"/>
        </w:rPr>
        <w:t>促进可持续影响</w:t>
      </w:r>
      <w:r>
        <w:tab/>
      </w:r>
      <w:r>
        <w:fldChar w:fldCharType="begin"/>
      </w:r>
      <w:r>
        <w:instrText xml:space="preserve"> PAGEREF _Toc29535 \h </w:instrText>
      </w:r>
      <w:r>
        <w:fldChar w:fldCharType="separate"/>
      </w:r>
      <w:r>
        <w:t>18</w:t>
      </w:r>
      <w:r>
        <w:fldChar w:fldCharType="end"/>
      </w:r>
      <w:r>
        <w:rPr>
          <w:rFonts w:hint="eastAsia"/>
          <w:szCs w:val="24"/>
          <w:lang w:eastAsia="zh-CN"/>
        </w:rPr>
        <w:fldChar w:fldCharType="end"/>
      </w:r>
    </w:p>
    <w:p w14:paraId="3073244A">
      <w:pPr>
        <w:pStyle w:val="10"/>
        <w:tabs>
          <w:tab w:val="right" w:leader="dot" w:pos="8844"/>
          <w:tab w:val="clear" w:pos="8834"/>
        </w:tabs>
        <w:rPr>
          <w:rFonts w:hint="default"/>
          <w:lang w:val="en-US"/>
        </w:rPr>
      </w:pPr>
      <w:r>
        <w:rPr>
          <w:rFonts w:hint="eastAsia"/>
          <w:szCs w:val="24"/>
          <w:lang w:eastAsia="zh-CN"/>
        </w:rPr>
        <w:fldChar w:fldCharType="begin"/>
      </w:r>
      <w:r>
        <w:rPr>
          <w:rFonts w:hint="eastAsia"/>
          <w:szCs w:val="24"/>
          <w:lang w:eastAsia="zh-CN"/>
        </w:rPr>
        <w:instrText xml:space="preserve"> HYPERLINK \l _Toc21220 </w:instrText>
      </w:r>
      <w:r>
        <w:rPr>
          <w:rFonts w:hint="eastAsia"/>
          <w:szCs w:val="24"/>
          <w:lang w:eastAsia="zh-CN"/>
        </w:rPr>
        <w:fldChar w:fldCharType="separate"/>
      </w:r>
      <w:r>
        <w:rPr>
          <w:rFonts w:hint="eastAsia"/>
        </w:rPr>
        <w:t>附件一 辰溪县田湾镇乌金村溪堤建设项目绩效评价指标体系及评分表</w:t>
      </w:r>
      <w:r>
        <w:tab/>
      </w:r>
      <w:r>
        <w:rPr>
          <w:rFonts w:hint="eastAsia"/>
          <w:lang w:val="en-US" w:eastAsia="zh-CN"/>
        </w:rPr>
        <w:t>2</w:t>
      </w:r>
      <w:r>
        <w:rPr>
          <w:rFonts w:hint="eastAsia"/>
          <w:szCs w:val="24"/>
          <w:lang w:eastAsia="zh-CN"/>
        </w:rPr>
        <w:fldChar w:fldCharType="end"/>
      </w:r>
      <w:r>
        <w:rPr>
          <w:rFonts w:hint="eastAsia"/>
          <w:szCs w:val="24"/>
          <w:lang w:val="en-US" w:eastAsia="zh-CN"/>
        </w:rPr>
        <w:t>0</w:t>
      </w:r>
    </w:p>
    <w:p w14:paraId="7DA9A863">
      <w:pPr>
        <w:pStyle w:val="10"/>
        <w:tabs>
          <w:tab w:val="right" w:leader="dot" w:pos="8844"/>
          <w:tab w:val="clear" w:pos="8834"/>
        </w:tabs>
        <w:rPr>
          <w:rFonts w:hint="default"/>
          <w:lang w:val="en-US"/>
        </w:rPr>
      </w:pPr>
      <w:r>
        <w:rPr>
          <w:rFonts w:hint="eastAsia"/>
          <w:szCs w:val="24"/>
          <w:lang w:eastAsia="zh-CN"/>
        </w:rPr>
        <w:fldChar w:fldCharType="begin"/>
      </w:r>
      <w:r>
        <w:rPr>
          <w:rFonts w:hint="eastAsia"/>
          <w:szCs w:val="24"/>
          <w:lang w:eastAsia="zh-CN"/>
        </w:rPr>
        <w:instrText xml:space="preserve"> HYPERLINK \l _Toc22019 </w:instrText>
      </w:r>
      <w:r>
        <w:rPr>
          <w:rFonts w:hint="eastAsia"/>
          <w:szCs w:val="24"/>
          <w:lang w:eastAsia="zh-CN"/>
        </w:rPr>
        <w:fldChar w:fldCharType="separate"/>
      </w:r>
      <w:r>
        <w:rPr>
          <w:rFonts w:hint="eastAsia" w:cs="Times New Roman"/>
        </w:rPr>
        <w:t>附件二 项目现场及调研过程图（部分）</w:t>
      </w:r>
      <w:r>
        <w:tab/>
      </w:r>
      <w:r>
        <w:rPr>
          <w:rFonts w:hint="eastAsia"/>
          <w:lang w:val="en-US" w:eastAsia="zh-CN"/>
        </w:rPr>
        <w:t>3</w:t>
      </w:r>
      <w:r>
        <w:rPr>
          <w:rFonts w:hint="eastAsia"/>
          <w:szCs w:val="24"/>
          <w:lang w:eastAsia="zh-CN"/>
        </w:rPr>
        <w:fldChar w:fldCharType="end"/>
      </w:r>
      <w:r>
        <w:rPr>
          <w:rFonts w:hint="eastAsia"/>
          <w:szCs w:val="24"/>
          <w:lang w:val="en-US" w:eastAsia="zh-CN"/>
        </w:rPr>
        <w:t>1</w:t>
      </w:r>
    </w:p>
    <w:p w14:paraId="22A49772">
      <w:pPr>
        <w:pStyle w:val="10"/>
        <w:tabs>
          <w:tab w:val="right" w:leader="dot" w:pos="8844"/>
          <w:tab w:val="clear" w:pos="8834"/>
        </w:tabs>
        <w:rPr>
          <w:rFonts w:hint="default"/>
          <w:lang w:val="en-US"/>
        </w:rPr>
      </w:pPr>
      <w:r>
        <w:rPr>
          <w:rFonts w:hint="eastAsia"/>
          <w:szCs w:val="24"/>
          <w:lang w:eastAsia="zh-CN"/>
        </w:rPr>
        <w:fldChar w:fldCharType="begin"/>
      </w:r>
      <w:r>
        <w:rPr>
          <w:rFonts w:hint="eastAsia"/>
          <w:szCs w:val="24"/>
          <w:lang w:eastAsia="zh-CN"/>
        </w:rPr>
        <w:instrText xml:space="preserve"> HYPERLINK \l _Toc14096 </w:instrText>
      </w:r>
      <w:r>
        <w:rPr>
          <w:rFonts w:hint="eastAsia"/>
          <w:szCs w:val="24"/>
          <w:lang w:eastAsia="zh-CN"/>
        </w:rPr>
        <w:fldChar w:fldCharType="separate"/>
      </w:r>
      <w:r>
        <w:rPr>
          <w:rFonts w:hint="eastAsia"/>
        </w:rPr>
        <w:t>附件三 满意度调</w:t>
      </w:r>
      <w:bookmarkStart w:id="66" w:name="_GoBack"/>
      <w:bookmarkEnd w:id="66"/>
      <w:r>
        <w:rPr>
          <w:rFonts w:hint="eastAsia"/>
        </w:rPr>
        <w:t>查评分表</w:t>
      </w:r>
      <w:r>
        <w:tab/>
      </w:r>
      <w:r>
        <w:rPr>
          <w:rFonts w:hint="eastAsia"/>
          <w:lang w:val="en-US" w:eastAsia="zh-CN"/>
        </w:rPr>
        <w:t>3</w:t>
      </w:r>
      <w:r>
        <w:rPr>
          <w:rFonts w:hint="eastAsia"/>
          <w:szCs w:val="24"/>
          <w:lang w:eastAsia="zh-CN"/>
        </w:rPr>
        <w:fldChar w:fldCharType="end"/>
      </w:r>
      <w:r>
        <w:rPr>
          <w:rFonts w:hint="eastAsia"/>
          <w:szCs w:val="24"/>
          <w:lang w:val="en-US" w:eastAsia="zh-CN"/>
        </w:rPr>
        <w:t>2</w:t>
      </w:r>
    </w:p>
    <w:p w14:paraId="35BF30E2">
      <w:pPr>
        <w:pStyle w:val="2"/>
        <w:rPr>
          <w:rFonts w:hint="eastAsia"/>
          <w:lang w:eastAsia="zh-CN"/>
        </w:rPr>
      </w:pPr>
      <w:r>
        <w:rPr>
          <w:rFonts w:hint="eastAsia"/>
          <w:szCs w:val="24"/>
          <w:lang w:eastAsia="zh-CN"/>
        </w:rPr>
        <w:fldChar w:fldCharType="end"/>
      </w:r>
    </w:p>
    <w:p w14:paraId="525D769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pPr>
    </w:p>
    <w:p w14:paraId="1E413D66">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rPr>
          <w:rFonts w:hint="eastAsia" w:ascii="仿宋_GB2312" w:hAnsi="仿宋_GB2312" w:eastAsia="仿宋_GB2312" w:cs="仿宋_GB2312"/>
          <w:b/>
          <w:sz w:val="24"/>
          <w:szCs w:val="24"/>
          <w:lang w:eastAsia="zh-CN"/>
        </w:rPr>
        <w:sectPr>
          <w:footerReference r:id="rId8" w:type="default"/>
          <w:pgSz w:w="11906" w:h="16838"/>
          <w:pgMar w:top="1440" w:right="1474" w:bottom="1440" w:left="1588" w:header="851" w:footer="992" w:gutter="0"/>
          <w:pgNumType w:fmt="upperRoman" w:start="1"/>
          <w:cols w:space="720" w:num="1"/>
          <w:docGrid w:type="lines" w:linePitch="312" w:charSpace="0"/>
        </w:sectPr>
      </w:pPr>
    </w:p>
    <w:p w14:paraId="4CBB640A">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lang w:eastAsia="zh-CN"/>
        </w:rPr>
        <w:drawing>
          <wp:inline distT="0" distB="0" distL="114300" distR="114300">
            <wp:extent cx="5611495" cy="927735"/>
            <wp:effectExtent l="0" t="0" r="12065" b="1905"/>
            <wp:docPr id="2" name="图片 1" descr="136200cae81562a0bbc34c49c7bcb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36200cae81562a0bbc34c49c7bcb9e"/>
                    <pic:cNvPicPr>
                      <a:picLocks noChangeAspect="1"/>
                    </pic:cNvPicPr>
                  </pic:nvPicPr>
                  <pic:blipFill>
                    <a:blip r:embed="rId11"/>
                    <a:stretch>
                      <a:fillRect/>
                    </a:stretch>
                  </pic:blipFill>
                  <pic:spPr>
                    <a:xfrm>
                      <a:off x="0" y="0"/>
                      <a:ext cx="5611495" cy="927735"/>
                    </a:xfrm>
                    <a:prstGeom prst="rect">
                      <a:avLst/>
                    </a:prstGeom>
                    <a:noFill/>
                    <a:ln>
                      <a:noFill/>
                    </a:ln>
                  </pic:spPr>
                </pic:pic>
              </a:graphicData>
            </a:graphic>
          </wp:inline>
        </w:drawing>
      </w:r>
    </w:p>
    <w:p w14:paraId="50A0CD72">
      <w:pPr>
        <w:spacing w:line="400" w:lineRule="exact"/>
        <w:jc w:val="center"/>
        <w:rPr>
          <w:rFonts w:hint="eastAsia" w:ascii="仿宋_GB2312" w:hAnsi="仿宋_GB2312" w:eastAsia="仿宋_GB2312" w:cs="仿宋_GB2312"/>
          <w:b/>
          <w:sz w:val="36"/>
        </w:rPr>
      </w:pPr>
    </w:p>
    <w:p w14:paraId="565CC041">
      <w:pPr>
        <w:spacing w:line="400" w:lineRule="exact"/>
        <w:jc w:val="center"/>
        <w:rPr>
          <w:rFonts w:hint="eastAsia" w:ascii="仿宋_GB2312" w:hAnsi="仿宋_GB2312" w:eastAsia="仿宋_GB2312" w:cs="仿宋_GB2312"/>
          <w:b/>
          <w:sz w:val="36"/>
        </w:rPr>
      </w:pPr>
    </w:p>
    <w:p w14:paraId="325A435D">
      <w:pPr>
        <w:keepNext w:val="0"/>
        <w:keepLines w:val="0"/>
        <w:pageBreakBefore w:val="0"/>
        <w:widowControl w:val="0"/>
        <w:kinsoku/>
        <w:wordWrap/>
        <w:overflowPunct/>
        <w:topLinePunct w:val="0"/>
        <w:bidi w:val="0"/>
        <w:snapToGrid/>
        <w:spacing w:line="400" w:lineRule="exact"/>
        <w:ind w:firstLine="0" w:firstLineChars="0"/>
        <w:jc w:val="center"/>
        <w:textAlignment w:val="auto"/>
        <w:rPr>
          <w:rFonts w:hint="eastAsia" w:ascii="仿宋_GB2312" w:hAnsi="仿宋_GB2312" w:eastAsia="仿宋_GB2312" w:cs="仿宋_GB2312"/>
          <w:b/>
          <w:sz w:val="36"/>
        </w:rPr>
      </w:pPr>
    </w:p>
    <w:p w14:paraId="71E81D47">
      <w:pPr>
        <w:keepNext w:val="0"/>
        <w:keepLines w:val="0"/>
        <w:pageBreakBefore w:val="0"/>
        <w:widowControl w:val="0"/>
        <w:kinsoku/>
        <w:wordWrap/>
        <w:overflowPunct/>
        <w:topLinePunct w:val="0"/>
        <w:bidi w:val="0"/>
        <w:snapToGrid/>
        <w:ind w:firstLine="0" w:firstLineChars="0"/>
        <w:jc w:val="center"/>
        <w:textAlignment w:val="auto"/>
        <w:outlineLvl w:val="0"/>
        <w:rPr>
          <w:rFonts w:hint="eastAsia" w:ascii="仿宋_GB2312" w:hAnsi="仿宋_GB2312" w:eastAsia="仿宋_GB2312" w:cs="仿宋_GB2312"/>
          <w:b/>
          <w:sz w:val="44"/>
          <w:szCs w:val="44"/>
        </w:rPr>
      </w:pPr>
      <w:bookmarkStart w:id="3" w:name="_Toc6404"/>
      <w:bookmarkStart w:id="4" w:name="_Toc30679"/>
      <w:r>
        <w:rPr>
          <w:rFonts w:hint="eastAsia" w:ascii="仿宋_GB2312" w:hAnsi="仿宋_GB2312" w:eastAsia="仿宋_GB2312" w:cs="仿宋_GB2312"/>
          <w:b/>
          <w:sz w:val="44"/>
          <w:szCs w:val="44"/>
        </w:rPr>
        <w:t>辰溪县田湾镇乌金村溪堤建设项目</w:t>
      </w:r>
      <w:bookmarkEnd w:id="3"/>
      <w:bookmarkEnd w:id="4"/>
    </w:p>
    <w:p w14:paraId="1527A6D6">
      <w:pPr>
        <w:keepNext w:val="0"/>
        <w:keepLines w:val="0"/>
        <w:pageBreakBefore w:val="0"/>
        <w:widowControl w:val="0"/>
        <w:kinsoku/>
        <w:wordWrap/>
        <w:overflowPunct/>
        <w:topLinePunct w:val="0"/>
        <w:bidi w:val="0"/>
        <w:snapToGrid/>
        <w:ind w:firstLine="0" w:firstLineChars="0"/>
        <w:jc w:val="center"/>
        <w:textAlignment w:val="auto"/>
        <w:outlineLvl w:val="0"/>
        <w:rPr>
          <w:rFonts w:hint="eastAsia" w:ascii="仿宋_GB2312" w:hAnsi="仿宋_GB2312" w:eastAsia="仿宋_GB2312" w:cs="仿宋_GB2312"/>
          <w:b/>
          <w:sz w:val="44"/>
          <w:szCs w:val="44"/>
        </w:rPr>
      </w:pPr>
      <w:bookmarkStart w:id="5" w:name="_Toc31687"/>
      <w:bookmarkStart w:id="6" w:name="_Toc29958"/>
      <w:r>
        <w:rPr>
          <w:rFonts w:hint="eastAsia" w:ascii="仿宋_GB2312" w:hAnsi="仿宋_GB2312" w:eastAsia="仿宋_GB2312" w:cs="仿宋_GB2312"/>
          <w:b/>
          <w:sz w:val="44"/>
          <w:szCs w:val="44"/>
        </w:rPr>
        <w:t>专项资金绩效评价报告</w:t>
      </w:r>
      <w:bookmarkEnd w:id="5"/>
      <w:bookmarkEnd w:id="6"/>
    </w:p>
    <w:p w14:paraId="313C982D">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rPr>
          <w:rFonts w:hint="eastAsia" w:ascii="仿宋_GB2312" w:hAnsi="仿宋_GB2312" w:eastAsia="仿宋_GB2312" w:cs="仿宋_GB2312"/>
          <w:sz w:val="32"/>
          <w:szCs w:val="32"/>
        </w:rPr>
      </w:pPr>
    </w:p>
    <w:p w14:paraId="407A91D1">
      <w:pPr>
        <w:keepNext w:val="0"/>
        <w:keepLines w:val="0"/>
        <w:pageBreakBefore w:val="0"/>
        <w:widowControl w:val="0"/>
        <w:kinsoku/>
        <w:wordWrap/>
        <w:overflowPunct/>
        <w:topLinePunct w:val="0"/>
        <w:bidi w:val="0"/>
        <w:adjustRightInd w:val="0"/>
        <w:snapToGrid/>
        <w:ind w:firstLine="0" w:firstLineChars="0"/>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highlight w:val="yellow"/>
        </w:rPr>
        <w:t>湘正德绩评字[202</w:t>
      </w:r>
      <w:r>
        <w:rPr>
          <w:rFonts w:hint="eastAsia" w:ascii="仿宋_GB2312" w:hAnsi="仿宋_GB2312" w:cs="仿宋_GB2312"/>
          <w:color w:val="000000"/>
          <w:kern w:val="0"/>
          <w:sz w:val="28"/>
          <w:szCs w:val="28"/>
          <w:highlight w:val="yellow"/>
          <w:lang w:val="en-US" w:eastAsia="zh-CN"/>
        </w:rPr>
        <w:t>4</w:t>
      </w:r>
      <w:r>
        <w:rPr>
          <w:rFonts w:hint="eastAsia" w:ascii="仿宋_GB2312" w:hAnsi="仿宋_GB2312" w:eastAsia="仿宋_GB2312" w:cs="仿宋_GB2312"/>
          <w:color w:val="000000"/>
          <w:kern w:val="0"/>
          <w:sz w:val="28"/>
          <w:szCs w:val="28"/>
          <w:highlight w:val="yellow"/>
        </w:rPr>
        <w:t>]第</w:t>
      </w:r>
      <w:r>
        <w:rPr>
          <w:rFonts w:hint="eastAsia" w:ascii="仿宋_GB2312" w:hAnsi="仿宋_GB2312" w:cs="仿宋_GB2312"/>
          <w:color w:val="000000"/>
          <w:kern w:val="0"/>
          <w:sz w:val="28"/>
          <w:szCs w:val="28"/>
          <w:highlight w:val="yellow"/>
          <w:lang w:val="en-US" w:eastAsia="zh-CN"/>
        </w:rPr>
        <w:t>xxx</w:t>
      </w:r>
      <w:r>
        <w:rPr>
          <w:rFonts w:hint="eastAsia" w:ascii="仿宋_GB2312" w:hAnsi="仿宋_GB2312" w:eastAsia="仿宋_GB2312" w:cs="仿宋_GB2312"/>
          <w:color w:val="000000"/>
          <w:kern w:val="0"/>
          <w:sz w:val="28"/>
          <w:szCs w:val="28"/>
          <w:highlight w:val="yellow"/>
        </w:rPr>
        <w:t>号</w:t>
      </w:r>
    </w:p>
    <w:p w14:paraId="6B426A4B">
      <w:pPr>
        <w:adjustRightInd w:val="0"/>
        <w:ind w:left="0" w:leftChars="0" w:firstLine="0" w:firstLineChars="0"/>
        <w:rPr>
          <w:rFonts w:hint="eastAsia" w:ascii="仿宋_GB2312" w:hAnsi="仿宋_GB2312" w:eastAsia="仿宋_GB2312" w:cs="仿宋_GB2312"/>
          <w:b/>
          <w:bCs w:val="0"/>
          <w:color w:val="000000"/>
          <w:kern w:val="0"/>
          <w:sz w:val="32"/>
          <w:szCs w:val="28"/>
        </w:rPr>
      </w:pPr>
      <w:bookmarkStart w:id="7" w:name="_Hlk87020975"/>
      <w:r>
        <w:rPr>
          <w:rFonts w:ascii="仿宋_GB2312" w:hAnsi="仿宋_GB2312" w:eastAsia="仿宋_GB2312" w:cs="仿宋_GB2312"/>
          <w:b/>
          <w:bCs w:val="0"/>
          <w:kern w:val="0"/>
          <w:sz w:val="32"/>
          <w:szCs w:val="28"/>
        </w:rPr>
        <w:t>辰溪县财政局：</w:t>
      </w:r>
    </w:p>
    <w:p w14:paraId="7B132E18">
      <w:pPr>
        <w:adjustRightInd w:val="0"/>
        <w:ind w:firstLine="640" w:firstLineChars="200"/>
        <w:rPr>
          <w:rFonts w:hint="eastAsia" w:ascii="仿宋_GB2312" w:hAnsi="仿宋_GB2312" w:eastAsia="仿宋_GB2312" w:cs="仿宋_GB2312"/>
          <w:color w:val="000000"/>
          <w:kern w:val="0"/>
          <w:sz w:val="32"/>
          <w:szCs w:val="28"/>
        </w:rPr>
      </w:pPr>
      <w:r>
        <w:rPr>
          <w:rFonts w:hint="eastAsia" w:ascii="仿宋_GB2312" w:hAnsi="仿宋_GB2312" w:eastAsia="仿宋_GB2312" w:cs="仿宋_GB2312"/>
          <w:color w:val="000000"/>
          <w:kern w:val="0"/>
          <w:sz w:val="32"/>
          <w:szCs w:val="28"/>
        </w:rPr>
        <w:t>根据《中共中央 国务院关于全面实施预算绩效管理的意见》（中发〔2018〕34号）、《项目支出绩效评价管理办法》（财预〔2020〕10号）、《湖南省财政厅关于印发〈湖南省预算支出绩效评价管理办法〉的通知》（湘财绩〔2020〕7号）等文件要求，湖南正德联合会计师事务所（普通合伙）受辰溪县财政局委托，</w:t>
      </w:r>
      <w:r>
        <w:rPr>
          <w:rFonts w:hint="eastAsia" w:ascii="仿宋_GB2312" w:hAnsi="仿宋_GB2312" w:eastAsia="仿宋_GB2312" w:cs="仿宋_GB2312"/>
          <w:color w:val="000000"/>
          <w:kern w:val="0"/>
          <w:sz w:val="32"/>
          <w:szCs w:val="28"/>
          <w:highlight w:val="none"/>
        </w:rPr>
        <w:t>于202</w:t>
      </w:r>
      <w:r>
        <w:rPr>
          <w:rFonts w:hint="eastAsia" w:ascii="仿宋_GB2312" w:hAnsi="仿宋_GB2312" w:cs="仿宋_GB2312"/>
          <w:color w:val="000000"/>
          <w:kern w:val="0"/>
          <w:sz w:val="32"/>
          <w:szCs w:val="28"/>
          <w:highlight w:val="none"/>
          <w:lang w:val="en-US" w:eastAsia="zh-CN"/>
        </w:rPr>
        <w:t>4</w:t>
      </w:r>
      <w:r>
        <w:rPr>
          <w:rFonts w:hint="eastAsia" w:ascii="仿宋_GB2312" w:hAnsi="仿宋_GB2312" w:eastAsia="仿宋_GB2312" w:cs="仿宋_GB2312"/>
          <w:color w:val="000000"/>
          <w:kern w:val="0"/>
          <w:sz w:val="32"/>
          <w:szCs w:val="28"/>
          <w:highlight w:val="none"/>
        </w:rPr>
        <w:t>年</w:t>
      </w:r>
      <w:r>
        <w:rPr>
          <w:rFonts w:hint="eastAsia" w:ascii="仿宋_GB2312" w:hAnsi="仿宋_GB2312" w:cs="仿宋_GB2312"/>
          <w:color w:val="000000"/>
          <w:kern w:val="0"/>
          <w:sz w:val="32"/>
          <w:szCs w:val="28"/>
          <w:highlight w:val="none"/>
          <w:lang w:val="en-US" w:eastAsia="zh-CN"/>
        </w:rPr>
        <w:t>8</w:t>
      </w:r>
      <w:r>
        <w:rPr>
          <w:rFonts w:hint="eastAsia" w:ascii="仿宋_GB2312" w:hAnsi="仿宋_GB2312" w:eastAsia="仿宋_GB2312" w:cs="仿宋_GB2312"/>
          <w:color w:val="000000"/>
          <w:kern w:val="0"/>
          <w:sz w:val="32"/>
          <w:szCs w:val="28"/>
          <w:highlight w:val="none"/>
        </w:rPr>
        <w:t>月2</w:t>
      </w:r>
      <w:r>
        <w:rPr>
          <w:rFonts w:hint="eastAsia" w:ascii="仿宋_GB2312" w:hAnsi="仿宋_GB2312" w:cs="仿宋_GB2312"/>
          <w:color w:val="000000"/>
          <w:kern w:val="0"/>
          <w:sz w:val="32"/>
          <w:szCs w:val="28"/>
          <w:highlight w:val="none"/>
          <w:lang w:val="en-US" w:eastAsia="zh-CN"/>
        </w:rPr>
        <w:t>1</w:t>
      </w:r>
      <w:r>
        <w:rPr>
          <w:rFonts w:hint="eastAsia" w:ascii="仿宋_GB2312" w:hAnsi="仿宋_GB2312" w:eastAsia="仿宋_GB2312" w:cs="仿宋_GB2312"/>
          <w:color w:val="000000"/>
          <w:kern w:val="0"/>
          <w:sz w:val="32"/>
          <w:szCs w:val="28"/>
          <w:highlight w:val="none"/>
        </w:rPr>
        <w:t>日至</w:t>
      </w:r>
      <w:r>
        <w:rPr>
          <w:rFonts w:hint="eastAsia" w:ascii="仿宋_GB2312" w:hAnsi="仿宋_GB2312" w:cs="仿宋_GB2312"/>
          <w:color w:val="000000"/>
          <w:kern w:val="0"/>
          <w:sz w:val="32"/>
          <w:szCs w:val="28"/>
          <w:highlight w:val="none"/>
          <w:lang w:val="en-US" w:eastAsia="zh-CN"/>
        </w:rPr>
        <w:t>9</w:t>
      </w:r>
      <w:r>
        <w:rPr>
          <w:rFonts w:hint="eastAsia" w:ascii="仿宋_GB2312" w:hAnsi="仿宋_GB2312" w:eastAsia="仿宋_GB2312" w:cs="仿宋_GB2312"/>
          <w:color w:val="000000"/>
          <w:kern w:val="0"/>
          <w:sz w:val="32"/>
          <w:szCs w:val="28"/>
          <w:highlight w:val="none"/>
        </w:rPr>
        <w:t>月</w:t>
      </w:r>
      <w:r>
        <w:rPr>
          <w:rFonts w:hint="eastAsia" w:ascii="仿宋_GB2312" w:hAnsi="仿宋_GB2312" w:cs="仿宋_GB2312"/>
          <w:color w:val="000000"/>
          <w:kern w:val="0"/>
          <w:sz w:val="32"/>
          <w:szCs w:val="28"/>
          <w:highlight w:val="none"/>
          <w:lang w:eastAsia="zh-CN"/>
        </w:rPr>
        <w:t>24日</w:t>
      </w:r>
      <w:r>
        <w:rPr>
          <w:rFonts w:hint="eastAsia" w:ascii="仿宋_GB2312" w:hAnsi="仿宋_GB2312" w:eastAsia="仿宋_GB2312" w:cs="仿宋_GB2312"/>
          <w:color w:val="000000"/>
          <w:kern w:val="0"/>
          <w:sz w:val="32"/>
          <w:szCs w:val="28"/>
          <w:highlight w:val="none"/>
        </w:rPr>
        <w:t>对</w:t>
      </w:r>
      <w:r>
        <w:rPr>
          <w:rFonts w:hint="eastAsia" w:ascii="仿宋_GB2312" w:hAnsi="仿宋_GB2312" w:eastAsia="仿宋_GB2312" w:cs="仿宋_GB2312"/>
          <w:color w:val="000000"/>
          <w:kern w:val="0"/>
          <w:sz w:val="32"/>
          <w:szCs w:val="28"/>
        </w:rPr>
        <w:t>辰溪县田湾镇乌金村溪堤建设项目</w:t>
      </w:r>
      <w:r>
        <w:rPr>
          <w:rFonts w:hint="eastAsia" w:ascii="仿宋_GB2312" w:hAnsi="仿宋_GB2312" w:cs="仿宋_GB2312"/>
          <w:color w:val="000000"/>
          <w:kern w:val="0"/>
          <w:sz w:val="32"/>
          <w:szCs w:val="28"/>
          <w:lang w:eastAsia="zh-CN"/>
        </w:rPr>
        <w:t>（</w:t>
      </w:r>
      <w:r>
        <w:rPr>
          <w:rFonts w:hint="eastAsia" w:ascii="仿宋_GB2312" w:hAnsi="仿宋_GB2312" w:cs="仿宋_GB2312"/>
          <w:color w:val="000000"/>
          <w:kern w:val="0"/>
          <w:sz w:val="32"/>
          <w:szCs w:val="28"/>
          <w:lang w:val="en-US" w:eastAsia="zh-CN"/>
        </w:rPr>
        <w:t>以下简称“溪堤建设”）</w:t>
      </w:r>
      <w:r>
        <w:rPr>
          <w:rFonts w:hint="eastAsia" w:ascii="仿宋_GB2312" w:hAnsi="仿宋_GB2312" w:eastAsia="仿宋_GB2312" w:cs="仿宋_GB2312"/>
          <w:color w:val="000000"/>
          <w:kern w:val="0"/>
          <w:sz w:val="32"/>
          <w:szCs w:val="28"/>
        </w:rPr>
        <w:t>实施绩效评价，评价金额总计</w:t>
      </w:r>
      <w:r>
        <w:rPr>
          <w:rFonts w:hint="eastAsia" w:ascii="仿宋_GB2312" w:hAnsi="仿宋_GB2312" w:cs="仿宋_GB2312"/>
          <w:color w:val="000000"/>
          <w:kern w:val="0"/>
          <w:sz w:val="32"/>
          <w:szCs w:val="28"/>
          <w:lang w:val="en-US" w:eastAsia="zh-CN"/>
        </w:rPr>
        <w:t>366.49</w:t>
      </w:r>
      <w:r>
        <w:rPr>
          <w:rFonts w:hint="eastAsia" w:ascii="仿宋_GB2312" w:hAnsi="仿宋_GB2312" w:eastAsia="仿宋_GB2312" w:cs="仿宋_GB2312"/>
          <w:color w:val="000000"/>
          <w:kern w:val="0"/>
          <w:sz w:val="32"/>
          <w:szCs w:val="28"/>
        </w:rPr>
        <w:t>万元。现将绩效评价情况报告如下：</w:t>
      </w:r>
    </w:p>
    <w:bookmarkEnd w:id="7"/>
    <w:p w14:paraId="7CC717AB">
      <w:pPr>
        <w:pStyle w:val="3"/>
        <w:bidi w:val="0"/>
        <w:rPr>
          <w:rFonts w:hint="eastAsia"/>
        </w:rPr>
        <w:sectPr>
          <w:pgSz w:w="11906" w:h="16838"/>
          <w:pgMar w:top="1440" w:right="1800" w:bottom="1440" w:left="1800" w:header="851" w:footer="992" w:gutter="0"/>
          <w:cols w:space="425" w:num="1"/>
          <w:docGrid w:type="lines" w:linePitch="312" w:charSpace="0"/>
        </w:sectPr>
      </w:pPr>
      <w:bookmarkStart w:id="8" w:name="_Toc18166"/>
      <w:bookmarkStart w:id="9" w:name="_Toc26968"/>
    </w:p>
    <w:p w14:paraId="44F45A90">
      <w:pPr>
        <w:pStyle w:val="3"/>
        <w:bidi w:val="0"/>
        <w:rPr>
          <w:rFonts w:hint="eastAsia"/>
        </w:rPr>
      </w:pPr>
      <w:bookmarkStart w:id="10" w:name="_Toc18684"/>
      <w:r>
        <w:rPr>
          <w:rFonts w:hint="eastAsia"/>
        </w:rPr>
        <w:t>一、项目基本情况</w:t>
      </w:r>
      <w:bookmarkEnd w:id="8"/>
      <w:bookmarkEnd w:id="9"/>
      <w:bookmarkEnd w:id="10"/>
    </w:p>
    <w:p w14:paraId="048F89B0">
      <w:pPr>
        <w:pStyle w:val="4"/>
        <w:bidi w:val="0"/>
        <w:rPr>
          <w:rFonts w:hint="eastAsia"/>
          <w:lang w:val="en-US" w:eastAsia="zh-CN"/>
        </w:rPr>
      </w:pPr>
      <w:bookmarkStart w:id="11" w:name="_Toc25535"/>
      <w:bookmarkStart w:id="12" w:name="_Toc12394"/>
      <w:r>
        <w:rPr>
          <w:rFonts w:hint="eastAsia"/>
        </w:rPr>
        <w:t>（一）</w:t>
      </w:r>
      <w:r>
        <w:rPr>
          <w:rFonts w:hint="eastAsia"/>
          <w:lang w:val="en-US" w:eastAsia="zh-CN"/>
        </w:rPr>
        <w:t>项目概况</w:t>
      </w:r>
      <w:bookmarkEnd w:id="11"/>
      <w:bookmarkEnd w:id="12"/>
    </w:p>
    <w:p w14:paraId="46C2F756">
      <w:pPr>
        <w:pStyle w:val="5"/>
        <w:bidi w:val="0"/>
        <w:rPr>
          <w:highlight w:val="none"/>
        </w:rPr>
      </w:pPr>
      <w:r>
        <w:rPr>
          <w:rFonts w:hint="eastAsia"/>
          <w:highlight w:val="none"/>
          <w:lang w:val="en-US" w:eastAsia="zh-CN"/>
        </w:rPr>
        <w:t>1.</w:t>
      </w:r>
      <w:r>
        <w:rPr>
          <w:rFonts w:hint="eastAsia"/>
          <w:highlight w:val="none"/>
        </w:rPr>
        <w:t>项目单位基本情况</w:t>
      </w:r>
    </w:p>
    <w:p w14:paraId="39D562B0">
      <w:pPr>
        <w:bidi w:val="0"/>
        <w:rPr>
          <w:rFonts w:hint="eastAsia"/>
          <w:highlight w:val="yellow"/>
        </w:rPr>
      </w:pPr>
      <w:r>
        <w:rPr>
          <w:rFonts w:hint="eastAsia"/>
          <w:highlight w:val="none"/>
        </w:rPr>
        <w:t>田湾镇位于辰溪县西北部，现辖乌金村、铺里村、田湾</w:t>
      </w:r>
      <w:r>
        <w:rPr>
          <w:rFonts w:hint="eastAsia"/>
        </w:rPr>
        <w:t>村、杨梅坳村、枫香塘村、选场村、鸡岩村、葛里村、金坪村等9个行政村，1个社区。全镇总面积91.3平方公里，有耕地面积13587亩，其中水田面积10670亩，林地面积107525亩。2023年年末全镇总人口11469人，总户数2846户。</w:t>
      </w:r>
    </w:p>
    <w:p w14:paraId="38DB3481">
      <w:pPr>
        <w:bidi w:val="0"/>
        <w:rPr>
          <w:rFonts w:hint="default" w:eastAsia="仿宋_GB2312"/>
          <w:lang w:val="en-US" w:eastAsia="zh-CN"/>
        </w:rPr>
      </w:pPr>
      <w:r>
        <w:rPr>
          <w:rFonts w:hint="eastAsia"/>
        </w:rPr>
        <w:t>田湾镇人民政府内设</w:t>
      </w:r>
      <w:r>
        <w:rPr>
          <w:rFonts w:hint="eastAsia"/>
          <w:lang w:val="en-US" w:eastAsia="zh-CN"/>
        </w:rPr>
        <w:t>10</w:t>
      </w:r>
      <w:r>
        <w:rPr>
          <w:rFonts w:hint="eastAsia"/>
        </w:rPr>
        <w:t>个机构：</w:t>
      </w:r>
      <w:r>
        <w:rPr>
          <w:rFonts w:hint="eastAsia"/>
          <w:color w:val="auto"/>
          <w:highlight w:val="none"/>
        </w:rPr>
        <w:t>党政办公室</w:t>
      </w:r>
      <w:r>
        <w:rPr>
          <w:rFonts w:hint="eastAsia"/>
          <w:highlight w:val="none"/>
          <w:lang w:eastAsia="zh-CN"/>
        </w:rPr>
        <w:t>、</w:t>
      </w:r>
      <w:r>
        <w:rPr>
          <w:rFonts w:hint="eastAsia"/>
          <w:highlight w:val="none"/>
        </w:rPr>
        <w:t>党建办公室、</w:t>
      </w:r>
      <w:r>
        <w:rPr>
          <w:rFonts w:hint="eastAsia"/>
          <w:highlight w:val="none"/>
          <w:lang w:val="en-US" w:eastAsia="zh-CN"/>
        </w:rPr>
        <w:t>社会</w:t>
      </w:r>
      <w:r>
        <w:rPr>
          <w:rFonts w:hint="eastAsia"/>
          <w:highlight w:val="none"/>
        </w:rPr>
        <w:t>法治和应急管理办公室、</w:t>
      </w:r>
      <w:r>
        <w:rPr>
          <w:rFonts w:hint="eastAsia"/>
          <w:highlight w:val="none"/>
          <w:lang w:val="en-US" w:eastAsia="zh-CN"/>
        </w:rPr>
        <w:t>经济发展</w:t>
      </w:r>
      <w:r>
        <w:rPr>
          <w:rFonts w:hint="eastAsia"/>
          <w:highlight w:val="none"/>
        </w:rPr>
        <w:t>办公室</w:t>
      </w:r>
      <w:r>
        <w:rPr>
          <w:rFonts w:hint="eastAsia"/>
          <w:highlight w:val="none"/>
          <w:lang w:eastAsia="zh-CN"/>
        </w:rPr>
        <w:t>、</w:t>
      </w:r>
      <w:r>
        <w:rPr>
          <w:rFonts w:hint="eastAsia"/>
          <w:highlight w:val="none"/>
        </w:rPr>
        <w:t>社会事务</w:t>
      </w:r>
      <w:r>
        <w:rPr>
          <w:rFonts w:hint="eastAsia"/>
          <w:highlight w:val="none"/>
          <w:lang w:val="en-US" w:eastAsia="zh-CN"/>
        </w:rPr>
        <w:t>办公室</w:t>
      </w:r>
      <w:r>
        <w:rPr>
          <w:rFonts w:hint="eastAsia"/>
          <w:highlight w:val="none"/>
        </w:rPr>
        <w:t>、农业综合服务中心、自然资源和生态环境办公室</w:t>
      </w:r>
      <w:r>
        <w:rPr>
          <w:rFonts w:hint="eastAsia"/>
          <w:highlight w:val="none"/>
          <w:lang w:eastAsia="zh-CN"/>
        </w:rPr>
        <w:t>、</w:t>
      </w:r>
      <w:r>
        <w:rPr>
          <w:rFonts w:hint="eastAsia"/>
          <w:highlight w:val="none"/>
          <w:lang w:val="en-US" w:eastAsia="zh-CN"/>
        </w:rPr>
        <w:t>便民服务中心</w:t>
      </w:r>
      <w:r>
        <w:rPr>
          <w:rFonts w:hint="eastAsia"/>
          <w:highlight w:val="none"/>
        </w:rPr>
        <w:t>、综合行政执法大队</w:t>
      </w:r>
      <w:r>
        <w:rPr>
          <w:rFonts w:hint="eastAsia"/>
          <w:highlight w:val="none"/>
          <w:lang w:val="en-US" w:eastAsia="zh-CN"/>
        </w:rPr>
        <w:t>、财政所，</w:t>
      </w:r>
      <w:r>
        <w:rPr>
          <w:rFonts w:hint="eastAsia"/>
          <w:lang w:val="en-US" w:eastAsia="zh-CN"/>
        </w:rPr>
        <w:t>负责全镇党政、党建、社会治理、经济发展规划和实施、自然资源保护和利用、社会服务、公益综合服务、监督检查和执法、资金监管和使用、党风廉政建设、法律服务等工作。</w:t>
      </w:r>
    </w:p>
    <w:p w14:paraId="0AA730A6">
      <w:pPr>
        <w:pStyle w:val="5"/>
        <w:bidi w:val="0"/>
        <w:rPr>
          <w:rFonts w:hint="eastAsia"/>
        </w:rPr>
      </w:pPr>
      <w:bookmarkStart w:id="13" w:name="_Toc17170"/>
      <w:r>
        <w:rPr>
          <w:rFonts w:hint="eastAsia"/>
          <w:lang w:val="en-US" w:eastAsia="zh-CN"/>
        </w:rPr>
        <w:t>2.</w:t>
      </w:r>
      <w:r>
        <w:rPr>
          <w:rFonts w:hint="eastAsia"/>
        </w:rPr>
        <w:t>项目立项背景</w:t>
      </w:r>
      <w:bookmarkEnd w:id="13"/>
    </w:p>
    <w:p w14:paraId="14D870C4">
      <w:pPr>
        <w:pStyle w:val="2"/>
        <w:rPr>
          <w:rFonts w:hint="default" w:ascii="Times New Roman" w:hAnsi="Times New Roman" w:eastAsia="仿宋_GB2312" w:cs="Times New Roman"/>
          <w:b w:val="0"/>
          <w:kern w:val="2"/>
          <w:sz w:val="32"/>
          <w:szCs w:val="22"/>
          <w:lang w:val="en-US" w:eastAsia="zh-CN" w:bidi="ar-SA"/>
        </w:rPr>
      </w:pPr>
      <w:bookmarkStart w:id="14" w:name="_Toc15695"/>
      <w:r>
        <w:rPr>
          <w:rFonts w:hint="default" w:ascii="Times New Roman" w:hAnsi="Times New Roman" w:eastAsia="仿宋_GB2312" w:cs="Times New Roman"/>
          <w:b w:val="0"/>
          <w:kern w:val="2"/>
          <w:sz w:val="32"/>
          <w:szCs w:val="22"/>
          <w:lang w:val="en-US" w:eastAsia="zh-CN" w:bidi="ar-SA"/>
        </w:rPr>
        <w:t>2021 年 8 月，国家发展改革委印发了《全国“十四五”以工代赈工作方案》（以下简称工作方案），《工作方案》全面拓展了未来五年以工代赈实施范围、受益对象、建设领域和赈济模式，明确要求在农业农村基础设施建设领域积极推广以工代赈方式，推动以工代赈由专项扶贫政策向集就业促进、基本建设、应急救灾、收入分配、区域发展等功能为一体的综合性帮扶政策转变。以工代赈实施范围为农村公益性基础设施和农村产业化发展基础设施。</w:t>
      </w:r>
    </w:p>
    <w:p w14:paraId="56DBFE72">
      <w:pPr>
        <w:rPr>
          <w:rFonts w:hint="default"/>
          <w:lang w:val="en-US" w:eastAsia="zh-CN"/>
        </w:rPr>
      </w:pPr>
      <w:r>
        <w:rPr>
          <w:rFonts w:hint="default"/>
          <w:lang w:val="en-US" w:eastAsia="zh-CN"/>
        </w:rPr>
        <w:t>辰溪县确定的全县农业和农村工作总体要求是：以党的“十九”大精神为指导，深入贯彻落实科学发展观</w:t>
      </w:r>
      <w:r>
        <w:rPr>
          <w:rFonts w:hint="eastAsia"/>
          <w:lang w:val="en-US" w:eastAsia="zh-CN"/>
        </w:rPr>
        <w:t>，</w:t>
      </w:r>
      <w:r>
        <w:rPr>
          <w:rFonts w:hint="default"/>
          <w:lang w:val="en-US" w:eastAsia="zh-CN"/>
        </w:rPr>
        <w:t>全面实现乡村振兴建设，围绕发展农村经济，增加农民收入完善基础设施这一中心任务，加大农业和农村经济结构的战略性调整，落实党在农村的方针政策，统筹抓好农村工业化、农村城镇化和农村现代化，全面建设物质文明、政治文明、精神文明相协调发展的社会主义新农村。通过乌金村溪道溪堤等基础设施工程建设，可补上田湾镇乌金村的基础设施短板、改善项目区域人居环境、增加农民收入，为实现乡村振兴奠定坚实基础。</w:t>
      </w:r>
    </w:p>
    <w:p w14:paraId="053B7017">
      <w:pPr>
        <w:pStyle w:val="5"/>
        <w:bidi w:val="0"/>
        <w:rPr>
          <w:rFonts w:hint="eastAsia"/>
        </w:rPr>
      </w:pPr>
      <w:r>
        <w:rPr>
          <w:rFonts w:hint="eastAsia"/>
          <w:lang w:val="en-US" w:eastAsia="zh-CN"/>
        </w:rPr>
        <w:t>3.</w:t>
      </w:r>
      <w:r>
        <w:rPr>
          <w:rFonts w:hint="eastAsia"/>
        </w:rPr>
        <w:t>项目立项依据</w:t>
      </w:r>
    </w:p>
    <w:p w14:paraId="343C0947">
      <w:pPr>
        <w:bidi w:val="0"/>
      </w:pPr>
      <w:r>
        <w:rPr>
          <w:rFonts w:hint="eastAsia" w:ascii="Times New Roman" w:hAnsi="Times New Roman" w:eastAsia="仿宋_GB2312" w:cs="Times New Roman"/>
          <w:b w:val="0"/>
          <w:kern w:val="2"/>
          <w:sz w:val="32"/>
          <w:szCs w:val="22"/>
          <w:lang w:val="en-US" w:eastAsia="zh-CN" w:bidi="ar-SA"/>
        </w:rPr>
        <w:t>（1）国家发改委、建设部《建设项目经济评价方法与参数》（2006年，第三版）；</w:t>
      </w:r>
    </w:p>
    <w:p w14:paraId="5385946E">
      <w:pPr>
        <w:bidi w:val="0"/>
        <w:rPr>
          <w:rFonts w:hint="eastAsia"/>
        </w:rPr>
      </w:pPr>
      <w:r>
        <w:rPr>
          <w:rFonts w:hint="eastAsia"/>
        </w:rPr>
        <w:t>（2）《全国“十四五”以工代赈工作方案》；</w:t>
      </w:r>
    </w:p>
    <w:p w14:paraId="1DCACA7A">
      <w:pPr>
        <w:bidi w:val="0"/>
        <w:rPr>
          <w:rFonts w:hint="eastAsia"/>
        </w:rPr>
      </w:pPr>
      <w:r>
        <w:rPr>
          <w:rFonts w:hint="eastAsia"/>
        </w:rPr>
        <w:t>（3）《投资项目可行性研究指南》（国家发改委2002年）；</w:t>
      </w:r>
    </w:p>
    <w:p w14:paraId="3E12BC07">
      <w:pPr>
        <w:bidi w:val="0"/>
        <w:rPr>
          <w:rFonts w:hint="eastAsia"/>
        </w:rPr>
      </w:pPr>
      <w:r>
        <w:rPr>
          <w:rFonts w:hint="eastAsia"/>
        </w:rPr>
        <w:t>（4）《国家以工代赈管理办法》（国家发改委第41号令）；</w:t>
      </w:r>
    </w:p>
    <w:p w14:paraId="668756FB">
      <w:pPr>
        <w:bidi w:val="0"/>
        <w:rPr>
          <w:rFonts w:hint="eastAsia"/>
        </w:rPr>
      </w:pPr>
      <w:r>
        <w:rPr>
          <w:rFonts w:hint="eastAsia"/>
        </w:rPr>
        <w:t>（5）国家发改委等九部委联合印发《关于在农业农村基础设施建设领域积极推广以工代赈方式的意见》（发改振兴〔2020〕1675号）；</w:t>
      </w:r>
    </w:p>
    <w:p w14:paraId="04F6989A">
      <w:pPr>
        <w:bidi w:val="0"/>
        <w:rPr>
          <w:rFonts w:hint="eastAsia"/>
        </w:rPr>
      </w:pPr>
      <w:r>
        <w:rPr>
          <w:rFonts w:hint="eastAsia"/>
        </w:rPr>
        <w:t>（6）中共湖南省委、湖南省人民政府《关于实现巩固拓展脱贫攻坚成果同乡村振兴有效衔接的实施意见》（2021 年5月17日）；</w:t>
      </w:r>
    </w:p>
    <w:p w14:paraId="544DC5F0">
      <w:pPr>
        <w:bidi w:val="0"/>
        <w:rPr>
          <w:rFonts w:hint="eastAsia"/>
        </w:rPr>
      </w:pPr>
      <w:r>
        <w:rPr>
          <w:rFonts w:hint="eastAsia"/>
        </w:rPr>
        <w:t>（7）《关于启动开展以工代赈巩固脱贫攻坚成果衔接乡村振兴战略试点工作的通知》；</w:t>
      </w:r>
    </w:p>
    <w:p w14:paraId="1FEEE3DE">
      <w:pPr>
        <w:bidi w:val="0"/>
        <w:rPr>
          <w:rFonts w:hint="eastAsia"/>
        </w:rPr>
      </w:pPr>
      <w:r>
        <w:rPr>
          <w:rFonts w:hint="eastAsia"/>
        </w:rPr>
        <w:t>（8）《关于做好2023年中央财政以工代赈任务建议计划编制并开展前置性审查工作的通知》；</w:t>
      </w:r>
    </w:p>
    <w:p w14:paraId="619889D7">
      <w:pPr>
        <w:bidi w:val="0"/>
        <w:rPr>
          <w:rFonts w:hint="eastAsia"/>
        </w:rPr>
      </w:pPr>
      <w:r>
        <w:rPr>
          <w:rFonts w:hint="eastAsia"/>
        </w:rPr>
        <w:t>（9）《关于在贫困县统筹整合使用财政涉农资金试点工作中大力推广以工代赈方式的通知》（发改办振兴〔2020〕32号）；</w:t>
      </w:r>
    </w:p>
    <w:p w14:paraId="00C65E8B">
      <w:pPr>
        <w:bidi w:val="0"/>
        <w:rPr>
          <w:rFonts w:hint="eastAsia"/>
        </w:rPr>
      </w:pPr>
      <w:r>
        <w:rPr>
          <w:rFonts w:hint="eastAsia"/>
        </w:rPr>
        <w:t>（10）《关于贫困县统筹整合使用财政涉农资金大力推广以工代赈方式的通知》（湘发改西开〔2020〕74号）；</w:t>
      </w:r>
    </w:p>
    <w:p w14:paraId="7AB832AA">
      <w:pPr>
        <w:bidi w:val="0"/>
        <w:rPr>
          <w:rFonts w:hint="eastAsia"/>
        </w:rPr>
      </w:pPr>
      <w:r>
        <w:rPr>
          <w:rFonts w:hint="eastAsia"/>
        </w:rPr>
        <w:t>（11）湖南省发展和改革委员会《关于进一步做好以工代赈工作的通知》（湘发改西开〔2019〕677号）；</w:t>
      </w:r>
    </w:p>
    <w:p w14:paraId="5093DBA8">
      <w:pPr>
        <w:bidi w:val="0"/>
        <w:rPr>
          <w:rFonts w:hint="eastAsia" w:eastAsia="仿宋_GB2312"/>
          <w:lang w:eastAsia="zh-CN"/>
        </w:rPr>
      </w:pPr>
      <w:r>
        <w:rPr>
          <w:rFonts w:hint="eastAsia"/>
        </w:rPr>
        <w:t>（12）湖南省发展和改革委员会《关于开展2021年以工代赈项目规范提升专项行动的通知》（湘发改西开〔2021〕690号）</w:t>
      </w:r>
      <w:r>
        <w:rPr>
          <w:rFonts w:hint="eastAsia"/>
          <w:lang w:eastAsia="zh-CN"/>
        </w:rPr>
        <w:t>；</w:t>
      </w:r>
    </w:p>
    <w:p w14:paraId="6ABE4A02">
      <w:pPr>
        <w:bidi w:val="0"/>
        <w:rPr>
          <w:rFonts w:hint="eastAsia" w:eastAsia="仿宋_GB2312"/>
          <w:lang w:eastAsia="zh-CN"/>
        </w:rPr>
      </w:pPr>
      <w:r>
        <w:rPr>
          <w:rFonts w:hint="eastAsia"/>
        </w:rPr>
        <w:t>（13）《湖南省“十四五”以工代赈实施方案》（湘发改西开〔2021〕1018号）</w:t>
      </w:r>
      <w:r>
        <w:rPr>
          <w:rFonts w:hint="eastAsia"/>
          <w:lang w:eastAsia="zh-CN"/>
        </w:rPr>
        <w:t>；</w:t>
      </w:r>
    </w:p>
    <w:p w14:paraId="6FE6F2C3">
      <w:pPr>
        <w:bidi w:val="0"/>
        <w:rPr>
          <w:rFonts w:hint="eastAsia" w:eastAsia="仿宋_GB2312"/>
          <w:lang w:eastAsia="zh-CN"/>
        </w:rPr>
      </w:pPr>
      <w:r>
        <w:rPr>
          <w:rFonts w:hint="eastAsia"/>
        </w:rPr>
        <w:t>（14）《国家发展改革委关于进一步坚守“赈”的初心充分发挥以工代赈政策功能的意见》（发改振兴〔2021〕1852 号）</w:t>
      </w:r>
      <w:r>
        <w:rPr>
          <w:rFonts w:hint="eastAsia"/>
          <w:lang w:eastAsia="zh-CN"/>
        </w:rPr>
        <w:t>。</w:t>
      </w:r>
    </w:p>
    <w:p w14:paraId="6A93070D">
      <w:pPr>
        <w:pStyle w:val="5"/>
        <w:bidi w:val="0"/>
        <w:rPr>
          <w:rFonts w:hint="default"/>
          <w:lang w:val="en-US" w:eastAsia="zh-CN"/>
        </w:rPr>
      </w:pPr>
      <w:r>
        <w:rPr>
          <w:rFonts w:hint="eastAsia"/>
          <w:lang w:val="en-US" w:eastAsia="zh-CN"/>
        </w:rPr>
        <w:t>4.</w:t>
      </w:r>
      <w:r>
        <w:rPr>
          <w:rFonts w:hint="eastAsia"/>
        </w:rPr>
        <w:t>项目主要内容</w:t>
      </w:r>
      <w:r>
        <w:rPr>
          <w:rFonts w:hint="eastAsia"/>
          <w:lang w:val="en-US" w:eastAsia="zh-CN"/>
        </w:rPr>
        <w:t>及实施情况</w:t>
      </w:r>
    </w:p>
    <w:p w14:paraId="21B27180">
      <w:pPr>
        <w:bidi w:val="0"/>
        <w:rPr>
          <w:rFonts w:hint="eastAsia"/>
        </w:rPr>
      </w:pPr>
      <w:r>
        <w:rPr>
          <w:rFonts w:hint="eastAsia"/>
          <w:lang w:val="en-US" w:eastAsia="zh-CN"/>
        </w:rPr>
        <w:t>主要内容：</w:t>
      </w:r>
      <w:r>
        <w:rPr>
          <w:rFonts w:hint="eastAsia"/>
        </w:rPr>
        <w:t>新建溪堤930m（高5.5m</w:t>
      </w:r>
      <w:r>
        <w:rPr>
          <w:rFonts w:hint="eastAsia"/>
          <w:lang w:eastAsia="zh-CN"/>
        </w:rPr>
        <w:t>，</w:t>
      </w:r>
      <w:r>
        <w:rPr>
          <w:rFonts w:hint="eastAsia"/>
        </w:rPr>
        <w:t>宽1.5m）。</w:t>
      </w:r>
    </w:p>
    <w:p w14:paraId="08670DCA">
      <w:pPr>
        <w:bidi w:val="0"/>
        <w:rPr>
          <w:rFonts w:hint="eastAsia"/>
          <w:highlight w:val="none"/>
          <w:lang w:val="en-US" w:eastAsia="zh-CN"/>
        </w:rPr>
      </w:pPr>
      <w:r>
        <w:rPr>
          <w:rFonts w:hint="eastAsia"/>
          <w:lang w:val="en-US" w:eastAsia="zh-CN"/>
        </w:rPr>
        <w:t>实施情况：2022年9月，辰溪县田湾镇人民政府委托中资华文规划设计有限公司编制《辰溪县田湾镇2023年中央财政以工代赈建设项目（乌金村公益性基础设施建设项目）可行性研究报告》，2022年9月21日，取得辰溪县发展和改革局可研批复（辰发改赈〔2022〕5号），主</w:t>
      </w:r>
      <w:r>
        <w:rPr>
          <w:rFonts w:hint="eastAsia"/>
          <w:highlight w:val="none"/>
          <w:lang w:val="en-US" w:eastAsia="zh-CN"/>
        </w:rPr>
        <w:t>要建设内容为新建一条长930米、高5.5米、顶宽1.5米的溪堤，项目最终下达新建总长960米，项目完工实际建设总长1100米。项目总投资345万元，其中申请中央财政预算内资金300万元、地方配套45万元。</w:t>
      </w:r>
    </w:p>
    <w:p w14:paraId="2C33EE4E">
      <w:pPr>
        <w:bidi w:val="0"/>
        <w:rPr>
          <w:rFonts w:hint="eastAsia"/>
          <w:lang w:val="en-US" w:eastAsia="zh-CN"/>
        </w:rPr>
      </w:pPr>
      <w:r>
        <w:rPr>
          <w:rFonts w:hint="eastAsia"/>
          <w:lang w:val="en-US" w:eastAsia="zh-CN"/>
        </w:rPr>
        <w:t>2023年1月委托湖南名爵建设工程有限公司代理招投标工作，确定施工单位为</w:t>
      </w:r>
      <w:r>
        <w:rPr>
          <w:rFonts w:hint="eastAsia"/>
        </w:rPr>
        <w:t>湖南</w:t>
      </w:r>
      <w:r>
        <w:rPr>
          <w:rFonts w:hint="eastAsia"/>
          <w:lang w:val="en-US" w:eastAsia="zh-CN"/>
        </w:rPr>
        <w:t>若锦建设</w:t>
      </w:r>
      <w:r>
        <w:rPr>
          <w:rFonts w:hint="eastAsia"/>
        </w:rPr>
        <w:t>有限公司</w:t>
      </w:r>
      <w:r>
        <w:rPr>
          <w:rFonts w:hint="eastAsia"/>
          <w:lang w:val="en-US" w:eastAsia="zh-CN"/>
        </w:rPr>
        <w:t>，监理单位为永建设计集团有限公司。</w:t>
      </w:r>
    </w:p>
    <w:p w14:paraId="70EB7374">
      <w:pPr>
        <w:pStyle w:val="2"/>
        <w:rPr>
          <w:rFonts w:hint="default" w:eastAsia="仿宋_GB2312" w:cs="Times New Roman"/>
          <w:b w:val="0"/>
          <w:kern w:val="2"/>
          <w:sz w:val="32"/>
          <w:szCs w:val="22"/>
          <w:lang w:val="en-US" w:eastAsia="zh-CN" w:bidi="ar-SA"/>
        </w:rPr>
      </w:pPr>
      <w:r>
        <w:rPr>
          <w:rFonts w:hint="eastAsia" w:eastAsia="仿宋_GB2312" w:cs="Times New Roman"/>
          <w:b w:val="0"/>
          <w:kern w:val="2"/>
          <w:sz w:val="32"/>
          <w:szCs w:val="22"/>
          <w:lang w:val="en-US" w:eastAsia="zh-CN" w:bidi="ar-SA"/>
        </w:rPr>
        <w:t>2023年4月取得辰溪县财政投资评审中心《辰溪县田湾镇2023年中央财政以工代赈建设项目预算评审报告书》（辰财投预〔2023〕053号），送审金额3,988,591.00元，审定金额3,664,949.00元，核减323,642.00元。</w:t>
      </w:r>
    </w:p>
    <w:p w14:paraId="501731EE">
      <w:pPr>
        <w:bidi w:val="0"/>
        <w:rPr>
          <w:rFonts w:hint="eastAsia"/>
          <w:lang w:val="en-US" w:eastAsia="zh-CN"/>
        </w:rPr>
      </w:pPr>
      <w:r>
        <w:rPr>
          <w:rFonts w:hint="eastAsia"/>
          <w:lang w:val="en-US" w:eastAsia="zh-CN"/>
        </w:rPr>
        <w:t>2023年6月5日，辰溪县田湾镇人民政府与</w:t>
      </w:r>
      <w:r>
        <w:rPr>
          <w:rFonts w:hint="eastAsia"/>
        </w:rPr>
        <w:t>湖南</w:t>
      </w:r>
      <w:r>
        <w:rPr>
          <w:rFonts w:hint="eastAsia"/>
          <w:lang w:val="en-US" w:eastAsia="zh-CN"/>
        </w:rPr>
        <w:t>若锦建设</w:t>
      </w:r>
      <w:r>
        <w:rPr>
          <w:rFonts w:hint="eastAsia"/>
        </w:rPr>
        <w:t>有限公司</w:t>
      </w:r>
      <w:r>
        <w:rPr>
          <w:rFonts w:hint="eastAsia"/>
          <w:lang w:val="en-US" w:eastAsia="zh-CN"/>
        </w:rPr>
        <w:t>签定《辰溪县田湾镇2023年中央财政以工代赈建设项目（乌金村公益性基础设施建设项目）施工合同书》，确定了工程概况、工期、双方责任、施工要求等。</w:t>
      </w:r>
    </w:p>
    <w:p w14:paraId="43D273E8">
      <w:pPr>
        <w:pStyle w:val="2"/>
        <w:rPr>
          <w:rFonts w:hint="default" w:ascii="Times New Roman" w:hAnsi="Times New Roman" w:eastAsia="仿宋_GB2312" w:cs="Times New Roman"/>
          <w:b w:val="0"/>
          <w:kern w:val="2"/>
          <w:sz w:val="32"/>
          <w:szCs w:val="22"/>
          <w:lang w:val="en-US" w:eastAsia="zh-CN" w:bidi="ar-SA"/>
        </w:rPr>
      </w:pPr>
      <w:r>
        <w:rPr>
          <w:rFonts w:hint="eastAsia" w:eastAsia="仿宋_GB2312" w:cs="Times New Roman"/>
          <w:b w:val="0"/>
          <w:kern w:val="2"/>
          <w:sz w:val="32"/>
          <w:szCs w:val="22"/>
          <w:lang w:val="en-US" w:eastAsia="zh-CN" w:bidi="ar-SA"/>
        </w:rPr>
        <w:t>2023年6月12日，辰溪县田湾镇人民政府与永建设计集团有限公司签定《辰溪县田湾镇2023年中央财政以工代赈建设项目（乌金村公益性基础设施建设项目）建设工程监理合同》，确定了监理期限、双方承诺、双方义务等。</w:t>
      </w:r>
    </w:p>
    <w:p w14:paraId="53ABD9A3">
      <w:pPr>
        <w:bidi w:val="0"/>
        <w:rPr>
          <w:rFonts w:hint="default"/>
          <w:lang w:val="en-US" w:eastAsia="zh-CN"/>
        </w:rPr>
      </w:pPr>
      <w:r>
        <w:rPr>
          <w:rFonts w:hint="default"/>
          <w:lang w:val="en-US" w:eastAsia="zh-CN"/>
        </w:rPr>
        <w:t>202</w:t>
      </w:r>
      <w:r>
        <w:rPr>
          <w:rFonts w:hint="eastAsia"/>
          <w:lang w:val="en-US" w:eastAsia="zh-CN"/>
        </w:rPr>
        <w:t>3</w:t>
      </w:r>
      <w:r>
        <w:rPr>
          <w:rFonts w:hint="default"/>
          <w:lang w:val="en-US" w:eastAsia="zh-CN"/>
        </w:rPr>
        <w:t>年</w:t>
      </w:r>
      <w:r>
        <w:rPr>
          <w:rFonts w:hint="eastAsia"/>
          <w:lang w:val="en-US" w:eastAsia="zh-CN"/>
        </w:rPr>
        <w:t>6</w:t>
      </w:r>
      <w:r>
        <w:rPr>
          <w:rFonts w:hint="default"/>
          <w:lang w:val="en-US" w:eastAsia="zh-CN"/>
        </w:rPr>
        <w:t>月开工</w:t>
      </w:r>
      <w:r>
        <w:rPr>
          <w:rFonts w:hint="eastAsia"/>
          <w:lang w:val="en-US" w:eastAsia="zh-CN"/>
        </w:rPr>
        <w:t>建设</w:t>
      </w:r>
      <w:r>
        <w:rPr>
          <w:rFonts w:hint="default"/>
          <w:lang w:val="en-US" w:eastAsia="zh-CN"/>
        </w:rPr>
        <w:t>，202</w:t>
      </w:r>
      <w:r>
        <w:rPr>
          <w:rFonts w:hint="eastAsia"/>
          <w:lang w:val="en-US" w:eastAsia="zh-CN"/>
        </w:rPr>
        <w:t>3</w:t>
      </w:r>
      <w:r>
        <w:rPr>
          <w:rFonts w:hint="default"/>
          <w:lang w:val="en-US" w:eastAsia="zh-CN"/>
        </w:rPr>
        <w:t>年12月</w:t>
      </w:r>
      <w:r>
        <w:rPr>
          <w:rFonts w:hint="eastAsia"/>
          <w:lang w:val="en-US" w:eastAsia="zh-CN"/>
        </w:rPr>
        <w:t>完工，2024年4月进行竣工验收</w:t>
      </w:r>
      <w:r>
        <w:rPr>
          <w:rFonts w:hint="default"/>
          <w:lang w:val="en-US" w:eastAsia="zh-CN"/>
        </w:rPr>
        <w:t>。</w:t>
      </w:r>
    </w:p>
    <w:p w14:paraId="445FAD7D">
      <w:pPr>
        <w:pStyle w:val="5"/>
        <w:bidi w:val="0"/>
        <w:rPr>
          <w:rFonts w:hint="eastAsia"/>
        </w:rPr>
      </w:pPr>
      <w:r>
        <w:rPr>
          <w:rFonts w:hint="eastAsia"/>
          <w:lang w:val="en-US" w:eastAsia="zh-CN"/>
        </w:rPr>
        <w:t>5.</w:t>
      </w:r>
      <w:r>
        <w:rPr>
          <w:rFonts w:hint="eastAsia"/>
        </w:rPr>
        <w:t>项目资金情况</w:t>
      </w:r>
    </w:p>
    <w:bookmarkEnd w:id="14"/>
    <w:p w14:paraId="115F594A">
      <w:pPr>
        <w:bidi w:val="0"/>
        <w:rPr>
          <w:rFonts w:hint="eastAsia"/>
        </w:rPr>
      </w:pPr>
      <w:bookmarkStart w:id="15" w:name="_Toc7487"/>
      <w:r>
        <w:rPr>
          <w:rFonts w:hint="eastAsia"/>
        </w:rPr>
        <w:t>本项目县级财政预算安排</w:t>
      </w:r>
      <w:r>
        <w:rPr>
          <w:rFonts w:hint="eastAsia"/>
          <w:lang w:val="en-US" w:eastAsia="zh-CN"/>
        </w:rPr>
        <w:t>366.49</w:t>
      </w:r>
      <w:r>
        <w:rPr>
          <w:rFonts w:hint="eastAsia"/>
        </w:rPr>
        <w:t>万元，截至绩效评价日，田湾镇人民政府累计收到拨付资金</w:t>
      </w:r>
      <w:r>
        <w:rPr>
          <w:rFonts w:hint="eastAsia"/>
          <w:lang w:val="en-US" w:eastAsia="zh-CN"/>
        </w:rPr>
        <w:t>220</w:t>
      </w:r>
      <w:r>
        <w:rPr>
          <w:rFonts w:hint="eastAsia"/>
        </w:rPr>
        <w:t>.00万元，累计支出</w:t>
      </w:r>
      <w:r>
        <w:rPr>
          <w:rFonts w:hint="eastAsia"/>
          <w:lang w:val="en-US" w:eastAsia="zh-CN"/>
        </w:rPr>
        <w:t>220</w:t>
      </w:r>
      <w:r>
        <w:rPr>
          <w:rFonts w:hint="eastAsia"/>
        </w:rPr>
        <w:t>.00万元，资金到位率</w:t>
      </w:r>
      <w:r>
        <w:rPr>
          <w:rFonts w:hint="eastAsia"/>
          <w:lang w:val="en-US" w:eastAsia="zh-CN"/>
        </w:rPr>
        <w:t>60</w:t>
      </w:r>
      <w:r>
        <w:rPr>
          <w:rFonts w:hint="eastAsia"/>
        </w:rPr>
        <w:t>.</w:t>
      </w:r>
      <w:r>
        <w:rPr>
          <w:rFonts w:hint="eastAsia"/>
          <w:lang w:val="en-US" w:eastAsia="zh-CN"/>
        </w:rPr>
        <w:t>11</w:t>
      </w:r>
      <w:r>
        <w:rPr>
          <w:rFonts w:hint="eastAsia"/>
        </w:rPr>
        <w:t>%，资金执行率100%。</w:t>
      </w:r>
      <w:bookmarkEnd w:id="15"/>
      <w:r>
        <w:rPr>
          <w:rFonts w:hint="eastAsia"/>
        </w:rPr>
        <w:t>支出明细见下表：</w:t>
      </w:r>
    </w:p>
    <w:p w14:paraId="76A14B5A">
      <w:pPr>
        <w:bidi w:val="0"/>
        <w:jc w:val="right"/>
        <w:rPr>
          <w:rFonts w:hint="eastAsia"/>
          <w:b/>
          <w:bCs/>
          <w:sz w:val="24"/>
          <w:szCs w:val="24"/>
        </w:rPr>
      </w:pPr>
      <w:r>
        <w:rPr>
          <w:rFonts w:hint="eastAsia"/>
          <w:b/>
          <w:bCs/>
          <w:sz w:val="24"/>
          <w:szCs w:val="24"/>
        </w:rPr>
        <w:t>金额单位：万元</w:t>
      </w:r>
    </w:p>
    <w:tbl>
      <w:tblPr>
        <w:tblStyle w:val="12"/>
        <w:tblW w:w="4997" w:type="pct"/>
        <w:tblInd w:w="0" w:type="dxa"/>
        <w:tblBorders>
          <w:top w:val="single" w:color="000000" w:sz="8"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33"/>
        <w:gridCol w:w="1327"/>
        <w:gridCol w:w="2537"/>
        <w:gridCol w:w="1385"/>
        <w:gridCol w:w="1535"/>
      </w:tblGrid>
      <w:tr w14:paraId="25487FB1">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blHeader/>
        </w:trPr>
        <w:tc>
          <w:tcPr>
            <w:tcW w:w="1017" w:type="pct"/>
            <w:tcBorders>
              <w:top w:val="single" w:color="auto" w:sz="4" w:space="0"/>
              <w:left w:val="single" w:color="auto" w:sz="4" w:space="0"/>
              <w:bottom w:val="single" w:color="auto" w:sz="4" w:space="0"/>
              <w:right w:val="single" w:color="auto" w:sz="4" w:space="0"/>
            </w:tcBorders>
            <w:noWrap/>
            <w:vAlign w:val="center"/>
          </w:tcPr>
          <w:p w14:paraId="19F3E33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支付日期</w:t>
            </w:r>
          </w:p>
        </w:tc>
        <w:tc>
          <w:tcPr>
            <w:tcW w:w="779" w:type="pct"/>
            <w:tcBorders>
              <w:top w:val="single" w:color="auto" w:sz="4" w:space="0"/>
              <w:left w:val="single" w:color="auto" w:sz="4" w:space="0"/>
              <w:bottom w:val="single" w:color="auto" w:sz="4" w:space="0"/>
              <w:right w:val="single" w:color="auto" w:sz="4" w:space="0"/>
            </w:tcBorders>
            <w:noWrap/>
            <w:vAlign w:val="center"/>
          </w:tcPr>
          <w:p w14:paraId="26F6F074">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凭证号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569A78B6">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支出内容</w:t>
            </w:r>
          </w:p>
        </w:tc>
        <w:tc>
          <w:tcPr>
            <w:tcW w:w="813" w:type="pct"/>
            <w:tcBorders>
              <w:top w:val="single" w:color="auto" w:sz="4" w:space="0"/>
              <w:left w:val="single" w:color="auto" w:sz="4" w:space="0"/>
              <w:bottom w:val="single" w:color="auto" w:sz="4" w:space="0"/>
              <w:right w:val="single" w:color="auto" w:sz="4" w:space="0"/>
            </w:tcBorders>
            <w:noWrap/>
            <w:vAlign w:val="center"/>
          </w:tcPr>
          <w:p w14:paraId="5AE3594E">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金额</w:t>
            </w:r>
          </w:p>
        </w:tc>
        <w:tc>
          <w:tcPr>
            <w:tcW w:w="901" w:type="pct"/>
            <w:tcBorders>
              <w:top w:val="single" w:color="auto" w:sz="4" w:space="0"/>
              <w:left w:val="single" w:color="auto" w:sz="4" w:space="0"/>
              <w:bottom w:val="single" w:color="auto" w:sz="4" w:space="0"/>
              <w:right w:val="single" w:color="auto" w:sz="4" w:space="0"/>
            </w:tcBorders>
            <w:noWrap/>
            <w:vAlign w:val="center"/>
          </w:tcPr>
          <w:p w14:paraId="6DF6AFCA">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备注</w:t>
            </w:r>
          </w:p>
        </w:tc>
      </w:tr>
      <w:tr w14:paraId="3E5B4B24">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3D5F548D">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lang w:bidi="ar"/>
              </w:rPr>
              <w:t>202</w:t>
            </w:r>
            <w:r>
              <w:rPr>
                <w:rFonts w:hint="eastAsia" w:ascii="仿宋_GB2312" w:hAnsi="仿宋_GB2312" w:cs="仿宋_GB2312"/>
                <w:color w:val="000000"/>
                <w:kern w:val="0"/>
                <w:sz w:val="21"/>
                <w:szCs w:val="21"/>
                <w:lang w:val="en-US" w:eastAsia="zh-CN" w:bidi="ar"/>
              </w:rPr>
              <w:t>3</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07</w:t>
            </w:r>
            <w:r>
              <w:rPr>
                <w:rFonts w:hint="eastAsia" w:ascii="仿宋_GB2312" w:hAnsi="仿宋_GB2312" w:eastAsia="仿宋_GB2312" w:cs="仿宋_GB2312"/>
                <w:color w:val="000000"/>
                <w:kern w:val="0"/>
                <w:sz w:val="21"/>
                <w:szCs w:val="21"/>
                <w:lang w:bidi="ar"/>
              </w:rPr>
              <w:t>/2</w:t>
            </w:r>
            <w:r>
              <w:rPr>
                <w:rFonts w:hint="eastAsia" w:ascii="仿宋_GB2312" w:hAnsi="仿宋_GB2312" w:cs="仿宋_GB2312"/>
                <w:color w:val="000000"/>
                <w:kern w:val="0"/>
                <w:sz w:val="21"/>
                <w:szCs w:val="21"/>
                <w:lang w:val="en-US" w:eastAsia="zh-CN" w:bidi="ar"/>
              </w:rPr>
              <w:t>5</w:t>
            </w:r>
          </w:p>
        </w:tc>
        <w:tc>
          <w:tcPr>
            <w:tcW w:w="779" w:type="pct"/>
            <w:tcBorders>
              <w:top w:val="single" w:color="auto" w:sz="4" w:space="0"/>
              <w:left w:val="single" w:color="auto" w:sz="4" w:space="0"/>
              <w:bottom w:val="single" w:color="auto" w:sz="4" w:space="0"/>
              <w:right w:val="single" w:color="auto" w:sz="4" w:space="0"/>
            </w:tcBorders>
            <w:noWrap/>
            <w:vAlign w:val="center"/>
          </w:tcPr>
          <w:p w14:paraId="1326E1AC">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10</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28C98D4C">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工程款</w:t>
            </w:r>
          </w:p>
        </w:tc>
        <w:tc>
          <w:tcPr>
            <w:tcW w:w="813" w:type="pct"/>
            <w:tcBorders>
              <w:top w:val="single" w:color="auto" w:sz="4" w:space="0"/>
              <w:left w:val="single" w:color="auto" w:sz="4" w:space="0"/>
              <w:bottom w:val="single" w:color="auto" w:sz="4" w:space="0"/>
              <w:right w:val="single" w:color="auto" w:sz="4" w:space="0"/>
            </w:tcBorders>
            <w:noWrap/>
            <w:vAlign w:val="center"/>
          </w:tcPr>
          <w:p w14:paraId="4DEDBE1E">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val="en-US" w:eastAsia="zh-CN" w:bidi="ar"/>
              </w:rPr>
              <w:t>60</w:t>
            </w:r>
            <w:r>
              <w:rPr>
                <w:rFonts w:hint="eastAsia" w:ascii="仿宋_GB2312" w:hAnsi="仿宋_GB2312" w:eastAsia="仿宋_GB2312" w:cs="仿宋_GB2312"/>
                <w:color w:val="000000"/>
                <w:kern w:val="0"/>
                <w:sz w:val="21"/>
                <w:szCs w:val="21"/>
                <w:lang w:bidi="ar"/>
              </w:rPr>
              <w:t>.00</w:t>
            </w:r>
          </w:p>
        </w:tc>
        <w:tc>
          <w:tcPr>
            <w:tcW w:w="901" w:type="pct"/>
            <w:tcBorders>
              <w:top w:val="single" w:color="auto" w:sz="4" w:space="0"/>
              <w:left w:val="single" w:color="auto" w:sz="4" w:space="0"/>
              <w:bottom w:val="single" w:color="auto" w:sz="4" w:space="0"/>
              <w:right w:val="single" w:color="auto" w:sz="4" w:space="0"/>
            </w:tcBorders>
            <w:noWrap/>
            <w:vAlign w:val="center"/>
          </w:tcPr>
          <w:p w14:paraId="57D98CC2">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4A3F161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47B8CCD2">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kern w:val="0"/>
                <w:sz w:val="21"/>
                <w:szCs w:val="21"/>
                <w:lang w:bidi="ar"/>
              </w:rPr>
              <w:t>202</w:t>
            </w:r>
            <w:r>
              <w:rPr>
                <w:rFonts w:hint="eastAsia" w:ascii="仿宋_GB2312" w:hAnsi="仿宋_GB2312" w:cs="仿宋_GB2312"/>
                <w:color w:val="000000"/>
                <w:kern w:val="0"/>
                <w:sz w:val="21"/>
                <w:szCs w:val="21"/>
                <w:lang w:val="en-US" w:eastAsia="zh-CN" w:bidi="ar"/>
              </w:rPr>
              <w:t>3</w:t>
            </w:r>
            <w:r>
              <w:rPr>
                <w:rFonts w:hint="eastAsia" w:ascii="仿宋_GB2312" w:hAnsi="仿宋_GB2312" w:eastAsia="仿宋_GB2312" w:cs="仿宋_GB2312"/>
                <w:color w:val="000000"/>
                <w:kern w:val="0"/>
                <w:sz w:val="21"/>
                <w:szCs w:val="21"/>
                <w:lang w:bidi="ar"/>
              </w:rPr>
              <w:t>/1</w:t>
            </w:r>
            <w:r>
              <w:rPr>
                <w:rFonts w:hint="eastAsia" w:ascii="仿宋_GB2312" w:hAnsi="仿宋_GB2312" w:cs="仿宋_GB2312"/>
                <w:color w:val="000000"/>
                <w:kern w:val="0"/>
                <w:sz w:val="21"/>
                <w:szCs w:val="21"/>
                <w:lang w:val="en-US" w:eastAsia="zh-CN" w:bidi="ar"/>
              </w:rPr>
              <w:t>0</w:t>
            </w:r>
            <w:r>
              <w:rPr>
                <w:rFonts w:hint="eastAsia" w:ascii="仿宋_GB2312" w:hAnsi="仿宋_GB2312" w:eastAsia="仿宋_GB2312" w:cs="仿宋_GB2312"/>
                <w:color w:val="000000"/>
                <w:kern w:val="0"/>
                <w:sz w:val="21"/>
                <w:szCs w:val="21"/>
                <w:lang w:bidi="ar"/>
              </w:rPr>
              <w:t>/</w:t>
            </w:r>
            <w:r>
              <w:rPr>
                <w:rFonts w:hint="eastAsia" w:ascii="仿宋_GB2312" w:hAnsi="仿宋_GB2312" w:cs="仿宋_GB2312"/>
                <w:color w:val="000000"/>
                <w:kern w:val="0"/>
                <w:sz w:val="21"/>
                <w:szCs w:val="21"/>
                <w:lang w:val="en-US" w:eastAsia="zh-CN" w:bidi="ar"/>
              </w:rPr>
              <w:t>08</w:t>
            </w:r>
          </w:p>
        </w:tc>
        <w:tc>
          <w:tcPr>
            <w:tcW w:w="779" w:type="pct"/>
            <w:tcBorders>
              <w:top w:val="single" w:color="auto" w:sz="4" w:space="0"/>
              <w:left w:val="single" w:color="auto" w:sz="4" w:space="0"/>
              <w:bottom w:val="single" w:color="auto" w:sz="4" w:space="0"/>
              <w:right w:val="single" w:color="auto" w:sz="4" w:space="0"/>
            </w:tcBorders>
            <w:noWrap/>
            <w:vAlign w:val="center"/>
          </w:tcPr>
          <w:p w14:paraId="7F960A78">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1</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02BFAD8A">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工程款</w:t>
            </w:r>
          </w:p>
        </w:tc>
        <w:tc>
          <w:tcPr>
            <w:tcW w:w="813" w:type="pct"/>
            <w:tcBorders>
              <w:top w:val="single" w:color="auto" w:sz="4" w:space="0"/>
              <w:left w:val="single" w:color="auto" w:sz="4" w:space="0"/>
              <w:bottom w:val="single" w:color="auto" w:sz="4" w:space="0"/>
              <w:right w:val="single" w:color="auto" w:sz="4" w:space="0"/>
            </w:tcBorders>
            <w:noWrap/>
            <w:vAlign w:val="center"/>
          </w:tcPr>
          <w:p w14:paraId="5F7B4071">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val="en-US" w:eastAsia="zh-CN" w:bidi="ar"/>
              </w:rPr>
              <w:t>100</w:t>
            </w:r>
            <w:r>
              <w:rPr>
                <w:rFonts w:hint="eastAsia" w:ascii="仿宋_GB2312" w:hAnsi="仿宋_GB2312" w:eastAsia="仿宋_GB2312" w:cs="仿宋_GB2312"/>
                <w:color w:val="000000"/>
                <w:kern w:val="0"/>
                <w:sz w:val="21"/>
                <w:szCs w:val="21"/>
                <w:lang w:bidi="ar"/>
              </w:rPr>
              <w:t>.00</w:t>
            </w:r>
          </w:p>
        </w:tc>
        <w:tc>
          <w:tcPr>
            <w:tcW w:w="901" w:type="pct"/>
            <w:tcBorders>
              <w:top w:val="single" w:color="auto" w:sz="4" w:space="0"/>
              <w:left w:val="single" w:color="auto" w:sz="4" w:space="0"/>
              <w:bottom w:val="single" w:color="auto" w:sz="4" w:space="0"/>
              <w:right w:val="single" w:color="auto" w:sz="4" w:space="0"/>
            </w:tcBorders>
            <w:noWrap/>
            <w:vAlign w:val="center"/>
          </w:tcPr>
          <w:p w14:paraId="1E770144">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744837B2">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755130FE">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kern w:val="0"/>
                <w:sz w:val="21"/>
                <w:szCs w:val="21"/>
                <w:lang w:bidi="ar"/>
              </w:rPr>
              <w:t>202</w:t>
            </w:r>
            <w:r>
              <w:rPr>
                <w:rFonts w:hint="eastAsia" w:ascii="仿宋_GB2312" w:hAnsi="仿宋_GB2312" w:cs="仿宋_GB2312"/>
                <w:color w:val="000000"/>
                <w:kern w:val="0"/>
                <w:sz w:val="21"/>
                <w:szCs w:val="21"/>
                <w:lang w:val="en-US" w:eastAsia="zh-CN" w:bidi="ar"/>
              </w:rPr>
              <w:t>4</w:t>
            </w:r>
            <w:r>
              <w:rPr>
                <w:rFonts w:hint="eastAsia" w:ascii="仿宋_GB2312" w:hAnsi="仿宋_GB2312" w:eastAsia="仿宋_GB2312" w:cs="仿宋_GB2312"/>
                <w:color w:val="000000"/>
                <w:kern w:val="0"/>
                <w:sz w:val="21"/>
                <w:szCs w:val="21"/>
                <w:lang w:bidi="ar"/>
              </w:rPr>
              <w:t>/02/</w:t>
            </w:r>
            <w:r>
              <w:rPr>
                <w:rFonts w:hint="eastAsia" w:ascii="仿宋_GB2312" w:hAnsi="仿宋_GB2312" w:cs="仿宋_GB2312"/>
                <w:color w:val="000000"/>
                <w:kern w:val="0"/>
                <w:sz w:val="21"/>
                <w:szCs w:val="21"/>
                <w:lang w:val="en-US" w:eastAsia="zh-CN" w:bidi="ar"/>
              </w:rPr>
              <w:t>09</w:t>
            </w:r>
          </w:p>
        </w:tc>
        <w:tc>
          <w:tcPr>
            <w:tcW w:w="779" w:type="pct"/>
            <w:tcBorders>
              <w:top w:val="single" w:color="auto" w:sz="4" w:space="0"/>
              <w:left w:val="single" w:color="auto" w:sz="4" w:space="0"/>
              <w:bottom w:val="single" w:color="auto" w:sz="4" w:space="0"/>
              <w:right w:val="single" w:color="auto" w:sz="4" w:space="0"/>
            </w:tcBorders>
            <w:noWrap/>
            <w:vAlign w:val="center"/>
          </w:tcPr>
          <w:p w14:paraId="75DED202">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17</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5C3E922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工程款</w:t>
            </w:r>
          </w:p>
        </w:tc>
        <w:tc>
          <w:tcPr>
            <w:tcW w:w="813" w:type="pct"/>
            <w:tcBorders>
              <w:top w:val="single" w:color="auto" w:sz="4" w:space="0"/>
              <w:left w:val="single" w:color="auto" w:sz="4" w:space="0"/>
              <w:bottom w:val="single" w:color="auto" w:sz="4" w:space="0"/>
              <w:right w:val="single" w:color="auto" w:sz="4" w:space="0"/>
            </w:tcBorders>
            <w:noWrap/>
            <w:vAlign w:val="center"/>
          </w:tcPr>
          <w:p w14:paraId="3ABA337F">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val="en-US" w:eastAsia="zh-CN" w:bidi="ar"/>
              </w:rPr>
              <w:t>4</w:t>
            </w:r>
            <w:r>
              <w:rPr>
                <w:rFonts w:hint="eastAsia" w:ascii="仿宋_GB2312" w:hAnsi="仿宋_GB2312" w:eastAsia="仿宋_GB2312" w:cs="仿宋_GB2312"/>
                <w:color w:val="000000"/>
                <w:kern w:val="0"/>
                <w:sz w:val="21"/>
                <w:szCs w:val="21"/>
                <w:lang w:bidi="ar"/>
              </w:rPr>
              <w:t>0.00</w:t>
            </w:r>
          </w:p>
        </w:tc>
        <w:tc>
          <w:tcPr>
            <w:tcW w:w="901" w:type="pct"/>
            <w:tcBorders>
              <w:top w:val="single" w:color="auto" w:sz="4" w:space="0"/>
              <w:left w:val="single" w:color="auto" w:sz="4" w:space="0"/>
              <w:bottom w:val="single" w:color="auto" w:sz="4" w:space="0"/>
              <w:right w:val="single" w:color="auto" w:sz="4" w:space="0"/>
            </w:tcBorders>
            <w:noWrap/>
            <w:vAlign w:val="center"/>
          </w:tcPr>
          <w:p w14:paraId="4B5CDDC8">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40E85D39">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17" w:type="pct"/>
            <w:tcBorders>
              <w:top w:val="single" w:color="auto" w:sz="4" w:space="0"/>
              <w:left w:val="single" w:color="auto" w:sz="4" w:space="0"/>
              <w:bottom w:val="single" w:color="auto" w:sz="4" w:space="0"/>
              <w:right w:val="single" w:color="auto" w:sz="4" w:space="0"/>
            </w:tcBorders>
            <w:noWrap/>
            <w:vAlign w:val="center"/>
          </w:tcPr>
          <w:p w14:paraId="38F17FBA">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lang w:bidi="ar"/>
              </w:rPr>
              <w:t>202</w:t>
            </w:r>
            <w:r>
              <w:rPr>
                <w:rFonts w:hint="eastAsia" w:ascii="仿宋_GB2312" w:hAnsi="仿宋_GB2312" w:cs="仿宋_GB2312"/>
                <w:color w:val="000000"/>
                <w:kern w:val="0"/>
                <w:sz w:val="21"/>
                <w:szCs w:val="21"/>
                <w:lang w:val="en-US" w:eastAsia="zh-CN" w:bidi="ar"/>
              </w:rPr>
              <w:t>4</w:t>
            </w:r>
            <w:r>
              <w:rPr>
                <w:rFonts w:hint="eastAsia" w:ascii="仿宋_GB2312" w:hAnsi="仿宋_GB2312" w:eastAsia="仿宋_GB2312" w:cs="仿宋_GB2312"/>
                <w:color w:val="000000"/>
                <w:kern w:val="0"/>
                <w:sz w:val="21"/>
                <w:szCs w:val="21"/>
                <w:lang w:bidi="ar"/>
              </w:rPr>
              <w:t>/0</w:t>
            </w:r>
            <w:r>
              <w:rPr>
                <w:rFonts w:hint="eastAsia" w:ascii="仿宋_GB2312" w:hAnsi="仿宋_GB2312" w:cs="仿宋_GB2312"/>
                <w:color w:val="000000"/>
                <w:kern w:val="0"/>
                <w:sz w:val="21"/>
                <w:szCs w:val="21"/>
                <w:lang w:val="en-US" w:eastAsia="zh-CN" w:bidi="ar"/>
              </w:rPr>
              <w:t>3</w:t>
            </w:r>
            <w:r>
              <w:rPr>
                <w:rFonts w:hint="eastAsia" w:ascii="仿宋_GB2312" w:hAnsi="仿宋_GB2312" w:eastAsia="仿宋_GB2312" w:cs="仿宋_GB2312"/>
                <w:color w:val="000000"/>
                <w:kern w:val="0"/>
                <w:sz w:val="21"/>
                <w:szCs w:val="21"/>
                <w:lang w:bidi="ar"/>
              </w:rPr>
              <w:t>/2</w:t>
            </w:r>
            <w:r>
              <w:rPr>
                <w:rFonts w:hint="eastAsia" w:ascii="仿宋_GB2312" w:hAnsi="仿宋_GB2312" w:cs="仿宋_GB2312"/>
                <w:color w:val="000000"/>
                <w:kern w:val="0"/>
                <w:sz w:val="21"/>
                <w:szCs w:val="21"/>
                <w:lang w:val="en-US" w:eastAsia="zh-CN" w:bidi="ar"/>
              </w:rPr>
              <w:t>2</w:t>
            </w:r>
          </w:p>
        </w:tc>
        <w:tc>
          <w:tcPr>
            <w:tcW w:w="779" w:type="pct"/>
            <w:tcBorders>
              <w:top w:val="single" w:color="auto" w:sz="4" w:space="0"/>
              <w:left w:val="single" w:color="auto" w:sz="4" w:space="0"/>
              <w:bottom w:val="single" w:color="auto" w:sz="4" w:space="0"/>
              <w:right w:val="single" w:color="auto" w:sz="4" w:space="0"/>
            </w:tcBorders>
            <w:noWrap/>
            <w:vAlign w:val="center"/>
          </w:tcPr>
          <w:p w14:paraId="17495E5B">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记</w:t>
            </w:r>
            <w:r>
              <w:rPr>
                <w:rFonts w:hint="eastAsia" w:ascii="仿宋_GB2312" w:hAnsi="仿宋_GB2312" w:cs="仿宋_GB2312"/>
                <w:color w:val="000000"/>
                <w:kern w:val="0"/>
                <w:sz w:val="21"/>
                <w:szCs w:val="21"/>
                <w:lang w:val="en-US" w:eastAsia="zh-CN" w:bidi="ar"/>
              </w:rPr>
              <w:t>9</w:t>
            </w:r>
            <w:r>
              <w:rPr>
                <w:rFonts w:hint="eastAsia" w:ascii="仿宋_GB2312" w:hAnsi="仿宋_GB2312" w:eastAsia="仿宋_GB2312" w:cs="仿宋_GB2312"/>
                <w:color w:val="000000"/>
                <w:kern w:val="0"/>
                <w:sz w:val="21"/>
                <w:szCs w:val="21"/>
                <w:lang w:bidi="ar"/>
              </w:rPr>
              <w:t>号</w:t>
            </w:r>
          </w:p>
        </w:tc>
        <w:tc>
          <w:tcPr>
            <w:tcW w:w="1488" w:type="pct"/>
            <w:tcBorders>
              <w:top w:val="single" w:color="auto" w:sz="4" w:space="0"/>
              <w:left w:val="single" w:color="auto" w:sz="4" w:space="0"/>
              <w:bottom w:val="single" w:color="auto" w:sz="4" w:space="0"/>
              <w:right w:val="single" w:color="auto" w:sz="4" w:space="0"/>
            </w:tcBorders>
            <w:noWrap/>
            <w:vAlign w:val="center"/>
          </w:tcPr>
          <w:p w14:paraId="48DFB661">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工程款</w:t>
            </w:r>
          </w:p>
        </w:tc>
        <w:tc>
          <w:tcPr>
            <w:tcW w:w="813" w:type="pct"/>
            <w:tcBorders>
              <w:top w:val="single" w:color="auto" w:sz="4" w:space="0"/>
              <w:left w:val="single" w:color="auto" w:sz="4" w:space="0"/>
              <w:bottom w:val="single" w:color="auto" w:sz="4" w:space="0"/>
              <w:right w:val="single" w:color="auto" w:sz="4" w:space="0"/>
            </w:tcBorders>
            <w:noWrap/>
            <w:vAlign w:val="center"/>
          </w:tcPr>
          <w:p w14:paraId="24442A68">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20.00</w:t>
            </w:r>
          </w:p>
        </w:tc>
        <w:tc>
          <w:tcPr>
            <w:tcW w:w="901" w:type="pct"/>
            <w:tcBorders>
              <w:top w:val="single" w:color="auto" w:sz="4" w:space="0"/>
              <w:left w:val="single" w:color="auto" w:sz="4" w:space="0"/>
              <w:bottom w:val="single" w:color="auto" w:sz="4" w:space="0"/>
              <w:right w:val="single" w:color="auto" w:sz="4" w:space="0"/>
            </w:tcBorders>
            <w:noWrap/>
            <w:vAlign w:val="center"/>
          </w:tcPr>
          <w:p w14:paraId="7E1E19D9">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r w14:paraId="6B7E8C15">
        <w:tblPrEx>
          <w:tblBorders>
            <w:top w:val="single" w:color="000000" w:sz="8"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85" w:type="pct"/>
            <w:gridSpan w:val="3"/>
            <w:tcBorders>
              <w:top w:val="single" w:color="auto" w:sz="4" w:space="0"/>
              <w:left w:val="single" w:color="auto" w:sz="4" w:space="0"/>
              <w:bottom w:val="single" w:color="auto" w:sz="4" w:space="0"/>
              <w:right w:val="single" w:color="auto" w:sz="4" w:space="0"/>
            </w:tcBorders>
            <w:noWrap/>
            <w:vAlign w:val="center"/>
          </w:tcPr>
          <w:p w14:paraId="0D4818B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lang w:bidi="ar"/>
              </w:rPr>
              <w:t>合</w:t>
            </w:r>
            <w:r>
              <w:rPr>
                <w:rFonts w:hint="eastAsia" w:ascii="仿宋_GB2312" w:hAnsi="仿宋_GB2312" w:cs="仿宋_GB2312"/>
                <w:b/>
                <w:bCs/>
                <w:color w:val="000000"/>
                <w:kern w:val="0"/>
                <w:sz w:val="21"/>
                <w:szCs w:val="21"/>
                <w:lang w:val="en-US" w:eastAsia="zh-CN" w:bidi="ar"/>
              </w:rPr>
              <w:t xml:space="preserve">  </w:t>
            </w:r>
            <w:r>
              <w:rPr>
                <w:rFonts w:hint="eastAsia" w:ascii="仿宋_GB2312" w:hAnsi="仿宋_GB2312" w:eastAsia="仿宋_GB2312" w:cs="仿宋_GB2312"/>
                <w:b/>
                <w:bCs/>
                <w:color w:val="000000"/>
                <w:kern w:val="0"/>
                <w:sz w:val="21"/>
                <w:szCs w:val="21"/>
                <w:lang w:bidi="ar"/>
              </w:rPr>
              <w:t>计</w:t>
            </w:r>
          </w:p>
        </w:tc>
        <w:tc>
          <w:tcPr>
            <w:tcW w:w="813" w:type="pct"/>
            <w:tcBorders>
              <w:top w:val="single" w:color="auto" w:sz="4" w:space="0"/>
              <w:left w:val="single" w:color="auto" w:sz="4" w:space="0"/>
              <w:bottom w:val="single" w:color="auto" w:sz="4" w:space="0"/>
              <w:right w:val="single" w:color="auto" w:sz="4" w:space="0"/>
            </w:tcBorders>
            <w:noWrap/>
            <w:vAlign w:val="center"/>
          </w:tcPr>
          <w:p w14:paraId="6B71A1E7">
            <w:pPr>
              <w:keepNext w:val="0"/>
              <w:keepLines w:val="0"/>
              <w:pageBreakBefore w:val="0"/>
              <w:widowControl/>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cs="仿宋_GB2312"/>
                <w:b/>
                <w:bCs/>
                <w:color w:val="000000"/>
                <w:kern w:val="0"/>
                <w:sz w:val="21"/>
                <w:szCs w:val="21"/>
                <w:lang w:val="en-US" w:eastAsia="zh-CN" w:bidi="ar"/>
              </w:rPr>
              <w:t>220</w:t>
            </w:r>
            <w:r>
              <w:rPr>
                <w:rFonts w:hint="eastAsia" w:ascii="仿宋_GB2312" w:hAnsi="仿宋_GB2312" w:eastAsia="仿宋_GB2312" w:cs="仿宋_GB2312"/>
                <w:b/>
                <w:bCs/>
                <w:color w:val="000000"/>
                <w:kern w:val="0"/>
                <w:sz w:val="21"/>
                <w:szCs w:val="21"/>
                <w:lang w:bidi="ar"/>
              </w:rPr>
              <w:t>.00</w:t>
            </w:r>
          </w:p>
        </w:tc>
        <w:tc>
          <w:tcPr>
            <w:tcW w:w="901" w:type="pct"/>
            <w:tcBorders>
              <w:top w:val="single" w:color="auto" w:sz="4" w:space="0"/>
              <w:left w:val="single" w:color="auto" w:sz="4" w:space="0"/>
              <w:bottom w:val="single" w:color="auto" w:sz="4" w:space="0"/>
              <w:right w:val="single" w:color="auto" w:sz="4" w:space="0"/>
            </w:tcBorders>
            <w:noWrap/>
            <w:vAlign w:val="center"/>
          </w:tcPr>
          <w:p w14:paraId="7ED6B44D">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color w:val="000000"/>
                <w:sz w:val="21"/>
                <w:szCs w:val="21"/>
              </w:rPr>
            </w:pPr>
          </w:p>
        </w:tc>
      </w:tr>
    </w:tbl>
    <w:p w14:paraId="1BB456D2">
      <w:pPr>
        <w:pStyle w:val="4"/>
        <w:bidi w:val="0"/>
        <w:rPr>
          <w:rFonts w:hint="eastAsia"/>
          <w:lang w:val="en-US" w:eastAsia="zh-CN"/>
        </w:rPr>
      </w:pPr>
      <w:bookmarkStart w:id="16" w:name="_Toc27538"/>
      <w:bookmarkStart w:id="17" w:name="_Toc9215"/>
      <w:bookmarkStart w:id="18" w:name="_Toc29895"/>
      <w:r>
        <w:rPr>
          <w:rFonts w:hint="eastAsia"/>
          <w:lang w:val="en-US" w:eastAsia="zh-CN"/>
        </w:rPr>
        <w:t>（二）项目绩效目标</w:t>
      </w:r>
      <w:bookmarkEnd w:id="16"/>
      <w:bookmarkEnd w:id="17"/>
    </w:p>
    <w:p w14:paraId="075C6E8C">
      <w:pPr>
        <w:pStyle w:val="5"/>
        <w:bidi w:val="0"/>
        <w:rPr>
          <w:rFonts w:hint="default"/>
          <w:lang w:val="en-US" w:eastAsia="zh-CN"/>
        </w:rPr>
      </w:pPr>
      <w:r>
        <w:rPr>
          <w:rFonts w:hint="eastAsia"/>
          <w:lang w:val="en-US" w:eastAsia="zh-CN"/>
        </w:rPr>
        <w:t>1.项目预期目标</w:t>
      </w:r>
    </w:p>
    <w:p w14:paraId="18727E2E">
      <w:pPr>
        <w:bidi w:val="0"/>
        <w:rPr>
          <w:rFonts w:hint="eastAsia"/>
          <w:lang w:val="en-US" w:eastAsia="zh-CN"/>
        </w:rPr>
      </w:pPr>
      <w:r>
        <w:rPr>
          <w:rFonts w:hint="eastAsia"/>
          <w:lang w:val="en-US" w:eastAsia="zh-CN"/>
        </w:rPr>
        <w:t>新建一条长930米、高5.5米、顶宽1.5米的溪堤。</w:t>
      </w:r>
    </w:p>
    <w:p w14:paraId="73C9C77B">
      <w:pPr>
        <w:bidi w:val="0"/>
        <w:rPr>
          <w:rFonts w:hint="default"/>
          <w:lang w:val="en-US" w:eastAsia="zh-CN"/>
        </w:rPr>
      </w:pPr>
      <w:r>
        <w:rPr>
          <w:rFonts w:hint="eastAsia"/>
          <w:lang w:val="en-US" w:eastAsia="zh-CN"/>
        </w:rPr>
        <w:t>带动本村及周边村贫困人口30人务工就业，增加贫困人口收入，确保本村520亩良田不被侵毁。</w:t>
      </w:r>
    </w:p>
    <w:p w14:paraId="0F3FFD8A">
      <w:pPr>
        <w:pStyle w:val="5"/>
        <w:bidi w:val="0"/>
        <w:rPr>
          <w:rFonts w:hint="eastAsia"/>
          <w:lang w:val="en-US" w:eastAsia="zh-CN"/>
        </w:rPr>
      </w:pPr>
      <w:r>
        <w:rPr>
          <w:rFonts w:hint="eastAsia"/>
          <w:lang w:val="en-US" w:eastAsia="zh-CN"/>
        </w:rPr>
        <w:t>2.项目预期目标完成情况</w:t>
      </w:r>
    </w:p>
    <w:p w14:paraId="0916E04F">
      <w:pPr>
        <w:bidi w:val="0"/>
        <w:rPr>
          <w:rFonts w:hint="default"/>
          <w:lang w:val="en-US" w:eastAsia="zh-CN"/>
        </w:rPr>
      </w:pPr>
      <w:r>
        <w:rPr>
          <w:rFonts w:hint="eastAsia"/>
          <w:lang w:val="en-US" w:eastAsia="zh-CN"/>
        </w:rPr>
        <w:t>本次建设项目6个月完成新建工作，合计招募45名本村及周边村村民务工就业，共发放劳务报酬1,029,300.00元，并对村民进行技能培训，激发其依靠自身劳动增收致富的内生动力，助力实现巩固拓展脱贫成果同乡村振兴有效衔接。</w:t>
      </w:r>
    </w:p>
    <w:p w14:paraId="22AFC381">
      <w:pPr>
        <w:pStyle w:val="3"/>
        <w:bidi w:val="0"/>
        <w:rPr>
          <w:rFonts w:hint="eastAsia"/>
          <w:lang w:val="en-US" w:eastAsia="zh-CN"/>
        </w:rPr>
      </w:pPr>
      <w:bookmarkStart w:id="19" w:name="_Toc10899"/>
      <w:bookmarkStart w:id="20" w:name="_Toc26294"/>
      <w:r>
        <w:rPr>
          <w:rFonts w:hint="eastAsia"/>
          <w:lang w:val="en-US" w:eastAsia="zh-CN"/>
        </w:rPr>
        <w:t>二、绩效评价工作开展情况</w:t>
      </w:r>
      <w:bookmarkEnd w:id="19"/>
      <w:bookmarkEnd w:id="20"/>
    </w:p>
    <w:p w14:paraId="7BF0643D">
      <w:pPr>
        <w:pStyle w:val="4"/>
        <w:bidi w:val="0"/>
        <w:rPr>
          <w:rFonts w:hint="eastAsia"/>
          <w:lang w:val="en-US" w:eastAsia="zh-CN"/>
        </w:rPr>
      </w:pPr>
      <w:bookmarkStart w:id="21" w:name="_Toc5730"/>
      <w:bookmarkStart w:id="22" w:name="_Toc5644"/>
      <w:r>
        <w:rPr>
          <w:rFonts w:hint="eastAsia"/>
          <w:lang w:val="en-US" w:eastAsia="zh-CN"/>
        </w:rPr>
        <w:t>（一）绩效评价目的、对象和范围</w:t>
      </w:r>
      <w:bookmarkEnd w:id="21"/>
      <w:bookmarkEnd w:id="22"/>
    </w:p>
    <w:p w14:paraId="0C6750C9">
      <w:pPr>
        <w:pStyle w:val="5"/>
        <w:bidi w:val="0"/>
        <w:rPr>
          <w:rFonts w:hint="eastAsia"/>
          <w:lang w:val="en-US" w:eastAsia="zh-CN"/>
        </w:rPr>
      </w:pPr>
      <w:r>
        <w:rPr>
          <w:rFonts w:hint="eastAsia"/>
          <w:lang w:val="en-US" w:eastAsia="zh-CN"/>
        </w:rPr>
        <w:t>1.绩效评价目的</w:t>
      </w:r>
    </w:p>
    <w:p w14:paraId="60B030B4">
      <w:pPr>
        <w:bidi w:val="0"/>
        <w:rPr>
          <w:rFonts w:hint="default"/>
          <w:lang w:val="en-US" w:eastAsia="zh-CN"/>
        </w:rPr>
      </w:pPr>
      <w:r>
        <w:rPr>
          <w:rFonts w:hint="default"/>
          <w:lang w:val="en-US" w:eastAsia="zh-CN"/>
        </w:rPr>
        <w:t>通过对财政资金使用情况和使用效果的综合评价</w:t>
      </w:r>
      <w:r>
        <w:rPr>
          <w:rFonts w:hint="eastAsia"/>
          <w:lang w:val="en-US" w:eastAsia="zh-CN"/>
        </w:rPr>
        <w:t>，</w:t>
      </w:r>
      <w:r>
        <w:rPr>
          <w:rFonts w:hint="default"/>
          <w:lang w:val="en-US" w:eastAsia="zh-CN"/>
        </w:rPr>
        <w:t>旨在把握财政资金在该项目进程中的规范化、制度化、科学化水平。根据绩效评价中发现的问题，分析原因，提出建议，为财政支出管理，强化支出责任，科学配置资源，建立全方位预算绩效管理格局，提高财政资金的使用效益，探索财政资金投入标准的合理性。</w:t>
      </w:r>
      <w:r>
        <w:rPr>
          <w:rFonts w:hint="eastAsia"/>
          <w:lang w:val="en-US" w:eastAsia="zh-CN"/>
        </w:rPr>
        <w:t>根据溪堤改造的项目情况，</w:t>
      </w:r>
      <w:r>
        <w:rPr>
          <w:rFonts w:hint="default"/>
          <w:lang w:val="en-US" w:eastAsia="zh-CN"/>
        </w:rPr>
        <w:t>总结财政资金在该类项目支出中的经验与不足，为合理安排以后年度财政预算提供重要的参考依据。同时加强对财政投入资金的监督和管理，优化支出结构，实现公共资源的合理配置，不断提高财政支出的经济性、效率性和有效性。</w:t>
      </w:r>
    </w:p>
    <w:p w14:paraId="65CE4A19">
      <w:pPr>
        <w:pStyle w:val="5"/>
        <w:bidi w:val="0"/>
        <w:rPr>
          <w:rFonts w:hint="eastAsia"/>
          <w:lang w:val="en-US" w:eastAsia="zh-CN"/>
        </w:rPr>
      </w:pPr>
      <w:r>
        <w:rPr>
          <w:rFonts w:hint="eastAsia"/>
          <w:lang w:val="en-US" w:eastAsia="zh-CN"/>
        </w:rPr>
        <w:t>2.绩效评价对象和范围</w:t>
      </w:r>
    </w:p>
    <w:p w14:paraId="0E6F946E">
      <w:pPr>
        <w:bidi w:val="0"/>
        <w:rPr>
          <w:rFonts w:hint="default"/>
          <w:lang w:val="en-US" w:eastAsia="zh-CN"/>
        </w:rPr>
      </w:pPr>
      <w:r>
        <w:rPr>
          <w:rFonts w:hint="eastAsia"/>
          <w:lang w:val="en-US" w:eastAsia="zh-CN"/>
        </w:rPr>
        <w:t>本次绩效评价的对象，是田湾镇乌金村溪堤建设项目，绩效评价范围为项目绩效目标的设定情况、资金投入和使用情况、为实现绩效目标实施的措施、绩效目标的实现程度及效益等。</w:t>
      </w:r>
    </w:p>
    <w:p w14:paraId="2A4CA911">
      <w:pPr>
        <w:pStyle w:val="4"/>
        <w:bidi w:val="0"/>
        <w:rPr>
          <w:rFonts w:hint="eastAsia"/>
          <w:lang w:val="en-US" w:eastAsia="zh-CN"/>
        </w:rPr>
      </w:pPr>
      <w:bookmarkStart w:id="23" w:name="_Toc28484"/>
      <w:bookmarkStart w:id="24" w:name="_Toc5746"/>
      <w:r>
        <w:rPr>
          <w:rFonts w:hint="eastAsia"/>
          <w:lang w:val="en-US" w:eastAsia="zh-CN"/>
        </w:rPr>
        <w:t>（二）绩效评价原则、指标体系、评价方法和评价标准</w:t>
      </w:r>
      <w:bookmarkEnd w:id="23"/>
      <w:bookmarkEnd w:id="24"/>
    </w:p>
    <w:p w14:paraId="6CD46F8A">
      <w:pPr>
        <w:pStyle w:val="5"/>
        <w:bidi w:val="0"/>
        <w:rPr>
          <w:rFonts w:hint="default"/>
          <w:lang w:val="en-US" w:eastAsia="zh-CN"/>
        </w:rPr>
      </w:pPr>
      <w:r>
        <w:rPr>
          <w:rFonts w:hint="eastAsia"/>
          <w:lang w:val="en-US" w:eastAsia="zh-CN"/>
        </w:rPr>
        <w:t>1.绩效评价原则</w:t>
      </w:r>
    </w:p>
    <w:p w14:paraId="761D53E2">
      <w:pPr>
        <w:bidi w:val="0"/>
      </w:pPr>
      <w:r>
        <w:rPr>
          <w:rFonts w:hint="eastAsia"/>
        </w:rPr>
        <w:t>本次评价遵循下列原则，按照《辰溪县财政资金预算绩效管理实施办法》的要求，结合项目的实际情况，制定项目评价指标表。</w:t>
      </w:r>
    </w:p>
    <w:p w14:paraId="7F7AEC73">
      <w:pPr>
        <w:bidi w:val="0"/>
      </w:pPr>
      <w:r>
        <w:rPr>
          <w:rFonts w:hint="eastAsia"/>
        </w:rPr>
        <w:t>（1）科学规范原则。绩效评价应当严格执行规定的程序，按照科学可行的要求，采用定量与定性分析相结合的方法；</w:t>
      </w:r>
    </w:p>
    <w:p w14:paraId="1A9E269E">
      <w:pPr>
        <w:bidi w:val="0"/>
      </w:pPr>
      <w:r>
        <w:rPr>
          <w:rFonts w:hint="eastAsia"/>
        </w:rPr>
        <w:t>（2）公正公开原则。绩效评价应当符合真实、客观、公正的要求，依法公开并接受监督；</w:t>
      </w:r>
    </w:p>
    <w:p w14:paraId="6530FDE8">
      <w:pPr>
        <w:bidi w:val="0"/>
      </w:pPr>
      <w:r>
        <w:rPr>
          <w:rFonts w:hint="eastAsia"/>
        </w:rPr>
        <w:t>（3）分级分类原则。绩效评价由各级财政部门、各预算部门根据评价对象的特点分类组织实施； </w:t>
      </w:r>
    </w:p>
    <w:p w14:paraId="5F3CE67B">
      <w:pPr>
        <w:bidi w:val="0"/>
      </w:pPr>
      <w:r>
        <w:rPr>
          <w:rFonts w:hint="eastAsia"/>
        </w:rPr>
        <w:t>（4）绩效相关原则。绩效评价应当针对具体支出及其产出绩效进行，评价结果应当清晰反映支出和产出绩效之间的紧密对应关系。</w:t>
      </w:r>
    </w:p>
    <w:p w14:paraId="36E39571">
      <w:pPr>
        <w:pStyle w:val="5"/>
        <w:bidi w:val="0"/>
        <w:rPr>
          <w:rFonts w:hint="default"/>
          <w:lang w:val="en-US" w:eastAsia="zh-CN"/>
        </w:rPr>
      </w:pPr>
      <w:r>
        <w:rPr>
          <w:rFonts w:hint="eastAsia"/>
          <w:lang w:val="en-US" w:eastAsia="zh-CN"/>
        </w:rPr>
        <w:t>2.绩效评价体系</w:t>
      </w:r>
    </w:p>
    <w:p w14:paraId="29881087">
      <w:pPr>
        <w:bidi w:val="0"/>
        <w:rPr>
          <w:rFonts w:hint="eastAsia"/>
        </w:rPr>
      </w:pPr>
      <w:r>
        <w:rPr>
          <w:rFonts w:hint="eastAsia"/>
        </w:rPr>
        <w:t>本次绩效评价指标体系整体框架依据相关文件规定</w:t>
      </w:r>
      <w:r>
        <w:rPr>
          <w:rFonts w:hint="eastAsia"/>
          <w:lang w:eastAsia="zh-CN"/>
        </w:rPr>
        <w:t>，</w:t>
      </w:r>
      <w:r>
        <w:rPr>
          <w:rFonts w:hint="eastAsia"/>
        </w:rPr>
        <w:t>结合本项目情况，由4个一级指标、</w:t>
      </w:r>
      <w:r>
        <w:rPr>
          <w:rFonts w:hint="eastAsia"/>
          <w:lang w:val="en-US" w:eastAsia="zh-CN"/>
        </w:rPr>
        <w:t>12</w:t>
      </w:r>
      <w:r>
        <w:rPr>
          <w:rFonts w:hint="eastAsia"/>
        </w:rPr>
        <w:t>个二级指标组成、</w:t>
      </w:r>
      <w:r>
        <w:rPr>
          <w:rFonts w:hint="eastAsia"/>
          <w:lang w:val="en-US" w:eastAsia="zh-CN"/>
        </w:rPr>
        <w:t>19</w:t>
      </w:r>
      <w:r>
        <w:rPr>
          <w:rFonts w:hint="eastAsia"/>
        </w:rPr>
        <w:t>个三级指标组成。指标数据来源于相关文件、实地调研、问卷调查和访谈等。4个一级指标包括决策、过程、产出、效益指标，决策指标主要从项目立项、绩效目标、</w:t>
      </w:r>
      <w:r>
        <w:rPr>
          <w:rFonts w:hint="eastAsia"/>
          <w:lang w:val="en-US" w:eastAsia="zh-CN"/>
        </w:rPr>
        <w:t>项目预算</w:t>
      </w:r>
      <w:r>
        <w:rPr>
          <w:rFonts w:hint="eastAsia"/>
        </w:rPr>
        <w:t>三个方面加以考察</w:t>
      </w:r>
      <w:r>
        <w:rPr>
          <w:rFonts w:hint="eastAsia"/>
          <w:lang w:eastAsia="zh-CN"/>
        </w:rPr>
        <w:t>；</w:t>
      </w:r>
      <w:r>
        <w:rPr>
          <w:rFonts w:hint="eastAsia"/>
        </w:rPr>
        <w:t>过程类指标主要从</w:t>
      </w:r>
      <w:r>
        <w:rPr>
          <w:rFonts w:hint="eastAsia"/>
          <w:lang w:val="en-US" w:eastAsia="zh-CN"/>
        </w:rPr>
        <w:t>财务</w:t>
      </w:r>
      <w:r>
        <w:rPr>
          <w:rFonts w:hint="eastAsia"/>
        </w:rPr>
        <w:t>管理和组织实施两方面加以考核</w:t>
      </w:r>
      <w:r>
        <w:rPr>
          <w:rFonts w:hint="eastAsia"/>
          <w:lang w:eastAsia="zh-CN"/>
        </w:rPr>
        <w:t>；</w:t>
      </w:r>
      <w:r>
        <w:rPr>
          <w:rFonts w:hint="eastAsia"/>
        </w:rPr>
        <w:t>产出指标评价项目实际产出情况，从产出数量、产出质量、产出时效</w:t>
      </w:r>
      <w:r>
        <w:rPr>
          <w:rFonts w:hint="eastAsia"/>
          <w:lang w:val="en-US" w:eastAsia="zh-CN"/>
        </w:rPr>
        <w:t>三</w:t>
      </w:r>
      <w:r>
        <w:rPr>
          <w:rFonts w:hint="eastAsia"/>
        </w:rPr>
        <w:t>个方面加以考察</w:t>
      </w:r>
      <w:r>
        <w:rPr>
          <w:rFonts w:hint="eastAsia"/>
          <w:lang w:eastAsia="zh-CN"/>
        </w:rPr>
        <w:t>；</w:t>
      </w:r>
      <w:r>
        <w:rPr>
          <w:rFonts w:hint="eastAsia"/>
        </w:rPr>
        <w:t>效益指标综合评价资金投入使用后的效益实现程度，指标设计从社会效益、</w:t>
      </w:r>
      <w:r>
        <w:rPr>
          <w:rFonts w:hint="eastAsia"/>
          <w:lang w:val="en-US" w:eastAsia="zh-CN"/>
        </w:rPr>
        <w:t>生态</w:t>
      </w:r>
      <w:r>
        <w:rPr>
          <w:rFonts w:hint="eastAsia"/>
        </w:rPr>
        <w:t>效益、</w:t>
      </w:r>
      <w:r>
        <w:rPr>
          <w:rFonts w:hint="eastAsia"/>
          <w:lang w:val="en-US" w:eastAsia="zh-CN"/>
        </w:rPr>
        <w:t>可持续影响、受众</w:t>
      </w:r>
      <w:r>
        <w:rPr>
          <w:rFonts w:hint="eastAsia"/>
        </w:rPr>
        <w:t>满意度等角度入手。</w:t>
      </w:r>
    </w:p>
    <w:p w14:paraId="7710B52D">
      <w:pPr>
        <w:pStyle w:val="5"/>
        <w:bidi w:val="0"/>
        <w:rPr>
          <w:rFonts w:hint="default"/>
          <w:lang w:val="en-US" w:eastAsia="zh-CN"/>
        </w:rPr>
      </w:pPr>
      <w:r>
        <w:rPr>
          <w:rFonts w:hint="eastAsia"/>
          <w:lang w:val="en-US" w:eastAsia="zh-CN"/>
        </w:rPr>
        <w:t>3.绩效评价方法</w:t>
      </w:r>
    </w:p>
    <w:p w14:paraId="0AFED7ED">
      <w:pPr>
        <w:bidi w:val="0"/>
        <w:rPr>
          <w:rFonts w:hint="eastAsia"/>
        </w:rPr>
      </w:pPr>
      <w:r>
        <w:rPr>
          <w:rFonts w:hint="eastAsia"/>
        </w:rPr>
        <w:t>本项目主要采用成本收益法、比较法、因素分析法及公众评判法等定性和定量分析相结合的方法</w:t>
      </w:r>
      <w:r>
        <w:rPr>
          <w:rFonts w:hint="eastAsia"/>
          <w:lang w:eastAsia="zh-CN"/>
        </w:rPr>
        <w:t>，</w:t>
      </w:r>
      <w:r>
        <w:rPr>
          <w:rFonts w:hint="eastAsia"/>
        </w:rPr>
        <w:t>通过深入相关区域的现场调研、座谈、查看资料、走访项目主管部门、项目实施单位、管理人员及项目直接受益者等形式开展评价。</w:t>
      </w:r>
    </w:p>
    <w:p w14:paraId="1E92A5DD">
      <w:pPr>
        <w:pStyle w:val="5"/>
        <w:bidi w:val="0"/>
        <w:rPr>
          <w:rFonts w:hint="eastAsia"/>
          <w:lang w:val="en-US" w:eastAsia="zh-CN"/>
        </w:rPr>
      </w:pPr>
      <w:r>
        <w:rPr>
          <w:rFonts w:hint="eastAsia"/>
          <w:lang w:val="en-US" w:eastAsia="zh-CN"/>
        </w:rPr>
        <w:t>4.绩效评价标准</w:t>
      </w:r>
    </w:p>
    <w:p w14:paraId="20B5631E">
      <w:pPr>
        <w:bidi w:val="0"/>
      </w:pPr>
      <w:r>
        <w:rPr>
          <w:rFonts w:hint="eastAsia"/>
        </w:rPr>
        <w:t>（1）计划标准：以预先制定的目标、计划、预算、定额等作为评价标准，主要参考项目申报的绩效目标。</w:t>
      </w:r>
    </w:p>
    <w:p w14:paraId="0C0C83A7">
      <w:pPr>
        <w:bidi w:val="0"/>
      </w:pPr>
      <w:r>
        <w:rPr>
          <w:rFonts w:hint="eastAsia"/>
        </w:rPr>
        <w:t>（2）行业标准：国家公布的行业指标数据制定的评价标准等，参照专项资金管理办法及国家、省、市等相关制度文件。</w:t>
      </w:r>
    </w:p>
    <w:p w14:paraId="6B77711D">
      <w:pPr>
        <w:bidi w:val="0"/>
        <w:outlineLvl w:val="3"/>
      </w:pPr>
      <w:r>
        <w:rPr>
          <w:rFonts w:hint="eastAsia"/>
        </w:rPr>
        <w:t>（3）其他标准：财政部门和预算部门确认或认可的其他合理标准。</w:t>
      </w:r>
    </w:p>
    <w:p w14:paraId="491C1922">
      <w:pPr>
        <w:pStyle w:val="4"/>
        <w:bidi w:val="0"/>
        <w:rPr>
          <w:rFonts w:hint="default"/>
          <w:lang w:val="en-US" w:eastAsia="zh-CN"/>
        </w:rPr>
      </w:pPr>
      <w:bookmarkStart w:id="25" w:name="_Toc19329"/>
      <w:bookmarkStart w:id="26" w:name="_Toc2911"/>
      <w:r>
        <w:rPr>
          <w:rFonts w:hint="eastAsia"/>
          <w:lang w:val="en-US" w:eastAsia="zh-CN"/>
        </w:rPr>
        <w:t>（三）绩效评价工作过程</w:t>
      </w:r>
      <w:bookmarkEnd w:id="25"/>
      <w:bookmarkEnd w:id="26"/>
    </w:p>
    <w:p w14:paraId="74EB0952">
      <w:pPr>
        <w:pStyle w:val="5"/>
        <w:bidi w:val="0"/>
        <w:rPr>
          <w:rFonts w:hint="default"/>
          <w:lang w:val="en-US" w:eastAsia="zh-CN"/>
        </w:rPr>
      </w:pPr>
      <w:r>
        <w:rPr>
          <w:rFonts w:hint="eastAsia"/>
          <w:lang w:val="en-US" w:eastAsia="zh-CN"/>
        </w:rPr>
        <w:t>1.前期准备</w:t>
      </w:r>
    </w:p>
    <w:p w14:paraId="65A9130B">
      <w:pPr>
        <w:bidi w:val="0"/>
        <w:rPr>
          <w:rFonts w:hint="eastAsia" w:ascii="仿宋" w:hAnsi="仿宋" w:eastAsia="仿宋" w:cs="仿宋"/>
          <w:szCs w:val="30"/>
        </w:rPr>
      </w:pPr>
      <w:r>
        <w:rPr>
          <w:rFonts w:hint="eastAsia"/>
          <w:highlight w:val="none"/>
          <w:lang w:val="en-US" w:eastAsia="zh-CN"/>
        </w:rPr>
        <w:t>2024年8月辰溪县财政局委托社会中介机构组建评价组。评价组收集项目资料，了解项目开展情况，确定绩效评价指标体系，根据综合评分，</w:t>
      </w:r>
      <w:r>
        <w:rPr>
          <w:rFonts w:hint="eastAsia"/>
          <w:lang w:val="en-US" w:eastAsia="zh-CN"/>
        </w:rPr>
        <w:t>按照“差、较差、良、优”确定评价等级，总分值为100分，其中：差（评分</w:t>
      </w:r>
      <w:r>
        <w:rPr>
          <w:rFonts w:hint="eastAsia"/>
        </w:rPr>
        <w:t>60分以下）；</w:t>
      </w:r>
      <w:r>
        <w:rPr>
          <w:rFonts w:hint="eastAsia"/>
          <w:lang w:val="en-US" w:eastAsia="zh-CN"/>
        </w:rPr>
        <w:t>较差</w:t>
      </w:r>
      <w:r>
        <w:rPr>
          <w:rFonts w:hint="eastAsia"/>
        </w:rPr>
        <w:t>（评分60分以上至80分以下）；</w:t>
      </w:r>
      <w:r>
        <w:rPr>
          <w:rFonts w:hint="eastAsia"/>
          <w:lang w:val="en-US" w:eastAsia="zh-CN"/>
        </w:rPr>
        <w:t>良</w:t>
      </w:r>
      <w:r>
        <w:rPr>
          <w:rFonts w:hint="eastAsia"/>
        </w:rPr>
        <w:t>（评分80分以上至90分以下）；优（评分90分以上）。</w:t>
      </w:r>
    </w:p>
    <w:p w14:paraId="156D4348">
      <w:pPr>
        <w:pStyle w:val="5"/>
        <w:bidi w:val="0"/>
        <w:rPr>
          <w:rFonts w:hint="default"/>
          <w:lang w:val="en-US" w:eastAsia="zh-CN"/>
        </w:rPr>
      </w:pPr>
      <w:r>
        <w:rPr>
          <w:rFonts w:hint="eastAsia"/>
          <w:lang w:val="en-US" w:eastAsia="zh-CN"/>
        </w:rPr>
        <w:t>2.组织实施</w:t>
      </w:r>
    </w:p>
    <w:p w14:paraId="229E098B">
      <w:pPr>
        <w:bidi w:val="0"/>
        <w:rPr>
          <w:rFonts w:hint="default"/>
          <w:lang w:val="en-US" w:eastAsia="zh-CN"/>
        </w:rPr>
      </w:pPr>
      <w:r>
        <w:rPr>
          <w:rFonts w:hint="eastAsia"/>
          <w:highlight w:val="none"/>
          <w:lang w:val="en-US" w:eastAsia="zh-CN"/>
        </w:rPr>
        <w:t>2024年8月21日-8月23日，评价组</w:t>
      </w:r>
      <w:r>
        <w:rPr>
          <w:rFonts w:hint="eastAsia"/>
          <w:lang w:val="en-US" w:eastAsia="zh-CN"/>
        </w:rPr>
        <w:t>开展评价调研工作。一是查阅资料，查看项目文件和相关资料，了解项目实施过程中存在的问题；二是收集核查资料，对项目基础数据及相关资料进行核查，核实相关制度是否完善，审批程序是否规范，资金使用是否合规，手续是否齐全，是否存在截留、挪用等情况；三是实地走访调查，根据项目实际情况，评价组到项目现场进行调研，听取项目实施单位负责人、项目管理人员和直接受益群众对本项目的评价，获取一手信息。</w:t>
      </w:r>
    </w:p>
    <w:p w14:paraId="23DEB318">
      <w:pPr>
        <w:pStyle w:val="5"/>
        <w:bidi w:val="0"/>
        <w:rPr>
          <w:rFonts w:hint="default"/>
          <w:lang w:val="en-US" w:eastAsia="zh-CN"/>
        </w:rPr>
      </w:pPr>
      <w:r>
        <w:rPr>
          <w:rFonts w:hint="eastAsia"/>
          <w:lang w:val="en-US" w:eastAsia="zh-CN"/>
        </w:rPr>
        <w:t>3.分析评价</w:t>
      </w:r>
    </w:p>
    <w:p w14:paraId="7A2AD1FD">
      <w:pPr>
        <w:bidi w:val="0"/>
        <w:rPr>
          <w:rFonts w:hint="default"/>
          <w:lang w:val="en-US" w:eastAsia="zh-CN"/>
        </w:rPr>
      </w:pPr>
      <w:r>
        <w:rPr>
          <w:rFonts w:hint="eastAsia"/>
          <w:highlight w:val="none"/>
          <w:lang w:val="en-US" w:eastAsia="zh-CN"/>
        </w:rPr>
        <w:t>2024年8月26日-9月24日，评价组按</w:t>
      </w:r>
      <w:r>
        <w:rPr>
          <w:rFonts w:hint="eastAsia"/>
          <w:lang w:val="en-US" w:eastAsia="zh-CN"/>
        </w:rPr>
        <w:t>照绩效评价原则，审查核实所收集的资料，分析采集数据，按绩效评价指标评分表逐项进行分析打分，汇总各方评价意见，召开评价专家组座谈会，沟通项目开展中主要经验及做法、存在的主要问题，分析问题形成的原因，提出相关改进措施及建议，对项目开展整体情况进行评价，形成评价结论，撰写项目评价报告。</w:t>
      </w:r>
    </w:p>
    <w:p w14:paraId="4E69F252">
      <w:pPr>
        <w:pStyle w:val="3"/>
        <w:bidi w:val="0"/>
        <w:rPr>
          <w:rFonts w:hint="eastAsia"/>
        </w:rPr>
      </w:pPr>
      <w:bookmarkStart w:id="27" w:name="_Toc19843"/>
      <w:bookmarkStart w:id="28" w:name="_Toc26489"/>
      <w:r>
        <w:rPr>
          <w:rFonts w:hint="eastAsia"/>
        </w:rPr>
        <w:t>三、综合评价结论及指标分析</w:t>
      </w:r>
      <w:bookmarkEnd w:id="18"/>
      <w:bookmarkEnd w:id="27"/>
      <w:bookmarkEnd w:id="28"/>
    </w:p>
    <w:p w14:paraId="539D17C9">
      <w:pPr>
        <w:pStyle w:val="4"/>
        <w:bidi w:val="0"/>
        <w:rPr>
          <w:rFonts w:hint="eastAsia"/>
        </w:rPr>
      </w:pPr>
      <w:bookmarkStart w:id="29" w:name="_Toc22559"/>
      <w:bookmarkStart w:id="30" w:name="_Toc5080"/>
      <w:r>
        <w:rPr>
          <w:rFonts w:hint="eastAsia"/>
        </w:rPr>
        <w:t>（一）评价结论</w:t>
      </w:r>
      <w:bookmarkEnd w:id="29"/>
      <w:bookmarkEnd w:id="30"/>
    </w:p>
    <w:p w14:paraId="070E70DF">
      <w:pPr>
        <w:bidi w:val="0"/>
        <w:rPr>
          <w:rFonts w:hint="eastAsia"/>
          <w:lang w:eastAsia="zh-CN"/>
        </w:rPr>
      </w:pPr>
      <w:r>
        <w:rPr>
          <w:rFonts w:hint="eastAsia"/>
        </w:rPr>
        <w:t>根据绩效评价指标体系，2023年度辰溪县田湾镇乌金村溪堤建设项目绩效评价得分为</w:t>
      </w:r>
      <w:r>
        <w:rPr>
          <w:rFonts w:hint="eastAsia"/>
          <w:lang w:val="en-US" w:eastAsia="zh-CN"/>
        </w:rPr>
        <w:t>83.20</w:t>
      </w:r>
      <w:r>
        <w:rPr>
          <w:rFonts w:hint="eastAsia"/>
        </w:rPr>
        <w:t>分，评价等级为“</w:t>
      </w:r>
      <w:r>
        <w:rPr>
          <w:rFonts w:hint="eastAsia"/>
          <w:lang w:val="en-US" w:eastAsia="zh-CN"/>
        </w:rPr>
        <w:t>良</w:t>
      </w:r>
      <w:r>
        <w:rPr>
          <w:rFonts w:hint="eastAsia"/>
        </w:rPr>
        <w:t>”</w:t>
      </w:r>
      <w:r>
        <w:rPr>
          <w:rFonts w:hint="eastAsia"/>
          <w:lang w:eastAsia="zh-CN"/>
        </w:rPr>
        <w:t>，</w:t>
      </w:r>
      <w:r>
        <w:rPr>
          <w:rFonts w:hint="eastAsia"/>
          <w:lang w:val="en-US" w:eastAsia="zh-CN"/>
        </w:rPr>
        <w:t>具体得分情况如下</w:t>
      </w:r>
      <w:r>
        <w:rPr>
          <w:rFonts w:hint="eastAsia"/>
        </w:rPr>
        <w:t>（详见附件</w:t>
      </w:r>
      <w:r>
        <w:rPr>
          <w:rFonts w:hint="eastAsia"/>
          <w:lang w:val="en-US" w:eastAsia="zh-CN"/>
        </w:rPr>
        <w:t>一</w:t>
      </w:r>
      <w:r>
        <w:rPr>
          <w:rFonts w:hint="eastAsia"/>
        </w:rPr>
        <w:t>）</w:t>
      </w:r>
      <w:r>
        <w:rPr>
          <w:rFonts w:hint="eastAsia"/>
          <w:lang w:eastAsia="zh-CN"/>
        </w:rPr>
        <w:t>：</w:t>
      </w:r>
    </w:p>
    <w:p w14:paraId="080C028D">
      <w:pPr>
        <w:pStyle w:val="2"/>
        <w:ind w:left="0" w:lef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val="en-US" w:eastAsia="zh-CN"/>
        </w:rPr>
        <w:t>表1  项目绩效指标得分表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3"/>
        <w:gridCol w:w="1491"/>
        <w:gridCol w:w="2168"/>
        <w:gridCol w:w="1737"/>
        <w:gridCol w:w="1763"/>
      </w:tblGrid>
      <w:tr w14:paraId="5DA24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14:paraId="334319A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一级指标</w:t>
            </w:r>
          </w:p>
        </w:tc>
        <w:tc>
          <w:tcPr>
            <w:tcW w:w="1491" w:type="dxa"/>
            <w:noWrap w:val="0"/>
            <w:vAlign w:val="center"/>
          </w:tcPr>
          <w:p w14:paraId="6AFFCDD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二级指标</w:t>
            </w:r>
          </w:p>
        </w:tc>
        <w:tc>
          <w:tcPr>
            <w:tcW w:w="2168" w:type="dxa"/>
            <w:noWrap w:val="0"/>
            <w:vAlign w:val="center"/>
          </w:tcPr>
          <w:p w14:paraId="71DA1FF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三级指标</w:t>
            </w:r>
          </w:p>
        </w:tc>
        <w:tc>
          <w:tcPr>
            <w:tcW w:w="1737" w:type="dxa"/>
            <w:noWrap w:val="0"/>
            <w:vAlign w:val="center"/>
          </w:tcPr>
          <w:p w14:paraId="6151EBB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分值</w:t>
            </w:r>
          </w:p>
        </w:tc>
        <w:tc>
          <w:tcPr>
            <w:tcW w:w="1763" w:type="dxa"/>
            <w:noWrap w:val="0"/>
            <w:vAlign w:val="center"/>
          </w:tcPr>
          <w:p w14:paraId="10D552F3">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kern w:val="0"/>
                <w:sz w:val="21"/>
                <w:szCs w:val="21"/>
                <w:vertAlign w:val="baseline"/>
                <w:lang w:val="en-US" w:eastAsia="zh-CN"/>
              </w:rPr>
              <w:t>得分</w:t>
            </w:r>
          </w:p>
        </w:tc>
      </w:tr>
      <w:tr w14:paraId="2C42F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75B6E3C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决策</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vMerge w:val="restart"/>
            <w:noWrap w:val="0"/>
            <w:vAlign w:val="center"/>
          </w:tcPr>
          <w:p w14:paraId="4293C56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项目立项</w:t>
            </w:r>
          </w:p>
        </w:tc>
        <w:tc>
          <w:tcPr>
            <w:tcW w:w="2168" w:type="dxa"/>
            <w:noWrap w:val="0"/>
            <w:vAlign w:val="center"/>
          </w:tcPr>
          <w:p w14:paraId="565FB95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立项依据充分性</w:t>
            </w:r>
          </w:p>
        </w:tc>
        <w:tc>
          <w:tcPr>
            <w:tcW w:w="1737" w:type="dxa"/>
            <w:noWrap w:val="0"/>
            <w:vAlign w:val="center"/>
          </w:tcPr>
          <w:p w14:paraId="692909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763" w:type="dxa"/>
            <w:noWrap w:val="0"/>
            <w:vAlign w:val="center"/>
          </w:tcPr>
          <w:p w14:paraId="2B78CA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r>
      <w:tr w14:paraId="0E3D3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2DD021B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1104326C">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658C82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立项程序规范性</w:t>
            </w:r>
          </w:p>
        </w:tc>
        <w:tc>
          <w:tcPr>
            <w:tcW w:w="1737" w:type="dxa"/>
            <w:noWrap w:val="0"/>
            <w:vAlign w:val="center"/>
          </w:tcPr>
          <w:p w14:paraId="7D3AA4B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763" w:type="dxa"/>
            <w:noWrap w:val="0"/>
            <w:vAlign w:val="center"/>
          </w:tcPr>
          <w:p w14:paraId="0572BD6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r>
      <w:tr w14:paraId="2FEAD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36E5913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restart"/>
            <w:noWrap w:val="0"/>
            <w:vAlign w:val="center"/>
          </w:tcPr>
          <w:p w14:paraId="7D17A53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绩效目标</w:t>
            </w:r>
          </w:p>
        </w:tc>
        <w:tc>
          <w:tcPr>
            <w:tcW w:w="2168" w:type="dxa"/>
            <w:noWrap w:val="0"/>
            <w:vAlign w:val="center"/>
          </w:tcPr>
          <w:p w14:paraId="158813C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绩效目标合理性</w:t>
            </w:r>
          </w:p>
        </w:tc>
        <w:tc>
          <w:tcPr>
            <w:tcW w:w="1737" w:type="dxa"/>
            <w:noWrap w:val="0"/>
            <w:vAlign w:val="center"/>
          </w:tcPr>
          <w:p w14:paraId="5DFF11B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763" w:type="dxa"/>
            <w:noWrap w:val="0"/>
            <w:vAlign w:val="center"/>
          </w:tcPr>
          <w:p w14:paraId="1F9C2D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3</w:t>
            </w:r>
          </w:p>
        </w:tc>
      </w:tr>
      <w:tr w14:paraId="1510A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69BDACE">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334AD5FD">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4AD3973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绩效指标明确性</w:t>
            </w:r>
          </w:p>
        </w:tc>
        <w:tc>
          <w:tcPr>
            <w:tcW w:w="1737" w:type="dxa"/>
            <w:noWrap w:val="0"/>
            <w:vAlign w:val="center"/>
          </w:tcPr>
          <w:p w14:paraId="3C2854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763" w:type="dxa"/>
            <w:noWrap w:val="0"/>
            <w:vAlign w:val="center"/>
          </w:tcPr>
          <w:p w14:paraId="72481E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0</w:t>
            </w:r>
          </w:p>
        </w:tc>
      </w:tr>
      <w:tr w14:paraId="2C015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2169114E">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317A556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项目预算</w:t>
            </w:r>
          </w:p>
        </w:tc>
        <w:tc>
          <w:tcPr>
            <w:tcW w:w="2168" w:type="dxa"/>
            <w:noWrap w:val="0"/>
            <w:vAlign w:val="center"/>
          </w:tcPr>
          <w:p w14:paraId="081D68B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val="0"/>
                <w:bCs/>
                <w:kern w:val="0"/>
                <w:sz w:val="21"/>
                <w:szCs w:val="21"/>
                <w:vertAlign w:val="baseline"/>
                <w:lang w:val="en-US" w:eastAsia="zh-CN" w:bidi="ar-SA"/>
              </w:rPr>
            </w:pPr>
            <w:r>
              <w:rPr>
                <w:rFonts w:hint="eastAsia" w:ascii="仿宋_GB2312" w:hAnsi="仿宋_GB2312" w:eastAsia="仿宋_GB2312" w:cs="仿宋_GB2312"/>
                <w:b w:val="0"/>
                <w:bCs/>
                <w:kern w:val="0"/>
                <w:sz w:val="21"/>
                <w:szCs w:val="21"/>
                <w:vertAlign w:val="baseline"/>
                <w:lang w:val="en-US" w:eastAsia="zh-CN" w:bidi="ar-SA"/>
              </w:rPr>
              <w:t>预算编制科学性</w:t>
            </w:r>
          </w:p>
        </w:tc>
        <w:tc>
          <w:tcPr>
            <w:tcW w:w="1737" w:type="dxa"/>
            <w:noWrap w:val="0"/>
            <w:vAlign w:val="center"/>
          </w:tcPr>
          <w:p w14:paraId="528116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763" w:type="dxa"/>
            <w:noWrap w:val="0"/>
            <w:vAlign w:val="center"/>
          </w:tcPr>
          <w:p w14:paraId="7E1D18B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1</w:t>
            </w:r>
          </w:p>
        </w:tc>
      </w:tr>
      <w:tr w14:paraId="4F862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756B14C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过程</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vMerge w:val="restart"/>
            <w:noWrap w:val="0"/>
            <w:vAlign w:val="center"/>
          </w:tcPr>
          <w:p w14:paraId="56877791">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财务管理</w:t>
            </w:r>
          </w:p>
        </w:tc>
        <w:tc>
          <w:tcPr>
            <w:tcW w:w="2168" w:type="dxa"/>
            <w:noWrap w:val="0"/>
            <w:vAlign w:val="center"/>
          </w:tcPr>
          <w:p w14:paraId="0310480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资金到位率</w:t>
            </w:r>
          </w:p>
        </w:tc>
        <w:tc>
          <w:tcPr>
            <w:tcW w:w="1737" w:type="dxa"/>
            <w:noWrap w:val="0"/>
            <w:vAlign w:val="center"/>
          </w:tcPr>
          <w:p w14:paraId="61E01F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763" w:type="dxa"/>
            <w:noWrap w:val="0"/>
            <w:vAlign w:val="center"/>
          </w:tcPr>
          <w:p w14:paraId="5814AD5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1.2</w:t>
            </w:r>
          </w:p>
        </w:tc>
      </w:tr>
      <w:tr w14:paraId="378D1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5CE3872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35A1584B">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0EDF76B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资金执行率</w:t>
            </w:r>
          </w:p>
        </w:tc>
        <w:tc>
          <w:tcPr>
            <w:tcW w:w="1737" w:type="dxa"/>
            <w:noWrap w:val="0"/>
            <w:vAlign w:val="center"/>
          </w:tcPr>
          <w:p w14:paraId="0B395D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6AC16C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r>
      <w:tr w14:paraId="45036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6BEF8FC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05DC03A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44084EA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资金使用合规性</w:t>
            </w:r>
          </w:p>
        </w:tc>
        <w:tc>
          <w:tcPr>
            <w:tcW w:w="1737" w:type="dxa"/>
            <w:noWrap w:val="0"/>
            <w:vAlign w:val="center"/>
          </w:tcPr>
          <w:p w14:paraId="5BAED69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6</w:t>
            </w:r>
          </w:p>
        </w:tc>
        <w:tc>
          <w:tcPr>
            <w:tcW w:w="1763" w:type="dxa"/>
            <w:noWrap w:val="0"/>
            <w:vAlign w:val="center"/>
          </w:tcPr>
          <w:p w14:paraId="176DE2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4</w:t>
            </w:r>
          </w:p>
        </w:tc>
      </w:tr>
      <w:tr w14:paraId="61845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BAB769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restart"/>
            <w:noWrap w:val="0"/>
            <w:vAlign w:val="center"/>
          </w:tcPr>
          <w:p w14:paraId="16EAE94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组织实施</w:t>
            </w:r>
          </w:p>
        </w:tc>
        <w:tc>
          <w:tcPr>
            <w:tcW w:w="2168" w:type="dxa"/>
            <w:noWrap w:val="0"/>
            <w:vAlign w:val="center"/>
          </w:tcPr>
          <w:p w14:paraId="1C7DED1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组织保障有效性</w:t>
            </w:r>
          </w:p>
        </w:tc>
        <w:tc>
          <w:tcPr>
            <w:tcW w:w="1737" w:type="dxa"/>
            <w:noWrap w:val="0"/>
            <w:vAlign w:val="center"/>
          </w:tcPr>
          <w:p w14:paraId="2B7695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763" w:type="dxa"/>
            <w:noWrap w:val="0"/>
            <w:vAlign w:val="center"/>
          </w:tcPr>
          <w:p w14:paraId="3770D5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3</w:t>
            </w:r>
          </w:p>
        </w:tc>
      </w:tr>
      <w:tr w14:paraId="68EE5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0B0B48C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51B9F3E4">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208A0A3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组织实施合规性</w:t>
            </w:r>
          </w:p>
        </w:tc>
        <w:tc>
          <w:tcPr>
            <w:tcW w:w="1737" w:type="dxa"/>
            <w:noWrap w:val="0"/>
            <w:vAlign w:val="center"/>
          </w:tcPr>
          <w:p w14:paraId="624B8A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6</w:t>
            </w:r>
          </w:p>
        </w:tc>
        <w:tc>
          <w:tcPr>
            <w:tcW w:w="1763" w:type="dxa"/>
            <w:noWrap w:val="0"/>
            <w:vAlign w:val="center"/>
          </w:tcPr>
          <w:p w14:paraId="130C51D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6</w:t>
            </w:r>
          </w:p>
        </w:tc>
      </w:tr>
      <w:tr w14:paraId="5B8AC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62469BF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产出</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vMerge w:val="restart"/>
            <w:noWrap w:val="0"/>
            <w:vAlign w:val="center"/>
          </w:tcPr>
          <w:p w14:paraId="0042458C">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质量</w:t>
            </w:r>
          </w:p>
        </w:tc>
        <w:tc>
          <w:tcPr>
            <w:tcW w:w="2168" w:type="dxa"/>
            <w:noWrap w:val="0"/>
            <w:vAlign w:val="center"/>
          </w:tcPr>
          <w:p w14:paraId="57AF1FD3">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资质达标情况</w:t>
            </w:r>
          </w:p>
        </w:tc>
        <w:tc>
          <w:tcPr>
            <w:tcW w:w="1737" w:type="dxa"/>
            <w:noWrap w:val="0"/>
            <w:vAlign w:val="center"/>
          </w:tcPr>
          <w:p w14:paraId="561FE3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342B36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r>
      <w:tr w14:paraId="53573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BE0A0E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3E0BE44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4A9704B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质量达标率</w:t>
            </w:r>
          </w:p>
        </w:tc>
        <w:tc>
          <w:tcPr>
            <w:tcW w:w="1737" w:type="dxa"/>
            <w:noWrap w:val="0"/>
            <w:vAlign w:val="center"/>
          </w:tcPr>
          <w:p w14:paraId="25505F5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763" w:type="dxa"/>
            <w:noWrap w:val="0"/>
            <w:vAlign w:val="center"/>
          </w:tcPr>
          <w:p w14:paraId="493B59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8</w:t>
            </w:r>
          </w:p>
        </w:tc>
      </w:tr>
      <w:tr w14:paraId="5869D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5A8A818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4CF0DE37">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数量</w:t>
            </w:r>
          </w:p>
        </w:tc>
        <w:tc>
          <w:tcPr>
            <w:tcW w:w="2168" w:type="dxa"/>
            <w:noWrap w:val="0"/>
            <w:vAlign w:val="center"/>
          </w:tcPr>
          <w:p w14:paraId="520C6D6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实际完成率</w:t>
            </w:r>
          </w:p>
        </w:tc>
        <w:tc>
          <w:tcPr>
            <w:tcW w:w="1737" w:type="dxa"/>
            <w:noWrap w:val="0"/>
            <w:vAlign w:val="center"/>
          </w:tcPr>
          <w:p w14:paraId="47CC47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763" w:type="dxa"/>
            <w:noWrap w:val="0"/>
            <w:vAlign w:val="center"/>
          </w:tcPr>
          <w:p w14:paraId="264781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r>
      <w:tr w14:paraId="32A08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79DBD45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restart"/>
            <w:noWrap w:val="0"/>
            <w:vAlign w:val="center"/>
          </w:tcPr>
          <w:p w14:paraId="15507E6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时效</w:t>
            </w:r>
          </w:p>
        </w:tc>
        <w:tc>
          <w:tcPr>
            <w:tcW w:w="2168" w:type="dxa"/>
            <w:noWrap w:val="0"/>
            <w:vAlign w:val="center"/>
          </w:tcPr>
          <w:p w14:paraId="12493A82">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项目完成及时性</w:t>
            </w:r>
          </w:p>
        </w:tc>
        <w:tc>
          <w:tcPr>
            <w:tcW w:w="1737" w:type="dxa"/>
            <w:noWrap w:val="0"/>
            <w:vAlign w:val="center"/>
          </w:tcPr>
          <w:p w14:paraId="01F8624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6D80E4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5</w:t>
            </w:r>
          </w:p>
        </w:tc>
      </w:tr>
      <w:tr w14:paraId="2AE0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616D62A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vMerge w:val="continue"/>
            <w:noWrap w:val="0"/>
            <w:vAlign w:val="center"/>
          </w:tcPr>
          <w:p w14:paraId="13FCA371">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2168" w:type="dxa"/>
            <w:noWrap w:val="0"/>
            <w:vAlign w:val="center"/>
          </w:tcPr>
          <w:p w14:paraId="04049CA0">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项目决算及时性</w:t>
            </w:r>
          </w:p>
        </w:tc>
        <w:tc>
          <w:tcPr>
            <w:tcW w:w="1737" w:type="dxa"/>
            <w:noWrap w:val="0"/>
            <w:vAlign w:val="center"/>
          </w:tcPr>
          <w:p w14:paraId="3F1619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4E4BB0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5</w:t>
            </w:r>
          </w:p>
        </w:tc>
      </w:tr>
      <w:tr w14:paraId="38ED7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restart"/>
            <w:noWrap w:val="0"/>
            <w:vAlign w:val="center"/>
          </w:tcPr>
          <w:p w14:paraId="287AB533">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效益</w:t>
            </w:r>
            <w:r>
              <w:rPr>
                <w:rFonts w:hint="eastAsia" w:ascii="仿宋_GB2312" w:hAnsi="仿宋_GB2312" w:eastAsia="仿宋_GB2312" w:cs="仿宋_GB2312"/>
                <w:b w:val="0"/>
                <w:bCs/>
                <w:kern w:val="0"/>
                <w:sz w:val="21"/>
                <w:szCs w:val="21"/>
                <w:vertAlign w:val="baseline"/>
                <w:lang w:val="en-US" w:eastAsia="zh-CN"/>
              </w:rPr>
              <w:br w:type="textWrapping"/>
            </w:r>
          </w:p>
        </w:tc>
        <w:tc>
          <w:tcPr>
            <w:tcW w:w="1491" w:type="dxa"/>
            <w:noWrap w:val="0"/>
            <w:vAlign w:val="center"/>
          </w:tcPr>
          <w:p w14:paraId="5C34EC18">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社会效益</w:t>
            </w:r>
          </w:p>
        </w:tc>
        <w:tc>
          <w:tcPr>
            <w:tcW w:w="2168" w:type="dxa"/>
            <w:noWrap w:val="0"/>
            <w:vAlign w:val="center"/>
          </w:tcPr>
          <w:p w14:paraId="2B691210">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社会效益</w:t>
            </w:r>
          </w:p>
        </w:tc>
        <w:tc>
          <w:tcPr>
            <w:tcW w:w="1737" w:type="dxa"/>
            <w:noWrap w:val="0"/>
            <w:vAlign w:val="center"/>
          </w:tcPr>
          <w:p w14:paraId="6DD87DE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553B50A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cs="仿宋_GB2312"/>
                <w:i w:val="0"/>
                <w:iCs w:val="0"/>
                <w:color w:val="000000"/>
                <w:kern w:val="0"/>
                <w:sz w:val="21"/>
                <w:szCs w:val="21"/>
                <w:u w:val="none"/>
                <w:lang w:val="en-US" w:eastAsia="zh-CN" w:bidi="ar"/>
              </w:rPr>
              <w:t>5</w:t>
            </w:r>
          </w:p>
        </w:tc>
      </w:tr>
      <w:tr w14:paraId="09F01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0BF4060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2FAD56A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生态效益</w:t>
            </w:r>
          </w:p>
        </w:tc>
        <w:tc>
          <w:tcPr>
            <w:tcW w:w="2168" w:type="dxa"/>
            <w:noWrap w:val="0"/>
            <w:vAlign w:val="center"/>
          </w:tcPr>
          <w:p w14:paraId="40C1641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生态效益</w:t>
            </w:r>
          </w:p>
        </w:tc>
        <w:tc>
          <w:tcPr>
            <w:tcW w:w="1737" w:type="dxa"/>
            <w:noWrap w:val="0"/>
            <w:vAlign w:val="center"/>
          </w:tcPr>
          <w:p w14:paraId="60DC33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59D2DE2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2.5</w:t>
            </w:r>
          </w:p>
        </w:tc>
      </w:tr>
      <w:tr w14:paraId="2BB1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45753099">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2FA66A10">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可持续效益</w:t>
            </w:r>
          </w:p>
        </w:tc>
        <w:tc>
          <w:tcPr>
            <w:tcW w:w="2168" w:type="dxa"/>
            <w:noWrap w:val="0"/>
            <w:vAlign w:val="center"/>
          </w:tcPr>
          <w:p w14:paraId="294BA76F">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项目可持续影响</w:t>
            </w:r>
          </w:p>
        </w:tc>
        <w:tc>
          <w:tcPr>
            <w:tcW w:w="1737" w:type="dxa"/>
            <w:noWrap w:val="0"/>
            <w:vAlign w:val="center"/>
          </w:tcPr>
          <w:p w14:paraId="56660B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763" w:type="dxa"/>
            <w:noWrap w:val="0"/>
            <w:vAlign w:val="center"/>
          </w:tcPr>
          <w:p w14:paraId="776FB1E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kern w:val="0"/>
                <w:sz w:val="21"/>
                <w:szCs w:val="21"/>
                <w:vertAlign w:val="baseline"/>
                <w:lang w:val="en-US" w:eastAsia="zh-CN"/>
              </w:rPr>
            </w:pPr>
            <w:r>
              <w:rPr>
                <w:rFonts w:hint="eastAsia" w:ascii="仿宋_GB2312" w:hAnsi="仿宋_GB2312" w:cs="仿宋_GB2312"/>
                <w:i w:val="0"/>
                <w:iCs w:val="0"/>
                <w:color w:val="000000"/>
                <w:kern w:val="0"/>
                <w:sz w:val="21"/>
                <w:szCs w:val="21"/>
                <w:u w:val="none"/>
                <w:lang w:val="en-US" w:eastAsia="zh-CN" w:bidi="ar"/>
              </w:rPr>
              <w:t>2.5</w:t>
            </w:r>
          </w:p>
        </w:tc>
      </w:tr>
      <w:tr w14:paraId="504E5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vMerge w:val="continue"/>
            <w:noWrap w:val="0"/>
            <w:vAlign w:val="center"/>
          </w:tcPr>
          <w:p w14:paraId="61907B7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p>
        </w:tc>
        <w:tc>
          <w:tcPr>
            <w:tcW w:w="1491" w:type="dxa"/>
            <w:noWrap w:val="0"/>
            <w:vAlign w:val="center"/>
          </w:tcPr>
          <w:p w14:paraId="3F797CF6">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满意度</w:t>
            </w:r>
          </w:p>
        </w:tc>
        <w:tc>
          <w:tcPr>
            <w:tcW w:w="2168" w:type="dxa"/>
            <w:noWrap w:val="0"/>
            <w:vAlign w:val="center"/>
          </w:tcPr>
          <w:p w14:paraId="0C4A8FE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val="0"/>
                <w:bCs/>
                <w:kern w:val="0"/>
                <w:sz w:val="21"/>
                <w:szCs w:val="21"/>
                <w:vertAlign w:val="baseline"/>
                <w:lang w:val="en-US" w:eastAsia="zh-CN"/>
              </w:rPr>
            </w:pPr>
            <w:r>
              <w:rPr>
                <w:rFonts w:hint="eastAsia" w:ascii="仿宋_GB2312" w:hAnsi="仿宋_GB2312" w:eastAsia="仿宋_GB2312" w:cs="仿宋_GB2312"/>
                <w:b w:val="0"/>
                <w:bCs/>
                <w:kern w:val="0"/>
                <w:sz w:val="21"/>
                <w:szCs w:val="21"/>
                <w:vertAlign w:val="baseline"/>
                <w:lang w:val="en-US" w:eastAsia="zh-CN"/>
              </w:rPr>
              <w:t>公众满意度</w:t>
            </w:r>
          </w:p>
        </w:tc>
        <w:tc>
          <w:tcPr>
            <w:tcW w:w="1737" w:type="dxa"/>
            <w:noWrap w:val="0"/>
            <w:vAlign w:val="center"/>
          </w:tcPr>
          <w:p w14:paraId="4405CB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763" w:type="dxa"/>
            <w:noWrap w:val="0"/>
            <w:vAlign w:val="center"/>
          </w:tcPr>
          <w:p w14:paraId="3C205FB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kern w:val="0"/>
                <w:sz w:val="21"/>
                <w:szCs w:val="21"/>
                <w:vertAlign w:val="baseline"/>
                <w:lang w:eastAsia="zh-CN"/>
              </w:rPr>
            </w:pPr>
            <w:r>
              <w:rPr>
                <w:rFonts w:hint="eastAsia" w:ascii="仿宋_GB2312" w:hAnsi="仿宋_GB2312" w:eastAsia="仿宋_GB2312" w:cs="仿宋_GB2312"/>
                <w:i w:val="0"/>
                <w:iCs w:val="0"/>
                <w:color w:val="000000"/>
                <w:kern w:val="0"/>
                <w:sz w:val="21"/>
                <w:szCs w:val="21"/>
                <w:u w:val="none"/>
                <w:lang w:val="en-US" w:eastAsia="zh-CN" w:bidi="ar"/>
              </w:rPr>
              <w:t>10</w:t>
            </w:r>
          </w:p>
        </w:tc>
      </w:tr>
      <w:tr w14:paraId="23861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2" w:type="dxa"/>
            <w:gridSpan w:val="3"/>
            <w:noWrap w:val="0"/>
            <w:vAlign w:val="center"/>
          </w:tcPr>
          <w:p w14:paraId="237982BA">
            <w:pPr>
              <w:pStyle w:val="2"/>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baseline"/>
              <w:rPr>
                <w:rFonts w:hint="eastAsia" w:ascii="仿宋_GB2312" w:hAnsi="仿宋_GB2312" w:eastAsia="仿宋_GB2312" w:cs="仿宋_GB2312"/>
                <w:b/>
                <w:bCs w:val="0"/>
                <w:kern w:val="0"/>
                <w:sz w:val="21"/>
                <w:szCs w:val="21"/>
                <w:vertAlign w:val="baseline"/>
                <w:lang w:val="en-US" w:eastAsia="zh-CN"/>
              </w:rPr>
            </w:pPr>
            <w:r>
              <w:rPr>
                <w:rFonts w:hint="eastAsia" w:ascii="仿宋_GB2312" w:hAnsi="仿宋_GB2312" w:eastAsia="仿宋_GB2312" w:cs="仿宋_GB2312"/>
                <w:b/>
                <w:bCs w:val="0"/>
                <w:kern w:val="0"/>
                <w:sz w:val="21"/>
                <w:szCs w:val="21"/>
                <w:vertAlign w:val="baseline"/>
                <w:lang w:val="en-US" w:eastAsia="zh-CN"/>
              </w:rPr>
              <w:t>合  计</w:t>
            </w:r>
          </w:p>
        </w:tc>
        <w:tc>
          <w:tcPr>
            <w:tcW w:w="1737" w:type="dxa"/>
            <w:noWrap w:val="0"/>
            <w:vAlign w:val="center"/>
          </w:tcPr>
          <w:p w14:paraId="50DAC82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val="0"/>
                <w:kern w:val="0"/>
                <w:sz w:val="21"/>
                <w:szCs w:val="21"/>
                <w:vertAlign w:val="baseline"/>
                <w:lang w:eastAsia="zh-CN"/>
              </w:rPr>
            </w:pPr>
            <w:r>
              <w:rPr>
                <w:rFonts w:hint="eastAsia" w:ascii="仿宋_GB2312" w:hAnsi="仿宋_GB2312" w:eastAsia="仿宋_GB2312" w:cs="仿宋_GB2312"/>
                <w:b/>
                <w:bCs w:val="0"/>
                <w:i w:val="0"/>
                <w:iCs w:val="0"/>
                <w:color w:val="000000"/>
                <w:kern w:val="0"/>
                <w:sz w:val="21"/>
                <w:szCs w:val="21"/>
                <w:u w:val="none"/>
                <w:lang w:val="en-US" w:eastAsia="zh-CN" w:bidi="ar"/>
              </w:rPr>
              <w:t>100</w:t>
            </w:r>
          </w:p>
        </w:tc>
        <w:tc>
          <w:tcPr>
            <w:tcW w:w="1763" w:type="dxa"/>
            <w:noWrap w:val="0"/>
            <w:vAlign w:val="center"/>
          </w:tcPr>
          <w:p w14:paraId="5FDBAB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b/>
                <w:bCs w:val="0"/>
                <w:kern w:val="0"/>
                <w:sz w:val="21"/>
                <w:szCs w:val="21"/>
                <w:vertAlign w:val="baseline"/>
                <w:lang w:val="en-US" w:eastAsia="zh-CN"/>
              </w:rPr>
            </w:pPr>
            <w:r>
              <w:rPr>
                <w:rFonts w:hint="eastAsia" w:ascii="仿宋_GB2312" w:hAnsi="仿宋_GB2312" w:cs="仿宋_GB2312"/>
                <w:b/>
                <w:bCs w:val="0"/>
                <w:i w:val="0"/>
                <w:iCs w:val="0"/>
                <w:color w:val="000000"/>
                <w:kern w:val="0"/>
                <w:sz w:val="21"/>
                <w:szCs w:val="21"/>
                <w:u w:val="none"/>
                <w:lang w:val="en-US" w:eastAsia="zh-CN" w:bidi="ar"/>
              </w:rPr>
              <w:t>83.20</w:t>
            </w:r>
          </w:p>
        </w:tc>
      </w:tr>
    </w:tbl>
    <w:p w14:paraId="17A4C8A3">
      <w:pPr>
        <w:pStyle w:val="4"/>
        <w:bidi w:val="0"/>
        <w:rPr>
          <w:rFonts w:hint="eastAsia"/>
        </w:rPr>
      </w:pPr>
      <w:bookmarkStart w:id="31" w:name="_Toc5860"/>
      <w:bookmarkStart w:id="32" w:name="_Toc27093"/>
      <w:r>
        <w:rPr>
          <w:rFonts w:hint="eastAsia"/>
          <w:lang w:eastAsia="zh-CN"/>
        </w:rPr>
        <w:t>（</w:t>
      </w:r>
      <w:r>
        <w:rPr>
          <w:rFonts w:hint="eastAsia"/>
        </w:rPr>
        <w:t>二</w:t>
      </w:r>
      <w:r>
        <w:rPr>
          <w:rFonts w:hint="eastAsia"/>
          <w:lang w:eastAsia="zh-CN"/>
        </w:rPr>
        <w:t>）</w:t>
      </w:r>
      <w:r>
        <w:rPr>
          <w:rFonts w:hint="eastAsia"/>
        </w:rPr>
        <w:t>指标分析</w:t>
      </w:r>
      <w:bookmarkEnd w:id="31"/>
      <w:bookmarkEnd w:id="32"/>
    </w:p>
    <w:p w14:paraId="37C858CE">
      <w:pPr>
        <w:pStyle w:val="5"/>
        <w:bidi w:val="0"/>
        <w:rPr>
          <w:rFonts w:hint="eastAsia"/>
        </w:rPr>
      </w:pPr>
      <w:r>
        <w:rPr>
          <w:rFonts w:hint="eastAsia"/>
        </w:rPr>
        <w:t>1.决策过程</w:t>
      </w:r>
    </w:p>
    <w:p w14:paraId="4C05136A">
      <w:pPr>
        <w:bidi w:val="0"/>
        <w:rPr>
          <w:rFonts w:hint="eastAsia"/>
        </w:rPr>
      </w:pPr>
      <w:r>
        <w:rPr>
          <w:rFonts w:hint="eastAsia"/>
        </w:rPr>
        <w:t>该类指标包括</w:t>
      </w:r>
      <w:r>
        <w:rPr>
          <w:rFonts w:hint="eastAsia"/>
          <w:lang w:val="en-US" w:eastAsia="zh-CN"/>
        </w:rPr>
        <w:t>项目立项</w:t>
      </w:r>
      <w:r>
        <w:rPr>
          <w:rFonts w:hint="eastAsia"/>
        </w:rPr>
        <w:t>、绩效目标、项目预算三个二级指标，立项依据充分性、立项程序规范性、绩效目标合理性、绩效指标明确性和预算指标科学性五个三级指标，主要评价项目立项依据是否合规、绩效目标是否清晰、预算是否科学合理。满分18.00分，评价得分1</w:t>
      </w:r>
      <w:r>
        <w:rPr>
          <w:rFonts w:hint="eastAsia"/>
          <w:lang w:val="en-US" w:eastAsia="zh-CN"/>
        </w:rPr>
        <w:t>1</w:t>
      </w:r>
      <w:r>
        <w:rPr>
          <w:rFonts w:hint="eastAsia"/>
        </w:rPr>
        <w:t>.00分，得分率</w:t>
      </w:r>
      <w:r>
        <w:rPr>
          <w:rFonts w:hint="eastAsia"/>
          <w:lang w:val="en-US" w:eastAsia="zh-CN"/>
        </w:rPr>
        <w:t>61.11</w:t>
      </w:r>
      <w:r>
        <w:rPr>
          <w:rFonts w:hint="eastAsia"/>
        </w:rPr>
        <w:t>%。</w:t>
      </w:r>
    </w:p>
    <w:p w14:paraId="2CCAC72D">
      <w:pPr>
        <w:bidi w:val="0"/>
        <w:rPr>
          <w:rFonts w:hint="eastAsia"/>
        </w:rPr>
      </w:pPr>
      <w:r>
        <w:rPr>
          <w:rFonts w:hint="eastAsia"/>
        </w:rPr>
        <w:t>（1）立项依据充分性</w:t>
      </w:r>
      <w:r>
        <w:t>（满分</w:t>
      </w:r>
      <w:r>
        <w:rPr>
          <w:rFonts w:hint="eastAsia"/>
        </w:rPr>
        <w:t>4</w:t>
      </w:r>
      <w:r>
        <w:t>.00分，得分</w:t>
      </w:r>
      <w:r>
        <w:rPr>
          <w:rFonts w:hint="eastAsia"/>
        </w:rPr>
        <w:t>4</w:t>
      </w:r>
      <w:r>
        <w:t>.00分，得分率100.00%）。</w:t>
      </w:r>
    </w:p>
    <w:p w14:paraId="158F75B6">
      <w:pPr>
        <w:bidi w:val="0"/>
        <w:rPr>
          <w:rFonts w:hint="eastAsia"/>
        </w:rPr>
      </w:pPr>
      <w:r>
        <w:rPr>
          <w:rFonts w:hint="eastAsia"/>
          <w:lang w:val="en-US" w:eastAsia="zh-CN"/>
        </w:rPr>
        <w:t>依据省、县文件规定，完成辰溪县田湾镇2023年中央财政以工代赈建设项目（乌金村公益性基础设施建设项目），</w:t>
      </w:r>
      <w:r>
        <w:rPr>
          <w:rFonts w:hint="eastAsia"/>
        </w:rPr>
        <w:t>符合国家法律法规、国民经济发展规划和相关政策，符合行业发展规划和政策要求</w:t>
      </w:r>
      <w:r>
        <w:t>以及上级主管部门规定，</w:t>
      </w:r>
      <w:r>
        <w:rPr>
          <w:rFonts w:hint="eastAsia"/>
        </w:rPr>
        <w:t>与部门职责范围相符，属于部门履职所需</w:t>
      </w:r>
      <w:r>
        <w:rPr>
          <w:rFonts w:hint="eastAsia"/>
          <w:lang w:eastAsia="zh-CN"/>
        </w:rPr>
        <w:t>，</w:t>
      </w:r>
      <w:r>
        <w:rPr>
          <w:rFonts w:hint="eastAsia"/>
        </w:rPr>
        <w:t>项目立项前进行了需求分析，内容完整、深入、全面、满足申报条件。</w:t>
      </w:r>
    </w:p>
    <w:p w14:paraId="5F37C8A2">
      <w:pPr>
        <w:bidi w:val="0"/>
        <w:rPr>
          <w:rFonts w:hint="eastAsia"/>
        </w:rPr>
      </w:pPr>
      <w:r>
        <w:rPr>
          <w:rFonts w:hint="eastAsia"/>
        </w:rPr>
        <w:t>（2）立项程序规范性</w:t>
      </w:r>
      <w:r>
        <w:t>（满分</w:t>
      </w:r>
      <w:r>
        <w:rPr>
          <w:rFonts w:hint="eastAsia"/>
        </w:rPr>
        <w:t>3</w:t>
      </w:r>
      <w:r>
        <w:t>.00分，得分</w:t>
      </w:r>
      <w:r>
        <w:rPr>
          <w:rFonts w:hint="eastAsia"/>
        </w:rPr>
        <w:t>3</w:t>
      </w:r>
      <w:r>
        <w:t>.00分，得分率100.00%）。</w:t>
      </w:r>
    </w:p>
    <w:p w14:paraId="776B6C58">
      <w:pPr>
        <w:bidi w:val="0"/>
        <w:rPr>
          <w:rFonts w:hint="eastAsia"/>
        </w:rPr>
      </w:pPr>
      <w:r>
        <w:rPr>
          <w:rFonts w:hint="eastAsia"/>
        </w:rPr>
        <w:t>项目由</w:t>
      </w:r>
      <w:r>
        <w:rPr>
          <w:rFonts w:hint="eastAsia"/>
          <w:lang w:val="en-US" w:eastAsia="zh-CN"/>
        </w:rPr>
        <w:t>省发改委、县委下达通知文件，田湾镇人民政府主导</w:t>
      </w:r>
      <w:r>
        <w:rPr>
          <w:rFonts w:hint="eastAsia"/>
        </w:rPr>
        <w:t>，</w:t>
      </w:r>
      <w:r>
        <w:rPr>
          <w:rFonts w:hint="eastAsia"/>
          <w:lang w:val="en-US" w:eastAsia="zh-CN"/>
        </w:rPr>
        <w:t>中资华文规划设计有限公司出具《辰溪县田湾镇2023年中央财政以工代赈建设项目（乌金村公益性基础设施建设项目）可行性研究报告》，辰溪县发展和改革局批复了可研报告（辰发改赈〔2022〕5号）</w:t>
      </w:r>
      <w:r>
        <w:rPr>
          <w:rFonts w:hint="eastAsia"/>
        </w:rPr>
        <w:t>。</w:t>
      </w:r>
    </w:p>
    <w:p w14:paraId="16FE544C">
      <w:pPr>
        <w:bidi w:val="0"/>
        <w:rPr>
          <w:rFonts w:hint="eastAsia"/>
        </w:rPr>
      </w:pPr>
      <w:r>
        <w:rPr>
          <w:rFonts w:hint="eastAsia"/>
        </w:rPr>
        <w:t>（3）绩效目标合理性</w:t>
      </w:r>
      <w:r>
        <w:t>（满分</w:t>
      </w:r>
      <w:r>
        <w:rPr>
          <w:rFonts w:hint="eastAsia"/>
        </w:rPr>
        <w:t>4</w:t>
      </w:r>
      <w:r>
        <w:t>.00分，得分</w:t>
      </w:r>
      <w:r>
        <w:rPr>
          <w:rFonts w:hint="eastAsia"/>
        </w:rPr>
        <w:t>3</w:t>
      </w:r>
      <w:r>
        <w:t>.00分，得分率</w:t>
      </w:r>
      <w:r>
        <w:rPr>
          <w:rFonts w:hint="eastAsia"/>
        </w:rPr>
        <w:t>75</w:t>
      </w:r>
      <w:r>
        <w:t>.00%）。</w:t>
      </w:r>
    </w:p>
    <w:p w14:paraId="4D6EB756">
      <w:pPr>
        <w:bidi w:val="0"/>
        <w:rPr>
          <w:rFonts w:hint="eastAsia"/>
        </w:rPr>
      </w:pPr>
      <w:r>
        <w:rPr>
          <w:rFonts w:hint="eastAsia"/>
        </w:rPr>
        <w:t>项目绩效目标为</w:t>
      </w:r>
      <w:r>
        <w:rPr>
          <w:rFonts w:hint="eastAsia"/>
          <w:lang w:val="en-US" w:eastAsia="zh-CN"/>
        </w:rPr>
        <w:t>新建溪堤，带动本村及周边村贫困人口务工就业，增加贫困人口收入</w:t>
      </w:r>
      <w:r>
        <w:rPr>
          <w:rFonts w:hint="eastAsia"/>
        </w:rPr>
        <w:t>，与实际工作内容具有相关性，与确定的项目资金量相匹配。但项目绩效目标未能全面反映项目应达到的数量、质量、时效、成本及预期效益。</w:t>
      </w:r>
    </w:p>
    <w:p w14:paraId="4CC7A5CA">
      <w:pPr>
        <w:bidi w:val="0"/>
        <w:rPr>
          <w:rFonts w:hint="eastAsia"/>
        </w:rPr>
      </w:pPr>
      <w:r>
        <w:rPr>
          <w:rFonts w:hint="eastAsia"/>
        </w:rPr>
        <w:t>（4）绩效指标明确性（</w:t>
      </w:r>
      <w:r>
        <w:t>满分</w:t>
      </w:r>
      <w:r>
        <w:rPr>
          <w:rFonts w:hint="eastAsia"/>
        </w:rPr>
        <w:t>3</w:t>
      </w:r>
      <w:r>
        <w:t>.00分，得分</w:t>
      </w:r>
      <w:r>
        <w:rPr>
          <w:rFonts w:hint="eastAsia"/>
          <w:lang w:val="en-US" w:eastAsia="zh-CN"/>
        </w:rPr>
        <w:t>0</w:t>
      </w:r>
      <w:r>
        <w:t>.00分，得分率</w:t>
      </w:r>
      <w:r>
        <w:rPr>
          <w:rFonts w:hint="eastAsia"/>
          <w:lang w:val="en-US" w:eastAsia="zh-CN"/>
        </w:rPr>
        <w:t>0.00</w:t>
      </w:r>
      <w:r>
        <w:t>%）。</w:t>
      </w:r>
    </w:p>
    <w:p w14:paraId="32EE505F">
      <w:pPr>
        <w:bidi w:val="0"/>
        <w:rPr>
          <w:rFonts w:hint="eastAsia"/>
        </w:rPr>
      </w:pPr>
      <w:r>
        <w:rPr>
          <w:rFonts w:hint="eastAsia"/>
        </w:rPr>
        <w:t>项目未将项目绩效目标细化分解为具体的绩效指标，未与项目目标计划数相对应。</w:t>
      </w:r>
    </w:p>
    <w:p w14:paraId="38F56C69">
      <w:pPr>
        <w:bidi w:val="0"/>
        <w:rPr>
          <w:rFonts w:hint="eastAsia"/>
          <w:highlight w:val="none"/>
        </w:rPr>
      </w:pPr>
      <w:r>
        <w:rPr>
          <w:rFonts w:hint="eastAsia"/>
          <w:highlight w:val="none"/>
        </w:rPr>
        <w:t>（5）预算编制科学性（</w:t>
      </w:r>
      <w:r>
        <w:rPr>
          <w:highlight w:val="none"/>
        </w:rPr>
        <w:t>满分</w:t>
      </w:r>
      <w:r>
        <w:rPr>
          <w:rFonts w:hint="eastAsia"/>
          <w:highlight w:val="none"/>
        </w:rPr>
        <w:t>4</w:t>
      </w:r>
      <w:r>
        <w:rPr>
          <w:highlight w:val="none"/>
        </w:rPr>
        <w:t>.00分，得分</w:t>
      </w:r>
      <w:r>
        <w:rPr>
          <w:rFonts w:hint="eastAsia"/>
          <w:highlight w:val="none"/>
          <w:lang w:val="en-US" w:eastAsia="zh-CN"/>
        </w:rPr>
        <w:t>1</w:t>
      </w:r>
      <w:r>
        <w:rPr>
          <w:highlight w:val="none"/>
        </w:rPr>
        <w:t>.00分，得分率</w:t>
      </w:r>
      <w:r>
        <w:rPr>
          <w:rFonts w:hint="eastAsia"/>
          <w:highlight w:val="none"/>
          <w:lang w:val="en-US" w:eastAsia="zh-CN"/>
        </w:rPr>
        <w:t>25</w:t>
      </w:r>
      <w:r>
        <w:rPr>
          <w:highlight w:val="none"/>
        </w:rPr>
        <w:t>.00%）。</w:t>
      </w:r>
    </w:p>
    <w:p w14:paraId="0839F9F0">
      <w:pPr>
        <w:bidi w:val="0"/>
        <w:rPr>
          <w:rFonts w:hint="eastAsia"/>
        </w:rPr>
      </w:pPr>
      <w:r>
        <w:rPr>
          <w:rFonts w:hint="eastAsia"/>
        </w:rPr>
        <w:t>预算项目不够准确，</w:t>
      </w:r>
      <w:r>
        <w:rPr>
          <w:rFonts w:hint="eastAsia"/>
          <w:lang w:val="en-US" w:eastAsia="zh-CN"/>
        </w:rPr>
        <w:t>2022年9月提交的可研和批复，预算总额均为345万元，但2023年4月提交的送审预算为398.86万元，</w:t>
      </w:r>
      <w:r>
        <w:rPr>
          <w:rFonts w:hint="eastAsia"/>
        </w:rPr>
        <w:t>前后预算金额不一致，与批复内容有出入且未提供新的预算报告；单项预算超标，</w:t>
      </w:r>
      <w:r>
        <w:rPr>
          <w:rFonts w:hint="eastAsia"/>
          <w:lang w:val="en-US" w:eastAsia="zh-CN"/>
        </w:rPr>
        <w:t>2022年9月提交的可研和批复中劳务报酬发放金额为98.40万元，实际发放102.93万元，</w:t>
      </w:r>
      <w:r>
        <w:rPr>
          <w:rFonts w:hint="eastAsia"/>
        </w:rPr>
        <w:t>编制论证不充分。</w:t>
      </w:r>
    </w:p>
    <w:p w14:paraId="71BD2654">
      <w:pPr>
        <w:pStyle w:val="5"/>
        <w:bidi w:val="0"/>
        <w:rPr>
          <w:rFonts w:hint="eastAsia"/>
        </w:rPr>
      </w:pPr>
      <w:r>
        <w:rPr>
          <w:rFonts w:hint="eastAsia"/>
        </w:rPr>
        <w:t>2.过程情况</w:t>
      </w:r>
    </w:p>
    <w:p w14:paraId="0F64CF50">
      <w:pPr>
        <w:bidi w:val="0"/>
        <w:rPr>
          <w:rFonts w:hint="eastAsia"/>
        </w:rPr>
      </w:pPr>
      <w:r>
        <w:rPr>
          <w:rFonts w:hint="eastAsia"/>
        </w:rPr>
        <w:t>该类指标包括财务管理、组织实施二个二级指标，资金到位率、资金执行率、资金使用合规性、组织保障有效性和组织实施合规性五个三级指标，主要评价项目资金管理是否合规、过程管理是否有效合规。满分</w:t>
      </w:r>
      <w:r>
        <w:rPr>
          <w:rFonts w:hint="eastAsia"/>
          <w:lang w:val="en-US" w:eastAsia="zh-CN"/>
        </w:rPr>
        <w:t>22</w:t>
      </w:r>
      <w:r>
        <w:rPr>
          <w:rFonts w:hint="eastAsia"/>
        </w:rPr>
        <w:t>.00分，评价得分</w:t>
      </w:r>
      <w:r>
        <w:rPr>
          <w:rFonts w:hint="eastAsia"/>
          <w:lang w:val="en-US" w:eastAsia="zh-CN"/>
        </w:rPr>
        <w:t>19.20</w:t>
      </w:r>
      <w:r>
        <w:rPr>
          <w:rFonts w:hint="eastAsia"/>
        </w:rPr>
        <w:t>分，得分率</w:t>
      </w:r>
      <w:r>
        <w:rPr>
          <w:rFonts w:hint="eastAsia"/>
          <w:lang w:val="en-US" w:eastAsia="zh-CN"/>
        </w:rPr>
        <w:t>87.27</w:t>
      </w:r>
      <w:r>
        <w:rPr>
          <w:rFonts w:hint="eastAsia"/>
        </w:rPr>
        <w:t>%。</w:t>
      </w:r>
    </w:p>
    <w:p w14:paraId="5D2F2FF4">
      <w:pPr>
        <w:bidi w:val="0"/>
        <w:rPr>
          <w:rFonts w:hint="eastAsia"/>
        </w:rPr>
      </w:pPr>
      <w:r>
        <w:rPr>
          <w:rFonts w:hint="eastAsia"/>
        </w:rPr>
        <w:t>（1）资金到位率（</w:t>
      </w:r>
      <w:r>
        <w:t>满分</w:t>
      </w:r>
      <w:r>
        <w:rPr>
          <w:rFonts w:hint="eastAsia"/>
        </w:rPr>
        <w:t>2</w:t>
      </w:r>
      <w:r>
        <w:t>.00分，得分</w:t>
      </w:r>
      <w:r>
        <w:rPr>
          <w:rFonts w:hint="eastAsia"/>
          <w:lang w:val="en-US" w:eastAsia="zh-CN"/>
        </w:rPr>
        <w:t>1.20</w:t>
      </w:r>
      <w:r>
        <w:t>分，得分率</w:t>
      </w:r>
      <w:r>
        <w:rPr>
          <w:rFonts w:hint="eastAsia"/>
          <w:lang w:val="en-US" w:eastAsia="zh-CN"/>
        </w:rPr>
        <w:t>60</w:t>
      </w:r>
      <w:r>
        <w:t>.00%）。</w:t>
      </w:r>
    </w:p>
    <w:p w14:paraId="33F2BDC5">
      <w:pPr>
        <w:bidi w:val="0"/>
        <w:rPr>
          <w:rFonts w:hint="eastAsia"/>
        </w:rPr>
      </w:pPr>
      <w:r>
        <w:t>项目评价资金</w:t>
      </w:r>
      <w:r>
        <w:rPr>
          <w:rFonts w:hint="eastAsia"/>
          <w:lang w:val="en-US" w:eastAsia="zh-CN"/>
        </w:rPr>
        <w:t>366.49</w:t>
      </w:r>
      <w:r>
        <w:t>万元。截至</w:t>
      </w:r>
      <w:r>
        <w:rPr>
          <w:rFonts w:hint="eastAsia"/>
        </w:rPr>
        <w:t>202</w:t>
      </w:r>
      <w:r>
        <w:rPr>
          <w:rFonts w:hint="eastAsia"/>
          <w:lang w:val="en-US" w:eastAsia="zh-CN"/>
        </w:rPr>
        <w:t>4</w:t>
      </w:r>
      <w:r>
        <w:rPr>
          <w:rFonts w:hint="eastAsia"/>
        </w:rPr>
        <w:t>年8月</w:t>
      </w:r>
      <w:r>
        <w:rPr>
          <w:rFonts w:hint="eastAsia"/>
          <w:lang w:val="en-US" w:eastAsia="zh-CN"/>
        </w:rPr>
        <w:t>22</w:t>
      </w:r>
      <w:r>
        <w:rPr>
          <w:rFonts w:hint="eastAsia"/>
        </w:rPr>
        <w:t>日项目实际到位资金</w:t>
      </w:r>
      <w:r>
        <w:rPr>
          <w:rFonts w:hint="eastAsia"/>
          <w:lang w:val="en-US" w:eastAsia="zh-CN"/>
        </w:rPr>
        <w:t>220</w:t>
      </w:r>
      <w:r>
        <w:rPr>
          <w:rFonts w:hint="eastAsia"/>
        </w:rPr>
        <w:t>.00万元，资金到位率</w:t>
      </w:r>
      <w:r>
        <w:rPr>
          <w:rFonts w:hint="eastAsia"/>
          <w:lang w:val="en-US" w:eastAsia="zh-CN"/>
        </w:rPr>
        <w:t>60.11</w:t>
      </w:r>
      <w:r>
        <w:rPr>
          <w:rFonts w:hint="eastAsia"/>
        </w:rPr>
        <w:t>%。</w:t>
      </w:r>
    </w:p>
    <w:p w14:paraId="0E476742">
      <w:pPr>
        <w:bidi w:val="0"/>
        <w:rPr>
          <w:rFonts w:hint="eastAsia"/>
        </w:rPr>
      </w:pPr>
      <w:r>
        <w:rPr>
          <w:rFonts w:hint="eastAsia"/>
        </w:rPr>
        <w:t>（2）资金执行率（</w:t>
      </w:r>
      <w:r>
        <w:t>满分</w:t>
      </w:r>
      <w:r>
        <w:rPr>
          <w:rFonts w:hint="eastAsia"/>
        </w:rPr>
        <w:t>5</w:t>
      </w:r>
      <w:r>
        <w:t>.00分，得分</w:t>
      </w:r>
      <w:r>
        <w:rPr>
          <w:rFonts w:hint="eastAsia"/>
        </w:rPr>
        <w:t>5.00</w:t>
      </w:r>
      <w:r>
        <w:t>分，得分率</w:t>
      </w:r>
      <w:r>
        <w:rPr>
          <w:rFonts w:hint="eastAsia"/>
        </w:rPr>
        <w:t>100</w:t>
      </w:r>
      <w:r>
        <w:t>.00%）。</w:t>
      </w:r>
    </w:p>
    <w:p w14:paraId="1BA8C138">
      <w:pPr>
        <w:bidi w:val="0"/>
        <w:rPr>
          <w:rFonts w:hint="eastAsia"/>
        </w:rPr>
      </w:pPr>
      <w:r>
        <w:t>截至</w:t>
      </w:r>
      <w:r>
        <w:rPr>
          <w:rFonts w:hint="eastAsia"/>
        </w:rPr>
        <w:t>202</w:t>
      </w:r>
      <w:r>
        <w:rPr>
          <w:rFonts w:hint="eastAsia"/>
          <w:lang w:val="en-US" w:eastAsia="zh-CN"/>
        </w:rPr>
        <w:t>4</w:t>
      </w:r>
      <w:r>
        <w:rPr>
          <w:rFonts w:hint="eastAsia"/>
        </w:rPr>
        <w:t>年8月</w:t>
      </w:r>
      <w:r>
        <w:rPr>
          <w:rFonts w:hint="eastAsia"/>
          <w:lang w:val="en-US" w:eastAsia="zh-CN"/>
        </w:rPr>
        <w:t>22</w:t>
      </w:r>
      <w:r>
        <w:rPr>
          <w:rFonts w:hint="eastAsia"/>
        </w:rPr>
        <w:t>日项目实际到位资金</w:t>
      </w:r>
      <w:r>
        <w:rPr>
          <w:rFonts w:hint="eastAsia"/>
          <w:lang w:val="en-US" w:eastAsia="zh-CN"/>
        </w:rPr>
        <w:t>220</w:t>
      </w:r>
      <w:r>
        <w:rPr>
          <w:rFonts w:hint="eastAsia"/>
        </w:rPr>
        <w:t>.00万元，实际支出资金</w:t>
      </w:r>
      <w:r>
        <w:rPr>
          <w:rFonts w:hint="eastAsia"/>
          <w:lang w:val="en-US" w:eastAsia="zh-CN"/>
        </w:rPr>
        <w:t>220</w:t>
      </w:r>
      <w:r>
        <w:rPr>
          <w:rFonts w:hint="eastAsia"/>
        </w:rPr>
        <w:t>.00万元，资金执行率100.00%。</w:t>
      </w:r>
    </w:p>
    <w:p w14:paraId="4DEBCFAA">
      <w:pPr>
        <w:bidi w:val="0"/>
        <w:rPr>
          <w:rFonts w:hint="eastAsia"/>
        </w:rPr>
      </w:pPr>
      <w:r>
        <w:rPr>
          <w:rFonts w:hint="eastAsia"/>
        </w:rPr>
        <w:t>（3）资金使用合规性（</w:t>
      </w:r>
      <w:r>
        <w:t>满分</w:t>
      </w:r>
      <w:r>
        <w:rPr>
          <w:rFonts w:hint="eastAsia"/>
          <w:lang w:val="en-US" w:eastAsia="zh-CN"/>
        </w:rPr>
        <w:t>6</w:t>
      </w:r>
      <w:r>
        <w:t>.00分，得分</w:t>
      </w:r>
      <w:r>
        <w:rPr>
          <w:rFonts w:hint="eastAsia"/>
          <w:lang w:val="en-US" w:eastAsia="zh-CN"/>
        </w:rPr>
        <w:t>4.00</w:t>
      </w:r>
      <w:r>
        <w:t>分，得分率</w:t>
      </w:r>
      <w:r>
        <w:rPr>
          <w:rFonts w:hint="eastAsia"/>
          <w:lang w:val="en-US" w:eastAsia="zh-CN"/>
        </w:rPr>
        <w:t>66.67</w:t>
      </w:r>
      <w:r>
        <w:t>%）。</w:t>
      </w:r>
    </w:p>
    <w:p w14:paraId="614ED1D9">
      <w:pPr>
        <w:bidi w:val="0"/>
        <w:rPr>
          <w:rFonts w:hint="eastAsia"/>
        </w:rPr>
      </w:pPr>
      <w:r>
        <w:rPr>
          <w:rFonts w:hint="eastAsia"/>
        </w:rPr>
        <w:t>项目资金使用符合国家财经法规和财务管理制度以及资金管理规定，资金的支出有完整的审批程序和手续，</w:t>
      </w:r>
      <w:r>
        <w:rPr>
          <w:rFonts w:hint="eastAsia"/>
          <w:lang w:val="en-US" w:eastAsia="zh-CN"/>
        </w:rPr>
        <w:t>基本</w:t>
      </w:r>
      <w:r>
        <w:rPr>
          <w:rFonts w:hint="eastAsia"/>
        </w:rPr>
        <w:t>符合项目预算批复或合同规定的用途</w:t>
      </w:r>
      <w:r>
        <w:rPr>
          <w:rFonts w:hint="eastAsia"/>
          <w:lang w:eastAsia="zh-CN"/>
        </w:rPr>
        <w:t>，单项预算有超支</w:t>
      </w:r>
      <w:r>
        <w:rPr>
          <w:rFonts w:hint="eastAsia"/>
        </w:rPr>
        <w:t>，不存在截留、挤占、挪用、虚列支出等情况。</w:t>
      </w:r>
    </w:p>
    <w:p w14:paraId="1805F821">
      <w:pPr>
        <w:bidi w:val="0"/>
        <w:rPr>
          <w:rFonts w:hint="eastAsia"/>
        </w:rPr>
      </w:pPr>
      <w:r>
        <w:rPr>
          <w:rFonts w:hint="eastAsia"/>
        </w:rPr>
        <w:t>（4）组织保障有效性（</w:t>
      </w:r>
      <w:r>
        <w:t>满分</w:t>
      </w:r>
      <w:r>
        <w:rPr>
          <w:rFonts w:hint="eastAsia"/>
        </w:rPr>
        <w:t>3</w:t>
      </w:r>
      <w:r>
        <w:t>.00分，得分</w:t>
      </w:r>
      <w:r>
        <w:rPr>
          <w:rFonts w:hint="eastAsia"/>
        </w:rPr>
        <w:t>3.00</w:t>
      </w:r>
      <w:r>
        <w:t>分，得分率</w:t>
      </w:r>
      <w:r>
        <w:rPr>
          <w:rFonts w:hint="eastAsia"/>
        </w:rPr>
        <w:t>100</w:t>
      </w:r>
      <w:r>
        <w:t>.00%）。</w:t>
      </w:r>
    </w:p>
    <w:p w14:paraId="02EFEC06">
      <w:pPr>
        <w:bidi w:val="0"/>
        <w:rPr>
          <w:rFonts w:hint="eastAsia"/>
        </w:rPr>
      </w:pPr>
      <w:r>
        <w:rPr>
          <w:rFonts w:hint="eastAsia"/>
        </w:rPr>
        <w:t>项目由辰溪县</w:t>
      </w:r>
      <w:r>
        <w:rPr>
          <w:rFonts w:hint="eastAsia"/>
          <w:lang w:val="en-US" w:eastAsia="zh-CN"/>
        </w:rPr>
        <w:t>田湾镇人民政府</w:t>
      </w:r>
      <w:r>
        <w:rPr>
          <w:rFonts w:hint="eastAsia"/>
        </w:rPr>
        <w:t>负责，</w:t>
      </w:r>
      <w:r>
        <w:rPr>
          <w:rFonts w:hint="eastAsia"/>
          <w:lang w:val="en-US" w:eastAsia="zh-CN"/>
        </w:rPr>
        <w:t>通过招投标确定</w:t>
      </w:r>
      <w:r>
        <w:rPr>
          <w:rFonts w:hint="eastAsia"/>
        </w:rPr>
        <w:t>湖南</w:t>
      </w:r>
      <w:r>
        <w:rPr>
          <w:rFonts w:hint="eastAsia"/>
          <w:lang w:val="en-US" w:eastAsia="zh-CN"/>
        </w:rPr>
        <w:t>若锦建设</w:t>
      </w:r>
      <w:r>
        <w:rPr>
          <w:rFonts w:hint="eastAsia"/>
        </w:rPr>
        <w:t>有限公司</w:t>
      </w:r>
      <w:r>
        <w:rPr>
          <w:rFonts w:hint="eastAsia"/>
          <w:lang w:val="en-US" w:eastAsia="zh-CN"/>
        </w:rPr>
        <w:t>负责施工，永建设计集团有限公司负责监理，各专业团队职责明确、责任落实到位</w:t>
      </w:r>
      <w:r>
        <w:rPr>
          <w:rFonts w:hint="eastAsia"/>
        </w:rPr>
        <w:t>，项目顺利实施。</w:t>
      </w:r>
    </w:p>
    <w:p w14:paraId="36B8D566">
      <w:pPr>
        <w:bidi w:val="0"/>
        <w:rPr>
          <w:rFonts w:hint="eastAsia"/>
        </w:rPr>
      </w:pPr>
      <w:r>
        <w:rPr>
          <w:rFonts w:hint="eastAsia"/>
        </w:rPr>
        <w:t>（5）组织实施合规性（</w:t>
      </w:r>
      <w:r>
        <w:t>满分</w:t>
      </w:r>
      <w:r>
        <w:rPr>
          <w:rFonts w:hint="eastAsia"/>
          <w:lang w:val="en-US" w:eastAsia="zh-CN"/>
        </w:rPr>
        <w:t>6</w:t>
      </w:r>
      <w:r>
        <w:t>.00分，得分</w:t>
      </w:r>
      <w:r>
        <w:rPr>
          <w:rFonts w:hint="eastAsia"/>
          <w:lang w:val="en-US" w:eastAsia="zh-CN"/>
        </w:rPr>
        <w:t>6.0</w:t>
      </w:r>
      <w:r>
        <w:rPr>
          <w:rFonts w:hint="eastAsia"/>
        </w:rPr>
        <w:t>0</w:t>
      </w:r>
      <w:r>
        <w:t>分，得分率</w:t>
      </w:r>
      <w:r>
        <w:rPr>
          <w:rFonts w:hint="eastAsia"/>
          <w:lang w:val="en-US" w:eastAsia="zh-CN"/>
        </w:rPr>
        <w:t>100.00</w:t>
      </w:r>
      <w:r>
        <w:t>%）。</w:t>
      </w:r>
    </w:p>
    <w:p w14:paraId="2CF1D731">
      <w:pPr>
        <w:bidi w:val="0"/>
        <w:rPr>
          <w:rFonts w:hint="eastAsia"/>
        </w:rPr>
      </w:pPr>
      <w:r>
        <w:rPr>
          <w:rFonts w:hint="eastAsia"/>
        </w:rPr>
        <w:t>项目过程控制手段完备，基本遵循政府采购、招投标、合同管理、资产管理等规定执行各项工作，资料齐全并及时归档，遵守其他相关法律法规、规范文件和单位内控制度规定。</w:t>
      </w:r>
    </w:p>
    <w:p w14:paraId="12D62BD4">
      <w:pPr>
        <w:pStyle w:val="5"/>
        <w:bidi w:val="0"/>
        <w:rPr>
          <w:rFonts w:hint="eastAsia"/>
        </w:rPr>
      </w:pPr>
      <w:r>
        <w:rPr>
          <w:rFonts w:hint="eastAsia"/>
        </w:rPr>
        <w:t>3.产出情况</w:t>
      </w:r>
    </w:p>
    <w:p w14:paraId="754749CB">
      <w:pPr>
        <w:bidi w:val="0"/>
        <w:rPr>
          <w:rFonts w:hint="eastAsia"/>
        </w:rPr>
      </w:pPr>
      <w:r>
        <w:rPr>
          <w:rFonts w:hint="eastAsia"/>
        </w:rPr>
        <w:t>该类指标包括质量、数量、时效三个二级指标，资质达标情况、质量达标率、实际完成率、项目完成及时性和项目决算及时性五个三级指标，主要评价项目产出实际情况。满分35.00分，评价得分</w:t>
      </w:r>
      <w:r>
        <w:rPr>
          <w:rFonts w:hint="eastAsia"/>
          <w:lang w:val="en-US" w:eastAsia="zh-CN"/>
        </w:rPr>
        <w:t>33.0</w:t>
      </w:r>
      <w:r>
        <w:rPr>
          <w:rFonts w:hint="eastAsia"/>
        </w:rPr>
        <w:t>0分，得分率</w:t>
      </w:r>
      <w:r>
        <w:rPr>
          <w:rFonts w:hint="eastAsia"/>
          <w:lang w:val="en-US" w:eastAsia="zh-CN"/>
        </w:rPr>
        <w:t>94.29</w:t>
      </w:r>
      <w:r>
        <w:rPr>
          <w:rFonts w:hint="eastAsia"/>
        </w:rPr>
        <w:t>%。</w:t>
      </w:r>
    </w:p>
    <w:p w14:paraId="71B6742A">
      <w:pPr>
        <w:bidi w:val="0"/>
        <w:rPr>
          <w:rFonts w:hint="eastAsia"/>
        </w:rPr>
      </w:pPr>
      <w:r>
        <w:rPr>
          <w:rFonts w:hint="eastAsia"/>
        </w:rPr>
        <w:t>（1）资质达标情况（</w:t>
      </w:r>
      <w:r>
        <w:t>满分</w:t>
      </w:r>
      <w:r>
        <w:rPr>
          <w:rFonts w:hint="eastAsia"/>
        </w:rPr>
        <w:t>5</w:t>
      </w:r>
      <w:r>
        <w:t>.00分，得分</w:t>
      </w:r>
      <w:r>
        <w:rPr>
          <w:rFonts w:hint="eastAsia"/>
        </w:rPr>
        <w:t>5.00</w:t>
      </w:r>
      <w:r>
        <w:t>分，得分率</w:t>
      </w:r>
      <w:r>
        <w:rPr>
          <w:rFonts w:hint="eastAsia"/>
        </w:rPr>
        <w:t>100</w:t>
      </w:r>
      <w:r>
        <w:t>.00%）。</w:t>
      </w:r>
    </w:p>
    <w:p w14:paraId="418E68F7">
      <w:pPr>
        <w:bidi w:val="0"/>
        <w:rPr>
          <w:rFonts w:hint="eastAsia"/>
        </w:rPr>
      </w:pPr>
      <w:r>
        <w:rPr>
          <w:rFonts w:hint="eastAsia"/>
        </w:rPr>
        <w:t>项目施工单位为湖南</w:t>
      </w:r>
      <w:r>
        <w:rPr>
          <w:rFonts w:hint="eastAsia"/>
          <w:lang w:val="en-US" w:eastAsia="zh-CN"/>
        </w:rPr>
        <w:t>若锦建设</w:t>
      </w:r>
      <w:r>
        <w:rPr>
          <w:rFonts w:hint="eastAsia"/>
        </w:rPr>
        <w:t>有限公司，监理单位为</w:t>
      </w:r>
      <w:r>
        <w:rPr>
          <w:rFonts w:hint="eastAsia"/>
          <w:lang w:val="en-US" w:eastAsia="zh-CN"/>
        </w:rPr>
        <w:t>永建设计集团有限公司</w:t>
      </w:r>
      <w:r>
        <w:rPr>
          <w:rFonts w:hint="eastAsia"/>
        </w:rPr>
        <w:t>，资质均达标。</w:t>
      </w:r>
    </w:p>
    <w:p w14:paraId="69962713">
      <w:pPr>
        <w:bidi w:val="0"/>
        <w:rPr>
          <w:rFonts w:hint="eastAsia"/>
        </w:rPr>
      </w:pPr>
      <w:r>
        <w:rPr>
          <w:rFonts w:hint="eastAsia"/>
        </w:rPr>
        <w:t>（2）质量达标率（</w:t>
      </w:r>
      <w:r>
        <w:t>满分</w:t>
      </w:r>
      <w:r>
        <w:rPr>
          <w:rFonts w:hint="eastAsia"/>
        </w:rPr>
        <w:t>10</w:t>
      </w:r>
      <w:r>
        <w:t>.00分，得分</w:t>
      </w:r>
      <w:r>
        <w:rPr>
          <w:rFonts w:hint="eastAsia"/>
          <w:lang w:val="en-US" w:eastAsia="zh-CN"/>
        </w:rPr>
        <w:t>8</w:t>
      </w:r>
      <w:r>
        <w:rPr>
          <w:rFonts w:hint="eastAsia"/>
        </w:rPr>
        <w:t>.00</w:t>
      </w:r>
      <w:r>
        <w:t>分，得分率</w:t>
      </w:r>
      <w:r>
        <w:rPr>
          <w:rFonts w:hint="eastAsia"/>
          <w:lang w:val="en-US" w:eastAsia="zh-CN"/>
        </w:rPr>
        <w:t>8</w:t>
      </w:r>
      <w:r>
        <w:rPr>
          <w:rFonts w:hint="eastAsia"/>
        </w:rPr>
        <w:t>0</w:t>
      </w:r>
      <w:r>
        <w:t>.00%）。</w:t>
      </w:r>
    </w:p>
    <w:p w14:paraId="70C36571">
      <w:pPr>
        <w:bidi w:val="0"/>
        <w:rPr>
          <w:rFonts w:hint="eastAsia"/>
        </w:rPr>
      </w:pPr>
      <w:r>
        <w:rPr>
          <w:rFonts w:hint="eastAsia"/>
        </w:rPr>
        <w:t>项目验收结论为合格，但未在完工后3个月内进行验收；未发生质量安全事故、受到属地行政主管部门处罚或违法违纪案件。</w:t>
      </w:r>
    </w:p>
    <w:p w14:paraId="27031E24">
      <w:pPr>
        <w:bidi w:val="0"/>
        <w:rPr>
          <w:rFonts w:hint="eastAsia"/>
        </w:rPr>
      </w:pPr>
      <w:r>
        <w:rPr>
          <w:rFonts w:hint="eastAsia"/>
        </w:rPr>
        <w:t>（3）实际完成率（</w:t>
      </w:r>
      <w:r>
        <w:t>满分</w:t>
      </w:r>
      <w:r>
        <w:rPr>
          <w:rFonts w:hint="eastAsia"/>
        </w:rPr>
        <w:t>10</w:t>
      </w:r>
      <w:r>
        <w:t>.00分，得分</w:t>
      </w:r>
      <w:r>
        <w:rPr>
          <w:rFonts w:hint="eastAsia"/>
        </w:rPr>
        <w:t>10.00</w:t>
      </w:r>
      <w:r>
        <w:t>分，得分率</w:t>
      </w:r>
      <w:r>
        <w:rPr>
          <w:rFonts w:hint="eastAsia"/>
        </w:rPr>
        <w:t>100</w:t>
      </w:r>
      <w:r>
        <w:t>.00%）。</w:t>
      </w:r>
    </w:p>
    <w:p w14:paraId="5EF716DE">
      <w:pPr>
        <w:bidi w:val="0"/>
        <w:rPr>
          <w:rFonts w:hint="eastAsia"/>
        </w:rPr>
      </w:pPr>
      <w:r>
        <w:rPr>
          <w:rFonts w:hint="eastAsia"/>
          <w:lang w:eastAsia="zh-CN"/>
        </w:rPr>
        <w:t>截至202</w:t>
      </w:r>
      <w:r>
        <w:rPr>
          <w:rFonts w:hint="eastAsia"/>
          <w:lang w:val="en-US" w:eastAsia="zh-CN"/>
        </w:rPr>
        <w:t>3</w:t>
      </w:r>
      <w:r>
        <w:rPr>
          <w:rFonts w:hint="eastAsia"/>
          <w:lang w:eastAsia="zh-CN"/>
        </w:rPr>
        <w:t>年</w:t>
      </w:r>
      <w:r>
        <w:rPr>
          <w:rFonts w:hint="eastAsia"/>
          <w:lang w:val="en-US" w:eastAsia="zh-CN"/>
        </w:rPr>
        <w:t>12</w:t>
      </w:r>
      <w:r>
        <w:rPr>
          <w:rFonts w:hint="eastAsia"/>
        </w:rPr>
        <w:t>月31日，项目已完工。</w:t>
      </w:r>
    </w:p>
    <w:p w14:paraId="65B62F22">
      <w:pPr>
        <w:bidi w:val="0"/>
        <w:rPr>
          <w:rFonts w:hint="eastAsia"/>
        </w:rPr>
      </w:pPr>
      <w:r>
        <w:rPr>
          <w:rFonts w:hint="eastAsia"/>
        </w:rPr>
        <w:t>（4）项目完成及时性（</w:t>
      </w:r>
      <w:r>
        <w:t>满分</w:t>
      </w:r>
      <w:r>
        <w:rPr>
          <w:rFonts w:hint="eastAsia"/>
        </w:rPr>
        <w:t>5</w:t>
      </w:r>
      <w:r>
        <w:t>.00分，得分</w:t>
      </w:r>
      <w:r>
        <w:rPr>
          <w:rFonts w:hint="eastAsia"/>
          <w:lang w:val="en-US" w:eastAsia="zh-CN"/>
        </w:rPr>
        <w:t>5</w:t>
      </w:r>
      <w:r>
        <w:rPr>
          <w:rFonts w:hint="eastAsia"/>
        </w:rPr>
        <w:t>.00</w:t>
      </w:r>
      <w:r>
        <w:t>分，得分率</w:t>
      </w:r>
      <w:r>
        <w:rPr>
          <w:rFonts w:hint="eastAsia"/>
          <w:lang w:val="en-US" w:eastAsia="zh-CN"/>
        </w:rPr>
        <w:t>10</w:t>
      </w:r>
      <w:r>
        <w:rPr>
          <w:rFonts w:hint="eastAsia"/>
        </w:rPr>
        <w:t>0.00</w:t>
      </w:r>
      <w:r>
        <w:t>%）。</w:t>
      </w:r>
    </w:p>
    <w:p w14:paraId="32BE9F4F">
      <w:pPr>
        <w:bidi w:val="0"/>
        <w:rPr>
          <w:rFonts w:hint="eastAsia"/>
        </w:rPr>
      </w:pPr>
      <w:r>
        <w:rPr>
          <w:rFonts w:hint="eastAsia"/>
        </w:rPr>
        <w:t>项目计划开工日期202</w:t>
      </w:r>
      <w:r>
        <w:rPr>
          <w:rFonts w:hint="eastAsia"/>
          <w:lang w:val="en-US" w:eastAsia="zh-CN"/>
        </w:rPr>
        <w:t>3</w:t>
      </w:r>
      <w:r>
        <w:rPr>
          <w:rFonts w:hint="eastAsia"/>
        </w:rPr>
        <w:t>年</w:t>
      </w:r>
      <w:r>
        <w:rPr>
          <w:rFonts w:hint="eastAsia"/>
          <w:lang w:val="en-US" w:eastAsia="zh-CN"/>
        </w:rPr>
        <w:t>6</w:t>
      </w:r>
      <w:r>
        <w:rPr>
          <w:rFonts w:hint="eastAsia"/>
        </w:rPr>
        <w:t>月，计划竣工日期202</w:t>
      </w:r>
      <w:r>
        <w:rPr>
          <w:rFonts w:hint="eastAsia"/>
          <w:lang w:val="en-US" w:eastAsia="zh-CN"/>
        </w:rPr>
        <w:t>3</w:t>
      </w:r>
      <w:r>
        <w:rPr>
          <w:rFonts w:hint="eastAsia"/>
        </w:rPr>
        <w:t>年1</w:t>
      </w:r>
      <w:r>
        <w:rPr>
          <w:rFonts w:hint="eastAsia"/>
          <w:lang w:val="en-US" w:eastAsia="zh-CN"/>
        </w:rPr>
        <w:t>2</w:t>
      </w:r>
      <w:r>
        <w:rPr>
          <w:rFonts w:hint="eastAsia"/>
        </w:rPr>
        <w:t>月，计划建设工期为</w:t>
      </w:r>
      <w:r>
        <w:rPr>
          <w:rFonts w:hint="eastAsia"/>
          <w:lang w:val="en-US" w:eastAsia="zh-CN"/>
        </w:rPr>
        <w:t>6个月。</w:t>
      </w:r>
      <w:r>
        <w:rPr>
          <w:rFonts w:hint="eastAsia"/>
        </w:rPr>
        <w:t>项目实际开工日期202</w:t>
      </w:r>
      <w:r>
        <w:rPr>
          <w:rFonts w:hint="eastAsia"/>
          <w:lang w:val="en-US" w:eastAsia="zh-CN"/>
        </w:rPr>
        <w:t>3</w:t>
      </w:r>
      <w:r>
        <w:rPr>
          <w:rFonts w:hint="eastAsia"/>
        </w:rPr>
        <w:t>年</w:t>
      </w:r>
      <w:r>
        <w:rPr>
          <w:rFonts w:hint="eastAsia"/>
          <w:lang w:val="en-US" w:eastAsia="zh-CN"/>
        </w:rPr>
        <w:t>6</w:t>
      </w:r>
      <w:r>
        <w:rPr>
          <w:rFonts w:hint="eastAsia"/>
        </w:rPr>
        <w:t>月，竣工日期202</w:t>
      </w:r>
      <w:r>
        <w:rPr>
          <w:rFonts w:hint="eastAsia"/>
          <w:lang w:val="en-US" w:eastAsia="zh-CN"/>
        </w:rPr>
        <w:t>3</w:t>
      </w:r>
      <w:r>
        <w:rPr>
          <w:rFonts w:hint="eastAsia"/>
        </w:rPr>
        <w:t>年12月。项目</w:t>
      </w:r>
      <w:r>
        <w:rPr>
          <w:rFonts w:hint="eastAsia"/>
          <w:lang w:val="en-US" w:eastAsia="zh-CN"/>
        </w:rPr>
        <w:t>按期完成</w:t>
      </w:r>
      <w:r>
        <w:rPr>
          <w:rFonts w:hint="eastAsia"/>
        </w:rPr>
        <w:t>。</w:t>
      </w:r>
    </w:p>
    <w:p w14:paraId="537CEEEC">
      <w:pPr>
        <w:bidi w:val="0"/>
        <w:rPr>
          <w:rFonts w:hint="eastAsia"/>
        </w:rPr>
      </w:pPr>
      <w:r>
        <w:rPr>
          <w:rFonts w:hint="eastAsia"/>
        </w:rPr>
        <w:t>（5）项目决算及时性（</w:t>
      </w:r>
      <w:r>
        <w:t>满分</w:t>
      </w:r>
      <w:r>
        <w:rPr>
          <w:rFonts w:hint="eastAsia"/>
        </w:rPr>
        <w:t>5</w:t>
      </w:r>
      <w:r>
        <w:t>.00分，得分</w:t>
      </w:r>
      <w:r>
        <w:rPr>
          <w:rFonts w:hint="eastAsia"/>
          <w:lang w:val="en-US" w:eastAsia="zh-CN"/>
        </w:rPr>
        <w:t>5.0</w:t>
      </w:r>
      <w:r>
        <w:rPr>
          <w:rFonts w:hint="eastAsia"/>
        </w:rPr>
        <w:t>0</w:t>
      </w:r>
      <w:r>
        <w:t>分，得分率</w:t>
      </w:r>
      <w:r>
        <w:rPr>
          <w:rFonts w:hint="eastAsia"/>
          <w:lang w:val="en-US" w:eastAsia="zh-CN"/>
        </w:rPr>
        <w:t>10</w:t>
      </w:r>
      <w:r>
        <w:rPr>
          <w:rFonts w:hint="eastAsia"/>
        </w:rPr>
        <w:t>0.00</w:t>
      </w:r>
      <w:r>
        <w:t>%）。</w:t>
      </w:r>
    </w:p>
    <w:p w14:paraId="2A099496">
      <w:pPr>
        <w:bidi w:val="0"/>
        <w:rPr>
          <w:rFonts w:hint="eastAsia"/>
        </w:rPr>
      </w:pPr>
      <w:r>
        <w:rPr>
          <w:rFonts w:hint="eastAsia"/>
        </w:rPr>
        <w:t>项目单位有督促施工单位及时结算，项目单位竣工决算资料完备、依据充分。</w:t>
      </w:r>
    </w:p>
    <w:p w14:paraId="50BA30E3">
      <w:pPr>
        <w:pStyle w:val="5"/>
        <w:bidi w:val="0"/>
        <w:rPr>
          <w:rFonts w:hint="eastAsia"/>
        </w:rPr>
      </w:pPr>
      <w:r>
        <w:rPr>
          <w:rFonts w:hint="eastAsia"/>
        </w:rPr>
        <w:t>4.效益情况</w:t>
      </w:r>
    </w:p>
    <w:p w14:paraId="42711BB8">
      <w:pPr>
        <w:bidi w:val="0"/>
        <w:rPr>
          <w:rFonts w:hint="eastAsia"/>
        </w:rPr>
      </w:pPr>
      <w:r>
        <w:rPr>
          <w:rFonts w:hint="eastAsia"/>
        </w:rPr>
        <w:t>该类指标包括社会效益、生态效益、可持续效益和满意度四个二级指标，道路、公共设施改善情况、社会稳定、生态环境、项目可持续影响、公众满意度五个三级指标，主要评价项目产出的效益情况。满分</w:t>
      </w:r>
      <w:r>
        <w:rPr>
          <w:rFonts w:hint="eastAsia"/>
          <w:lang w:val="en-US" w:eastAsia="zh-CN"/>
        </w:rPr>
        <w:t>25</w:t>
      </w:r>
      <w:r>
        <w:rPr>
          <w:rFonts w:hint="eastAsia"/>
        </w:rPr>
        <w:t>.00分，评价得分</w:t>
      </w:r>
      <w:r>
        <w:rPr>
          <w:rFonts w:hint="eastAsia"/>
          <w:lang w:val="en-US" w:eastAsia="zh-CN"/>
        </w:rPr>
        <w:t>20.00</w:t>
      </w:r>
      <w:r>
        <w:rPr>
          <w:rFonts w:hint="eastAsia"/>
        </w:rPr>
        <w:t>分，得分率</w:t>
      </w:r>
      <w:r>
        <w:rPr>
          <w:rFonts w:hint="eastAsia"/>
          <w:lang w:val="en-US" w:eastAsia="zh-CN"/>
        </w:rPr>
        <w:t>80</w:t>
      </w:r>
      <w:r>
        <w:rPr>
          <w:rFonts w:hint="eastAsia"/>
        </w:rPr>
        <w:t>.00%。</w:t>
      </w:r>
    </w:p>
    <w:p w14:paraId="4F3B356F">
      <w:pPr>
        <w:bidi w:val="0"/>
        <w:rPr>
          <w:rFonts w:hint="eastAsia"/>
        </w:rPr>
      </w:pPr>
      <w:r>
        <w:rPr>
          <w:rFonts w:hint="eastAsia"/>
        </w:rPr>
        <w:t>（1）社会效益（满分5.00分，得分</w:t>
      </w:r>
      <w:r>
        <w:rPr>
          <w:rFonts w:hint="eastAsia"/>
          <w:lang w:val="en-US" w:eastAsia="zh-CN"/>
        </w:rPr>
        <w:t>5</w:t>
      </w:r>
      <w:r>
        <w:rPr>
          <w:rFonts w:hint="eastAsia"/>
        </w:rPr>
        <w:t>.00分，得分率</w:t>
      </w:r>
      <w:r>
        <w:rPr>
          <w:rFonts w:hint="eastAsia"/>
          <w:lang w:val="en-US" w:eastAsia="zh-CN"/>
        </w:rPr>
        <w:t>10</w:t>
      </w:r>
      <w:r>
        <w:rPr>
          <w:rFonts w:hint="eastAsia"/>
        </w:rPr>
        <w:t>0.00%）。</w:t>
      </w:r>
    </w:p>
    <w:p w14:paraId="19DA830C">
      <w:pPr>
        <w:bidi w:val="0"/>
        <w:rPr>
          <w:rFonts w:hint="eastAsia"/>
        </w:rPr>
      </w:pPr>
      <w:r>
        <w:rPr>
          <w:rFonts w:hint="eastAsia"/>
        </w:rPr>
        <w:t>为部分村民提供了就业机会，增加了收入，提升了就业能力。</w:t>
      </w:r>
    </w:p>
    <w:p w14:paraId="0A44C440">
      <w:pPr>
        <w:bidi w:val="0"/>
        <w:rPr>
          <w:rFonts w:hint="eastAsia"/>
        </w:rPr>
      </w:pPr>
      <w:r>
        <w:rPr>
          <w:rFonts w:hint="eastAsia"/>
        </w:rPr>
        <w:t>（</w:t>
      </w:r>
      <w:r>
        <w:rPr>
          <w:rFonts w:hint="eastAsia"/>
          <w:lang w:val="en-US" w:eastAsia="zh-CN"/>
        </w:rPr>
        <w:t>2</w:t>
      </w:r>
      <w:r>
        <w:rPr>
          <w:rFonts w:hint="eastAsia"/>
        </w:rPr>
        <w:t>）生态</w:t>
      </w:r>
      <w:r>
        <w:rPr>
          <w:rFonts w:hint="eastAsia"/>
          <w:lang w:val="en-US" w:eastAsia="zh-CN"/>
        </w:rPr>
        <w:t>效益</w:t>
      </w:r>
      <w:r>
        <w:rPr>
          <w:rFonts w:hint="eastAsia"/>
        </w:rPr>
        <w:t>（满分5.00分，得分</w:t>
      </w:r>
      <w:r>
        <w:rPr>
          <w:rFonts w:hint="eastAsia"/>
          <w:lang w:val="en-US" w:eastAsia="zh-CN"/>
        </w:rPr>
        <w:t>2.5</w:t>
      </w:r>
      <w:r>
        <w:rPr>
          <w:rFonts w:hint="eastAsia"/>
        </w:rPr>
        <w:t>0分，得分率</w:t>
      </w:r>
      <w:r>
        <w:rPr>
          <w:rFonts w:hint="eastAsia"/>
          <w:lang w:val="en-US" w:eastAsia="zh-CN"/>
        </w:rPr>
        <w:t>5</w:t>
      </w:r>
      <w:r>
        <w:rPr>
          <w:rFonts w:hint="eastAsia"/>
        </w:rPr>
        <w:t>0.00%）。</w:t>
      </w:r>
    </w:p>
    <w:p w14:paraId="24254EE4">
      <w:pPr>
        <w:bidi w:val="0"/>
        <w:rPr>
          <w:rFonts w:hint="eastAsia"/>
        </w:rPr>
      </w:pPr>
      <w:r>
        <w:rPr>
          <w:rFonts w:hint="eastAsia"/>
        </w:rPr>
        <w:t>村民居住环境有改善，经实地走访，溪堤两边</w:t>
      </w:r>
      <w:r>
        <w:rPr>
          <w:rFonts w:hint="eastAsia"/>
          <w:lang w:val="en-US" w:eastAsia="zh-CN"/>
        </w:rPr>
        <w:t>部分</w:t>
      </w:r>
      <w:r>
        <w:rPr>
          <w:rFonts w:hint="eastAsia"/>
        </w:rPr>
        <w:t>农田荒废，未起到保护农田的作用。</w:t>
      </w:r>
    </w:p>
    <w:p w14:paraId="06C7B270">
      <w:pPr>
        <w:bidi w:val="0"/>
        <w:rPr>
          <w:rFonts w:hint="eastAsia"/>
        </w:rPr>
      </w:pPr>
      <w:r>
        <w:rPr>
          <w:rFonts w:hint="eastAsia"/>
        </w:rPr>
        <w:t>（4）项目可持续影响（满分5.00分，得分</w:t>
      </w:r>
      <w:r>
        <w:rPr>
          <w:rFonts w:hint="eastAsia"/>
          <w:lang w:val="en-US" w:eastAsia="zh-CN"/>
        </w:rPr>
        <w:t>2.5</w:t>
      </w:r>
      <w:r>
        <w:rPr>
          <w:rFonts w:hint="eastAsia"/>
        </w:rPr>
        <w:t>0分，得分率</w:t>
      </w:r>
      <w:r>
        <w:rPr>
          <w:rFonts w:hint="eastAsia"/>
          <w:lang w:val="en-US" w:eastAsia="zh-CN"/>
        </w:rPr>
        <w:t>5</w:t>
      </w:r>
      <w:r>
        <w:rPr>
          <w:rFonts w:hint="eastAsia"/>
        </w:rPr>
        <w:t>0.00%）。</w:t>
      </w:r>
    </w:p>
    <w:p w14:paraId="6B2EC3D9">
      <w:pPr>
        <w:bidi w:val="0"/>
        <w:rPr>
          <w:rFonts w:hint="eastAsia"/>
        </w:rPr>
      </w:pPr>
      <w:r>
        <w:rPr>
          <w:rFonts w:hint="eastAsia"/>
        </w:rPr>
        <w:t>项目建设完成后，建设场地管理工作不充分，溪堤泥沙和施工砂石堆积，暂未清理，导致农田开发不完全，项目运行及成效发挥的可持续影响暂未</w:t>
      </w:r>
      <w:r>
        <w:rPr>
          <w:rFonts w:hint="eastAsia"/>
          <w:lang w:val="en-US" w:eastAsia="zh-CN"/>
        </w:rPr>
        <w:t>完全</w:t>
      </w:r>
      <w:r>
        <w:rPr>
          <w:rFonts w:hint="eastAsia"/>
        </w:rPr>
        <w:t>体现。</w:t>
      </w:r>
    </w:p>
    <w:p w14:paraId="55C3D726">
      <w:pPr>
        <w:bidi w:val="0"/>
      </w:pPr>
      <w:r>
        <w:rPr>
          <w:rFonts w:hint="eastAsia"/>
        </w:rPr>
        <w:t>（5）公众满意度</w:t>
      </w:r>
      <w:r>
        <w:t>（满分</w:t>
      </w:r>
      <w:r>
        <w:rPr>
          <w:rFonts w:hint="eastAsia"/>
        </w:rPr>
        <w:t>10</w:t>
      </w:r>
      <w:r>
        <w:t>.00分，得分</w:t>
      </w:r>
      <w:r>
        <w:rPr>
          <w:rFonts w:hint="eastAsia"/>
        </w:rPr>
        <w:t>10</w:t>
      </w:r>
      <w:r>
        <w:t>.00分，得分率</w:t>
      </w:r>
      <w:r>
        <w:rPr>
          <w:rFonts w:hint="eastAsia"/>
        </w:rPr>
        <w:t>100.00</w:t>
      </w:r>
      <w:r>
        <w:t>%）。</w:t>
      </w:r>
    </w:p>
    <w:p w14:paraId="657D7D34">
      <w:pPr>
        <w:bidi w:val="0"/>
        <w:rPr>
          <w:rFonts w:hint="eastAsia"/>
        </w:rPr>
      </w:pPr>
      <w:r>
        <w:rPr>
          <w:rFonts w:hint="eastAsia"/>
        </w:rPr>
        <w:t>问卷发放39份，满意度得分96.04%。</w:t>
      </w:r>
    </w:p>
    <w:p w14:paraId="5D3803CC">
      <w:pPr>
        <w:pStyle w:val="3"/>
        <w:bidi w:val="0"/>
        <w:rPr>
          <w:rFonts w:hint="default"/>
          <w:lang w:val="en-US" w:eastAsia="zh-CN"/>
        </w:rPr>
      </w:pPr>
      <w:bookmarkStart w:id="33" w:name="_Toc13764"/>
      <w:bookmarkStart w:id="34" w:name="_Toc22197"/>
      <w:r>
        <w:rPr>
          <w:rFonts w:hint="eastAsia"/>
        </w:rPr>
        <w:t>四、主要</w:t>
      </w:r>
      <w:r>
        <w:rPr>
          <w:rFonts w:hint="eastAsia"/>
          <w:lang w:val="en-US" w:eastAsia="zh-CN"/>
        </w:rPr>
        <w:t>经验和做法</w:t>
      </w:r>
      <w:bookmarkEnd w:id="33"/>
      <w:bookmarkEnd w:id="34"/>
    </w:p>
    <w:p w14:paraId="5D59D627">
      <w:pPr>
        <w:pStyle w:val="4"/>
        <w:bidi w:val="0"/>
        <w:rPr>
          <w:rFonts w:hint="eastAsia"/>
          <w:lang w:val="en-US" w:eastAsia="zh-CN"/>
        </w:rPr>
      </w:pPr>
      <w:bookmarkStart w:id="35" w:name="_Toc22552"/>
      <w:bookmarkStart w:id="36" w:name="_Toc19887"/>
      <w:r>
        <w:rPr>
          <w:rFonts w:hint="eastAsia"/>
          <w:lang w:eastAsia="zh-CN"/>
        </w:rPr>
        <w:t>（</w:t>
      </w:r>
      <w:r>
        <w:rPr>
          <w:rFonts w:hint="eastAsia"/>
          <w:lang w:val="en-US" w:eastAsia="zh-CN"/>
        </w:rPr>
        <w:t>一）前期准备工作充分，手续完备</w:t>
      </w:r>
      <w:bookmarkEnd w:id="35"/>
      <w:bookmarkEnd w:id="36"/>
    </w:p>
    <w:p w14:paraId="37D63977">
      <w:pPr>
        <w:bidi w:val="0"/>
        <w:rPr>
          <w:rFonts w:hint="eastAsia"/>
          <w:lang w:val="en-US" w:eastAsia="zh-CN"/>
        </w:rPr>
      </w:pPr>
      <w:r>
        <w:rPr>
          <w:rFonts w:hint="eastAsia"/>
          <w:lang w:val="en-US" w:eastAsia="zh-CN"/>
        </w:rPr>
        <w:t>自2022年9月，省、县通知文件下达，辰溪县田湾镇人民政府完成项目可研报告编制，取得可研批复，进行初步概算编制，取得概算批复。</w:t>
      </w:r>
    </w:p>
    <w:p w14:paraId="2C99C302">
      <w:pPr>
        <w:pStyle w:val="4"/>
        <w:bidi w:val="0"/>
        <w:rPr>
          <w:rFonts w:hint="eastAsia"/>
          <w:lang w:val="en-US" w:eastAsia="zh-CN"/>
        </w:rPr>
      </w:pPr>
      <w:bookmarkStart w:id="37" w:name="_Toc32346"/>
      <w:bookmarkStart w:id="38" w:name="_Toc22008"/>
      <w:r>
        <w:rPr>
          <w:rFonts w:hint="eastAsia"/>
          <w:lang w:val="en-US" w:eastAsia="zh-CN"/>
        </w:rPr>
        <w:t>（二）按规定进行政府采购</w:t>
      </w:r>
      <w:bookmarkEnd w:id="37"/>
      <w:bookmarkEnd w:id="38"/>
    </w:p>
    <w:p w14:paraId="32E9091F">
      <w:pPr>
        <w:bidi w:val="0"/>
        <w:rPr>
          <w:rFonts w:hint="eastAsia"/>
        </w:rPr>
      </w:pPr>
      <w:r>
        <w:rPr>
          <w:rFonts w:hint="eastAsia"/>
          <w:lang w:val="en-US" w:eastAsia="zh-CN"/>
        </w:rPr>
        <w:t>项目按照政府采购的规定进行招投标工作，由湖南名爵建设工程有限公司代理项目招标工作，通过竞争性谈判采购进行开标评标，2023年5月23日出具施工单位的中标通知书。</w:t>
      </w:r>
    </w:p>
    <w:p w14:paraId="3BEA1B91">
      <w:pPr>
        <w:pStyle w:val="3"/>
        <w:bidi w:val="0"/>
        <w:rPr>
          <w:rFonts w:hint="eastAsia"/>
        </w:rPr>
      </w:pPr>
      <w:bookmarkStart w:id="39" w:name="_Toc17262"/>
      <w:bookmarkStart w:id="40" w:name="_Toc1408"/>
      <w:r>
        <w:rPr>
          <w:rFonts w:hint="eastAsia"/>
        </w:rPr>
        <w:t>五、存在的主要问题</w:t>
      </w:r>
      <w:bookmarkEnd w:id="39"/>
      <w:bookmarkEnd w:id="40"/>
    </w:p>
    <w:p w14:paraId="670BFC10">
      <w:pPr>
        <w:pStyle w:val="4"/>
        <w:bidi w:val="0"/>
        <w:rPr>
          <w:rFonts w:hint="eastAsia"/>
        </w:rPr>
      </w:pPr>
      <w:bookmarkStart w:id="41" w:name="_Toc22206"/>
      <w:bookmarkStart w:id="42" w:name="_Toc17614"/>
      <w:r>
        <w:rPr>
          <w:rFonts w:hint="eastAsia"/>
        </w:rPr>
        <w:t>（一）绩效目标管理欠规范</w:t>
      </w:r>
      <w:bookmarkEnd w:id="41"/>
      <w:bookmarkEnd w:id="42"/>
    </w:p>
    <w:p w14:paraId="606BAC2A">
      <w:pPr>
        <w:bidi w:val="0"/>
        <w:rPr>
          <w:rFonts w:hint="eastAsia"/>
        </w:rPr>
      </w:pPr>
      <w:r>
        <w:rPr>
          <w:rFonts w:hint="eastAsia"/>
          <w:lang w:val="en-US" w:eastAsia="zh-CN"/>
        </w:rPr>
        <w:t>溪堤建设项目</w:t>
      </w:r>
      <w:r>
        <w:rPr>
          <w:rFonts w:hint="eastAsia"/>
        </w:rPr>
        <w:t>目标管理欠规范，未单独从产出、数量、质量、时效、效益等多方面进行细化、量化，难以从客观上去评价项目实施效果，不利于以目标指导工作及考核工作成果。</w:t>
      </w:r>
    </w:p>
    <w:p w14:paraId="3B873DFA">
      <w:pPr>
        <w:pStyle w:val="4"/>
        <w:numPr>
          <w:ilvl w:val="0"/>
          <w:numId w:val="0"/>
        </w:numPr>
        <w:bidi w:val="0"/>
        <w:ind w:firstLine="643" w:firstLineChars="200"/>
        <w:rPr>
          <w:rFonts w:hint="eastAsia"/>
          <w:highlight w:val="none"/>
          <w:lang w:val="en-US" w:eastAsia="zh-CN"/>
        </w:rPr>
      </w:pPr>
      <w:bookmarkStart w:id="43" w:name="_Toc3415"/>
      <w:bookmarkStart w:id="44" w:name="_Toc29089"/>
      <w:r>
        <w:rPr>
          <w:rFonts w:hint="eastAsia" w:ascii="Cambria" w:hAnsi="Cambria" w:eastAsia="楷体" w:cs="Times New Roman"/>
          <w:b/>
          <w:bCs/>
          <w:kern w:val="2"/>
          <w:sz w:val="32"/>
          <w:szCs w:val="32"/>
          <w:highlight w:val="none"/>
          <w:lang w:val="en-US" w:eastAsia="zh-CN" w:bidi="ar-SA"/>
        </w:rPr>
        <w:t>（二）</w:t>
      </w:r>
      <w:r>
        <w:rPr>
          <w:rFonts w:hint="eastAsia"/>
          <w:highlight w:val="none"/>
          <w:lang w:val="en-US" w:eastAsia="zh-CN"/>
        </w:rPr>
        <w:t>预算设置不科学</w:t>
      </w:r>
      <w:bookmarkEnd w:id="43"/>
      <w:bookmarkEnd w:id="44"/>
    </w:p>
    <w:p w14:paraId="71D8867D">
      <w:pPr>
        <w:bidi w:val="0"/>
        <w:rPr>
          <w:rFonts w:hint="default"/>
          <w:lang w:val="en-US" w:eastAsia="zh-CN"/>
        </w:rPr>
      </w:pPr>
      <w:r>
        <w:rPr>
          <w:rFonts w:hint="default"/>
          <w:lang w:val="en-US" w:eastAsia="zh-CN"/>
        </w:rPr>
        <w:t>预算项目不够准确，2022年9月提交的可研和批复，预算总额均为345万元，但2023年4月提交的送审预算为398.86万元，前后预算金额不一致，与批复内容有出入且未提供新的预算报告；单项预算超标，2022年9月提交的可研和批复中劳务报酬发放金额为98.40万元，实际发放102.93万元，编制论证不充分。</w:t>
      </w:r>
    </w:p>
    <w:p w14:paraId="7908CF88">
      <w:pPr>
        <w:pStyle w:val="4"/>
        <w:bidi w:val="0"/>
        <w:rPr>
          <w:rFonts w:hint="eastAsia"/>
        </w:rPr>
      </w:pPr>
      <w:bookmarkStart w:id="45" w:name="_Toc4077"/>
      <w:bookmarkStart w:id="46" w:name="_Toc27921"/>
      <w:r>
        <w:rPr>
          <w:rFonts w:hint="eastAsia"/>
        </w:rPr>
        <w:t>（</w:t>
      </w:r>
      <w:r>
        <w:rPr>
          <w:rFonts w:hint="eastAsia"/>
          <w:lang w:val="en-US" w:eastAsia="zh-CN"/>
        </w:rPr>
        <w:t>三</w:t>
      </w:r>
      <w:r>
        <w:rPr>
          <w:rFonts w:hint="eastAsia"/>
        </w:rPr>
        <w:t>）资金到位不及时</w:t>
      </w:r>
      <w:bookmarkEnd w:id="45"/>
      <w:bookmarkEnd w:id="46"/>
    </w:p>
    <w:p w14:paraId="5061BC69">
      <w:pPr>
        <w:bidi w:val="0"/>
        <w:rPr>
          <w:rFonts w:hint="eastAsia"/>
        </w:rPr>
      </w:pPr>
      <w:r>
        <w:rPr>
          <w:rFonts w:hint="eastAsia"/>
        </w:rPr>
        <w:t>本项目于202</w:t>
      </w:r>
      <w:r>
        <w:rPr>
          <w:rFonts w:hint="eastAsia"/>
          <w:lang w:val="en-US" w:eastAsia="zh-CN"/>
        </w:rPr>
        <w:t>3</w:t>
      </w:r>
      <w:r>
        <w:rPr>
          <w:rFonts w:hint="eastAsia"/>
        </w:rPr>
        <w:t>年12月基本完成。截至202</w:t>
      </w:r>
      <w:r>
        <w:rPr>
          <w:rFonts w:hint="eastAsia"/>
          <w:lang w:val="en-US" w:eastAsia="zh-CN"/>
        </w:rPr>
        <w:t>4</w:t>
      </w:r>
      <w:r>
        <w:rPr>
          <w:rFonts w:hint="eastAsia"/>
        </w:rPr>
        <w:t>年8月</w:t>
      </w:r>
      <w:r>
        <w:rPr>
          <w:rFonts w:hint="eastAsia"/>
          <w:lang w:val="en-US" w:eastAsia="zh-CN"/>
        </w:rPr>
        <w:t>22</w:t>
      </w:r>
      <w:r>
        <w:rPr>
          <w:rFonts w:hint="eastAsia"/>
        </w:rPr>
        <w:t>日项目尚有</w:t>
      </w:r>
      <w:r>
        <w:rPr>
          <w:rFonts w:hint="eastAsia"/>
          <w:lang w:val="en-US" w:eastAsia="zh-CN"/>
        </w:rPr>
        <w:t>146.49</w:t>
      </w:r>
      <w:r>
        <w:rPr>
          <w:rFonts w:hint="eastAsia"/>
        </w:rPr>
        <w:t>万元未拨付至辰溪县</w:t>
      </w:r>
      <w:r>
        <w:rPr>
          <w:rFonts w:hint="eastAsia"/>
          <w:lang w:val="en-US" w:eastAsia="zh-CN"/>
        </w:rPr>
        <w:t>田湾镇人民政府</w:t>
      </w:r>
      <w:r>
        <w:rPr>
          <w:rFonts w:hint="eastAsia"/>
        </w:rPr>
        <w:t>，导致项目拖欠工程款。</w:t>
      </w:r>
    </w:p>
    <w:p w14:paraId="1B3A936B">
      <w:pPr>
        <w:pStyle w:val="4"/>
        <w:bidi w:val="0"/>
        <w:rPr>
          <w:rFonts w:hint="eastAsia"/>
        </w:rPr>
      </w:pPr>
      <w:bookmarkStart w:id="47" w:name="_Toc28328"/>
      <w:bookmarkStart w:id="48" w:name="_Toc27917"/>
      <w:r>
        <w:rPr>
          <w:rFonts w:hint="eastAsia"/>
        </w:rPr>
        <w:t>（</w:t>
      </w:r>
      <w:r>
        <w:rPr>
          <w:rFonts w:hint="eastAsia"/>
          <w:lang w:val="en-US" w:eastAsia="zh-CN"/>
        </w:rPr>
        <w:t>四</w:t>
      </w:r>
      <w:r>
        <w:rPr>
          <w:rFonts w:hint="eastAsia"/>
        </w:rPr>
        <w:t>）</w:t>
      </w:r>
      <w:r>
        <w:rPr>
          <w:rFonts w:hint="eastAsia"/>
          <w:lang w:val="en-US" w:eastAsia="zh-CN"/>
        </w:rPr>
        <w:t>项目后续管理</w:t>
      </w:r>
      <w:r>
        <w:rPr>
          <w:rFonts w:hint="eastAsia"/>
        </w:rPr>
        <w:t>不到位</w:t>
      </w:r>
      <w:bookmarkEnd w:id="47"/>
      <w:bookmarkEnd w:id="48"/>
    </w:p>
    <w:p w14:paraId="3CC1DDFE">
      <w:pPr>
        <w:bidi w:val="0"/>
        <w:rPr>
          <w:rFonts w:hint="eastAsia" w:eastAsia="仿宋_GB2312"/>
          <w:lang w:val="en-US" w:eastAsia="zh-CN"/>
        </w:rPr>
      </w:pPr>
      <w:r>
        <w:rPr>
          <w:rFonts w:hint="eastAsia"/>
          <w:lang w:val="en-US" w:eastAsia="zh-CN"/>
        </w:rPr>
        <w:t>项目建成后，溪堤周边农田开发不完全，项目运行及成效发挥的可持续影响暂未完全体现。</w:t>
      </w:r>
    </w:p>
    <w:p w14:paraId="652F4F31">
      <w:pPr>
        <w:pStyle w:val="3"/>
        <w:bidi w:val="0"/>
        <w:rPr>
          <w:rFonts w:hint="eastAsia"/>
        </w:rPr>
      </w:pPr>
      <w:bookmarkStart w:id="49" w:name="_Toc17823"/>
      <w:bookmarkStart w:id="50" w:name="_Toc31416"/>
      <w:r>
        <w:rPr>
          <w:rFonts w:hint="eastAsia"/>
        </w:rPr>
        <w:t>六、有关建议措施</w:t>
      </w:r>
      <w:bookmarkEnd w:id="49"/>
      <w:bookmarkEnd w:id="50"/>
    </w:p>
    <w:p w14:paraId="3D88BAC3">
      <w:pPr>
        <w:pStyle w:val="4"/>
        <w:bidi w:val="0"/>
        <w:rPr>
          <w:rFonts w:hint="eastAsia"/>
        </w:rPr>
      </w:pPr>
      <w:bookmarkStart w:id="51" w:name="_Toc10114"/>
      <w:bookmarkStart w:id="52" w:name="_Toc18233"/>
      <w:r>
        <w:rPr>
          <w:rFonts w:hint="eastAsia"/>
        </w:rPr>
        <w:t>（一）规范项目绩效目标管理</w:t>
      </w:r>
      <w:bookmarkEnd w:id="51"/>
      <w:bookmarkEnd w:id="52"/>
    </w:p>
    <w:p w14:paraId="3527A6D9">
      <w:pPr>
        <w:bidi w:val="0"/>
        <w:rPr>
          <w:rFonts w:hint="eastAsia"/>
        </w:rPr>
      </w:pPr>
      <w:r>
        <w:rPr>
          <w:rFonts w:hint="eastAsia"/>
        </w:rPr>
        <w:t>辰溪县</w:t>
      </w:r>
      <w:r>
        <w:rPr>
          <w:rFonts w:hint="eastAsia"/>
          <w:lang w:val="en-US" w:eastAsia="zh-CN"/>
        </w:rPr>
        <w:t>田湾镇人民政府</w:t>
      </w:r>
      <w:r>
        <w:rPr>
          <w:rFonts w:hint="eastAsia"/>
        </w:rPr>
        <w:t>应规范项目绩效目标管理，在项目实施前对项目设置合理的绩效目标，绩效考核指标需清晰、明确，并从产出、数量、质量、时效、效益等多方面进行细化、量化，以便于目标指导工作及工作成果考核工作。</w:t>
      </w:r>
    </w:p>
    <w:p w14:paraId="52EE4697">
      <w:pPr>
        <w:pStyle w:val="4"/>
        <w:bidi w:val="0"/>
        <w:rPr>
          <w:rFonts w:hint="default" w:eastAsia="楷体"/>
          <w:lang w:val="en-US" w:eastAsia="zh-CN"/>
        </w:rPr>
      </w:pPr>
      <w:bookmarkStart w:id="53" w:name="_Toc8667"/>
      <w:bookmarkStart w:id="54" w:name="_Toc4341"/>
      <w:r>
        <w:rPr>
          <w:rFonts w:hint="eastAsia"/>
        </w:rPr>
        <w:t>（二）</w:t>
      </w:r>
      <w:r>
        <w:rPr>
          <w:rFonts w:hint="eastAsia"/>
          <w:lang w:val="en-US" w:eastAsia="zh-CN"/>
        </w:rPr>
        <w:t>规范预算编制</w:t>
      </w:r>
      <w:bookmarkEnd w:id="53"/>
      <w:bookmarkEnd w:id="54"/>
    </w:p>
    <w:p w14:paraId="74AC5C71">
      <w:pPr>
        <w:bidi w:val="0"/>
        <w:outlineLvl w:val="9"/>
        <w:rPr>
          <w:rFonts w:hint="eastAsia" w:ascii="Times New Roman" w:hAnsi="Times New Roman" w:eastAsia="仿宋_GB2312" w:cs="Times New Roman"/>
          <w:b w:val="0"/>
          <w:bCs w:val="0"/>
          <w:kern w:val="2"/>
          <w:sz w:val="32"/>
          <w:szCs w:val="22"/>
          <w:lang w:val="en-US" w:eastAsia="zh-CN" w:bidi="ar-SA"/>
        </w:rPr>
      </w:pPr>
      <w:r>
        <w:rPr>
          <w:rFonts w:hint="eastAsia" w:ascii="Times New Roman" w:hAnsi="Times New Roman" w:eastAsia="仿宋_GB2312" w:cs="Times New Roman"/>
          <w:b w:val="0"/>
          <w:bCs w:val="0"/>
          <w:kern w:val="2"/>
          <w:sz w:val="32"/>
          <w:szCs w:val="22"/>
          <w:lang w:val="en-US" w:eastAsia="zh-CN" w:bidi="ar-SA"/>
        </w:rPr>
        <w:t>辰溪县田湾镇人民政府应加强预算管理，在项目实施前对预算编制经过充分论证，保证预算项目详细、准确。</w:t>
      </w:r>
    </w:p>
    <w:p w14:paraId="2A86E4F0">
      <w:pPr>
        <w:pStyle w:val="4"/>
        <w:bidi w:val="0"/>
        <w:rPr>
          <w:rFonts w:hint="eastAsia"/>
        </w:rPr>
      </w:pPr>
      <w:bookmarkStart w:id="55" w:name="_Toc29082"/>
      <w:bookmarkStart w:id="56" w:name="_Toc23254"/>
      <w:r>
        <w:rPr>
          <w:rFonts w:hint="eastAsia"/>
        </w:rPr>
        <w:t>（</w:t>
      </w:r>
      <w:r>
        <w:rPr>
          <w:rFonts w:hint="eastAsia"/>
          <w:lang w:val="en-US" w:eastAsia="zh-CN"/>
        </w:rPr>
        <w:t>三</w:t>
      </w:r>
      <w:r>
        <w:rPr>
          <w:rFonts w:hint="eastAsia"/>
        </w:rPr>
        <w:t>）及时督促资金到位</w:t>
      </w:r>
      <w:bookmarkEnd w:id="55"/>
      <w:bookmarkEnd w:id="56"/>
    </w:p>
    <w:p w14:paraId="787A132D">
      <w:pPr>
        <w:bidi w:val="0"/>
        <w:rPr>
          <w:rFonts w:hint="eastAsia" w:ascii="仿宋_GB2312" w:hAnsi="仿宋_GB2312" w:eastAsia="仿宋_GB2312" w:cs="仿宋_GB2312"/>
          <w:kern w:val="0"/>
          <w:szCs w:val="28"/>
        </w:rPr>
      </w:pPr>
      <w:r>
        <w:rPr>
          <w:rFonts w:hint="eastAsia"/>
        </w:rPr>
        <w:t>辰溪县</w:t>
      </w:r>
      <w:r>
        <w:rPr>
          <w:rFonts w:hint="eastAsia"/>
          <w:lang w:val="en-US" w:eastAsia="zh-CN"/>
        </w:rPr>
        <w:t>田湾镇人民政府</w:t>
      </w:r>
      <w:r>
        <w:rPr>
          <w:rFonts w:hint="eastAsia"/>
        </w:rPr>
        <w:t>应加强预算管理，积极与财政局进行协商，确保项目资金及时拨付到位，尽早拨付工程建设资金。</w:t>
      </w:r>
    </w:p>
    <w:p w14:paraId="42424A07">
      <w:pPr>
        <w:pStyle w:val="4"/>
        <w:bidi w:val="0"/>
        <w:rPr>
          <w:rFonts w:hint="default" w:eastAsia="楷体"/>
          <w:lang w:val="en-US" w:eastAsia="zh-CN"/>
        </w:rPr>
      </w:pPr>
      <w:bookmarkStart w:id="57" w:name="_Toc29535"/>
      <w:bookmarkStart w:id="58" w:name="_Toc24501"/>
      <w:r>
        <w:rPr>
          <w:rFonts w:hint="eastAsia"/>
        </w:rPr>
        <w:t>（</w:t>
      </w:r>
      <w:r>
        <w:rPr>
          <w:rFonts w:hint="eastAsia"/>
          <w:lang w:val="en-US" w:eastAsia="zh-CN"/>
        </w:rPr>
        <w:t>四</w:t>
      </w:r>
      <w:r>
        <w:rPr>
          <w:rFonts w:hint="eastAsia"/>
        </w:rPr>
        <w:t>）</w:t>
      </w:r>
      <w:bookmarkEnd w:id="57"/>
      <w:bookmarkEnd w:id="58"/>
      <w:r>
        <w:rPr>
          <w:rFonts w:hint="eastAsia"/>
          <w:lang w:val="en-US" w:eastAsia="zh-CN"/>
        </w:rPr>
        <w:t>促进可持续影响</w:t>
      </w:r>
    </w:p>
    <w:p w14:paraId="5B649690">
      <w:pPr>
        <w:bidi w:val="0"/>
        <w:rPr>
          <w:rFonts w:hint="default" w:eastAsia="仿宋_GB2312"/>
          <w:lang w:val="en-US" w:eastAsia="zh-CN"/>
        </w:rPr>
      </w:pPr>
      <w:r>
        <w:rPr>
          <w:rFonts w:hint="eastAsia"/>
        </w:rPr>
        <w:t>辰溪县</w:t>
      </w:r>
      <w:r>
        <w:rPr>
          <w:rFonts w:hint="eastAsia"/>
          <w:lang w:val="en-US" w:eastAsia="zh-CN"/>
        </w:rPr>
        <w:t>田湾镇人民政府</w:t>
      </w:r>
      <w:r>
        <w:rPr>
          <w:rFonts w:hint="eastAsia"/>
        </w:rPr>
        <w:t>应</w:t>
      </w:r>
      <w:r>
        <w:rPr>
          <w:rFonts w:hint="eastAsia"/>
          <w:lang w:val="en-US" w:eastAsia="zh-CN"/>
        </w:rPr>
        <w:t>加快项目后续运行、成效发挥的速度，开发和维护溪堤周边的农田，促进项目建设的可持续影响。</w:t>
      </w:r>
    </w:p>
    <w:p w14:paraId="36B5AD0A">
      <w:pPr>
        <w:autoSpaceDE w:val="0"/>
        <w:autoSpaceDN w:val="0"/>
        <w:adjustRightInd w:val="0"/>
        <w:spacing w:line="360" w:lineRule="auto"/>
        <w:ind w:firstLine="480"/>
        <w:rPr>
          <w:rFonts w:hint="eastAsia" w:ascii="仿宋" w:hAnsi="仿宋" w:eastAsia="仿宋"/>
          <w:kern w:val="0"/>
          <w:sz w:val="32"/>
          <w:szCs w:val="32"/>
          <w:lang w:val="zh-CN"/>
        </w:rPr>
      </w:pPr>
    </w:p>
    <w:p w14:paraId="14A0F883">
      <w:pPr>
        <w:pStyle w:val="3"/>
        <w:bidi w:val="0"/>
        <w:ind w:firstLine="720"/>
        <w:outlineLvl w:val="2"/>
        <w:rPr>
          <w:rFonts w:hint="eastAsia" w:cs="Times New Roman"/>
          <w:b/>
          <w:bCs/>
        </w:rPr>
      </w:pPr>
      <w:bookmarkStart w:id="59" w:name="_Toc25174"/>
      <w:r>
        <w:rPr>
          <w:rFonts w:hint="eastAsia" w:cs="Times New Roman"/>
          <w:b/>
          <w:bCs/>
        </w:rPr>
        <w:t>附件：</w:t>
      </w:r>
      <w:bookmarkEnd w:id="59"/>
    </w:p>
    <w:p w14:paraId="65326A20">
      <w:pPr>
        <w:autoSpaceDE w:val="0"/>
        <w:autoSpaceDN w:val="0"/>
        <w:adjustRightInd w:val="0"/>
        <w:ind w:left="1920" w:leftChars="200" w:hanging="1280" w:hangingChars="400"/>
        <w:jc w:val="left"/>
        <w:outlineLvl w:val="0"/>
        <w:rPr>
          <w:rFonts w:hint="eastAsia"/>
        </w:rPr>
      </w:pPr>
      <w:bookmarkStart w:id="60" w:name="_Toc21220"/>
      <w:bookmarkStart w:id="61" w:name="_Toc1192"/>
      <w:r>
        <w:rPr>
          <w:rFonts w:hint="eastAsia"/>
        </w:rPr>
        <w:t>附件一 辰溪县田湾镇乌金村溪堤建设项目绩效评价指标体系及评分表</w:t>
      </w:r>
      <w:bookmarkEnd w:id="60"/>
      <w:bookmarkEnd w:id="61"/>
    </w:p>
    <w:p w14:paraId="001B56C3">
      <w:pPr>
        <w:autoSpaceDE w:val="0"/>
        <w:autoSpaceDN w:val="0"/>
        <w:adjustRightInd w:val="0"/>
        <w:ind w:firstLine="482"/>
        <w:jc w:val="left"/>
        <w:outlineLvl w:val="0"/>
        <w:rPr>
          <w:rFonts w:hint="eastAsia" w:cs="Times New Roman"/>
        </w:rPr>
      </w:pPr>
      <w:bookmarkStart w:id="62" w:name="_Toc22019"/>
      <w:bookmarkStart w:id="63" w:name="_Toc17734"/>
      <w:r>
        <w:rPr>
          <w:rFonts w:hint="eastAsia" w:cs="Times New Roman"/>
        </w:rPr>
        <w:t>附件二 项目现场及调研过程图（部分）</w:t>
      </w:r>
      <w:bookmarkEnd w:id="62"/>
      <w:bookmarkEnd w:id="63"/>
    </w:p>
    <w:p w14:paraId="5F4615CA">
      <w:pPr>
        <w:bidi w:val="0"/>
        <w:outlineLvl w:val="0"/>
        <w:rPr>
          <w:rFonts w:hint="eastAsia"/>
        </w:rPr>
      </w:pPr>
      <w:bookmarkStart w:id="64" w:name="_Toc14096"/>
      <w:bookmarkStart w:id="65" w:name="_Toc23070"/>
      <w:r>
        <w:rPr>
          <w:rFonts w:hint="eastAsia"/>
        </w:rPr>
        <w:t>附件三 满意度调查评分表</w:t>
      </w:r>
      <w:bookmarkEnd w:id="64"/>
      <w:bookmarkEnd w:id="65"/>
    </w:p>
    <w:p w14:paraId="5DF6F0C5">
      <w:pPr>
        <w:bidi w:val="0"/>
        <w:rPr>
          <w:rFonts w:hint="default"/>
          <w:lang w:val="en-US" w:eastAsia="zh-CN"/>
        </w:rPr>
      </w:pPr>
    </w:p>
    <w:p w14:paraId="3EF912F3">
      <w:pPr>
        <w:pStyle w:val="6"/>
        <w:numPr>
          <w:ilvl w:val="0"/>
          <w:numId w:val="0"/>
        </w:numPr>
        <w:ind w:left="1880"/>
        <w:outlineLvl w:val="9"/>
        <w:rPr>
          <w:rFonts w:hint="eastAsia" w:ascii="仿宋_GB2312" w:hAnsi="仿宋_GB2312" w:eastAsia="仿宋_GB2312" w:cs="仿宋_GB2312"/>
        </w:rPr>
      </w:pPr>
    </w:p>
    <w:p w14:paraId="3C5F12C0">
      <w:pPr>
        <w:autoSpaceDE w:val="0"/>
        <w:autoSpaceDN w:val="0"/>
        <w:adjustRightInd w:val="0"/>
        <w:jc w:val="left"/>
        <w:rPr>
          <w:rFonts w:hint="eastAsia" w:ascii="仿宋_GB2312" w:hAnsi="仿宋_GB2312" w:eastAsia="仿宋_GB2312" w:cs="仿宋_GB2312"/>
          <w:color w:val="000000"/>
          <w:kern w:val="0"/>
          <w:sz w:val="32"/>
          <w:szCs w:val="28"/>
        </w:rPr>
      </w:pPr>
    </w:p>
    <w:tbl>
      <w:tblPr>
        <w:tblStyle w:val="12"/>
        <w:tblW w:w="4999" w:type="pct"/>
        <w:jc w:val="center"/>
        <w:tblLayout w:type="autofit"/>
        <w:tblCellMar>
          <w:top w:w="0" w:type="dxa"/>
          <w:left w:w="108" w:type="dxa"/>
          <w:bottom w:w="0" w:type="dxa"/>
          <w:right w:w="108" w:type="dxa"/>
        </w:tblCellMar>
      </w:tblPr>
      <w:tblGrid>
        <w:gridCol w:w="4418"/>
        <w:gridCol w:w="4102"/>
      </w:tblGrid>
      <w:tr w14:paraId="2D7FA069">
        <w:tblPrEx>
          <w:tblCellMar>
            <w:top w:w="0" w:type="dxa"/>
            <w:left w:w="108" w:type="dxa"/>
            <w:bottom w:w="0" w:type="dxa"/>
            <w:right w:w="108" w:type="dxa"/>
          </w:tblCellMar>
        </w:tblPrEx>
        <w:trPr>
          <w:trHeight w:val="801" w:hRule="atLeast"/>
          <w:jc w:val="center"/>
        </w:trPr>
        <w:tc>
          <w:tcPr>
            <w:tcW w:w="2592" w:type="pct"/>
            <w:vMerge w:val="restart"/>
            <w:noWrap w:val="0"/>
            <w:vAlign w:val="center"/>
          </w:tcPr>
          <w:p w14:paraId="2FDA7A47">
            <w:pPr>
              <w:spacing w:line="400" w:lineRule="exact"/>
              <w:jc w:val="center"/>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 xml:space="preserve">   </w:t>
            </w:r>
          </w:p>
          <w:p w14:paraId="43983F4D">
            <w:pPr>
              <w:spacing w:line="400" w:lineRule="exact"/>
              <w:jc w:val="center"/>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湖南正德会计师事务所</w:t>
            </w:r>
          </w:p>
          <w:p w14:paraId="2C65E111">
            <w:pPr>
              <w:spacing w:line="400" w:lineRule="exact"/>
              <w:ind w:firstLine="1280" w:firstLineChars="4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（普通合伙）</w:t>
            </w:r>
          </w:p>
          <w:p w14:paraId="282003E5">
            <w:pPr>
              <w:spacing w:before="156" w:beforeLines="50" w:line="560" w:lineRule="exact"/>
              <w:ind w:firstLine="640" w:firstLineChars="200"/>
              <w:jc w:val="center"/>
              <w:rPr>
                <w:rFonts w:hint="eastAsia" w:ascii="仿宋_GB2312" w:hAnsi="仿宋_GB2312" w:eastAsia="仿宋_GB2312" w:cs="仿宋_GB2312"/>
                <w:color w:val="000000"/>
                <w:sz w:val="32"/>
                <w:szCs w:val="28"/>
              </w:rPr>
            </w:pPr>
          </w:p>
          <w:p w14:paraId="3DF1745F">
            <w:pPr>
              <w:spacing w:line="560" w:lineRule="exact"/>
              <w:ind w:firstLine="1440" w:firstLineChars="4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pacing w:val="20"/>
                <w:sz w:val="32"/>
                <w:szCs w:val="28"/>
              </w:rPr>
              <w:t>中国•长沙</w:t>
            </w:r>
          </w:p>
        </w:tc>
        <w:tc>
          <w:tcPr>
            <w:tcW w:w="2407" w:type="pct"/>
            <w:noWrap w:val="0"/>
            <w:vAlign w:val="center"/>
          </w:tcPr>
          <w:p w14:paraId="239DD961">
            <w:pPr>
              <w:spacing w:before="156" w:beforeLines="50" w:after="156" w:afterLines="50" w:line="800" w:lineRule="exact"/>
              <w:ind w:firstLine="320" w:firstLineChars="1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中国注册会计师：</w:t>
            </w:r>
          </w:p>
        </w:tc>
      </w:tr>
      <w:tr w14:paraId="7B75B611">
        <w:tblPrEx>
          <w:tblCellMar>
            <w:top w:w="0" w:type="dxa"/>
            <w:left w:w="108" w:type="dxa"/>
            <w:bottom w:w="0" w:type="dxa"/>
            <w:right w:w="108" w:type="dxa"/>
          </w:tblCellMar>
        </w:tblPrEx>
        <w:trPr>
          <w:trHeight w:val="802" w:hRule="atLeast"/>
          <w:jc w:val="center"/>
        </w:trPr>
        <w:tc>
          <w:tcPr>
            <w:tcW w:w="2592" w:type="pct"/>
            <w:vMerge w:val="continue"/>
            <w:noWrap w:val="0"/>
            <w:vAlign w:val="center"/>
          </w:tcPr>
          <w:p w14:paraId="599D24DF">
            <w:pPr>
              <w:spacing w:before="156" w:beforeLines="50" w:line="560" w:lineRule="exact"/>
              <w:ind w:firstLine="640" w:firstLineChars="200"/>
              <w:jc w:val="center"/>
              <w:rPr>
                <w:rFonts w:hint="eastAsia" w:ascii="仿宋_GB2312" w:hAnsi="仿宋_GB2312" w:eastAsia="仿宋_GB2312" w:cs="仿宋_GB2312"/>
                <w:color w:val="000000"/>
                <w:sz w:val="32"/>
                <w:szCs w:val="28"/>
              </w:rPr>
            </w:pPr>
          </w:p>
        </w:tc>
        <w:tc>
          <w:tcPr>
            <w:tcW w:w="2407" w:type="pct"/>
            <w:noWrap w:val="0"/>
            <w:vAlign w:val="center"/>
          </w:tcPr>
          <w:p w14:paraId="47B53B15">
            <w:pPr>
              <w:spacing w:before="156" w:beforeLines="50" w:after="156" w:afterLines="50" w:line="800" w:lineRule="exact"/>
              <w:ind w:firstLine="320" w:firstLineChars="1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rPr>
              <w:t>中国注册会计师：</w:t>
            </w:r>
          </w:p>
        </w:tc>
      </w:tr>
      <w:tr w14:paraId="60DC2B26">
        <w:tblPrEx>
          <w:tblCellMar>
            <w:top w:w="0" w:type="dxa"/>
            <w:left w:w="108" w:type="dxa"/>
            <w:bottom w:w="0" w:type="dxa"/>
            <w:right w:w="108" w:type="dxa"/>
          </w:tblCellMar>
        </w:tblPrEx>
        <w:trPr>
          <w:trHeight w:val="802" w:hRule="atLeast"/>
          <w:jc w:val="center"/>
        </w:trPr>
        <w:tc>
          <w:tcPr>
            <w:tcW w:w="2592" w:type="pct"/>
            <w:vMerge w:val="continue"/>
            <w:noWrap w:val="0"/>
            <w:vAlign w:val="center"/>
          </w:tcPr>
          <w:p w14:paraId="698DC62F">
            <w:pPr>
              <w:spacing w:before="156" w:beforeLines="50" w:line="560" w:lineRule="exact"/>
              <w:ind w:firstLine="640" w:firstLineChars="200"/>
              <w:jc w:val="center"/>
              <w:rPr>
                <w:rFonts w:hint="eastAsia" w:ascii="仿宋_GB2312" w:hAnsi="仿宋_GB2312" w:eastAsia="仿宋_GB2312" w:cs="仿宋_GB2312"/>
                <w:color w:val="000000"/>
                <w:sz w:val="32"/>
                <w:szCs w:val="28"/>
              </w:rPr>
            </w:pPr>
          </w:p>
        </w:tc>
        <w:tc>
          <w:tcPr>
            <w:tcW w:w="2407" w:type="pct"/>
            <w:noWrap w:val="0"/>
            <w:vAlign w:val="center"/>
          </w:tcPr>
          <w:p w14:paraId="114B52DC">
            <w:pPr>
              <w:spacing w:before="156" w:beforeLines="50" w:after="156" w:afterLines="50" w:line="800" w:lineRule="exact"/>
              <w:ind w:firstLine="320" w:firstLineChars="100"/>
              <w:rPr>
                <w:rFonts w:hint="eastAsia" w:ascii="仿宋_GB2312" w:hAnsi="仿宋_GB2312" w:eastAsia="仿宋_GB2312" w:cs="仿宋_GB2312"/>
                <w:color w:val="000000"/>
                <w:sz w:val="32"/>
                <w:szCs w:val="28"/>
              </w:rPr>
            </w:pPr>
            <w:r>
              <w:rPr>
                <w:rFonts w:hint="eastAsia" w:ascii="仿宋_GB2312" w:hAnsi="仿宋_GB2312" w:eastAsia="仿宋_GB2312" w:cs="仿宋_GB2312"/>
                <w:color w:val="000000"/>
                <w:sz w:val="32"/>
                <w:szCs w:val="28"/>
                <w:highlight w:val="yellow"/>
              </w:rPr>
              <w:t>202</w:t>
            </w:r>
            <w:r>
              <w:rPr>
                <w:rFonts w:hint="eastAsia" w:ascii="仿宋_GB2312" w:hAnsi="仿宋_GB2312" w:cs="仿宋_GB2312"/>
                <w:color w:val="000000"/>
                <w:sz w:val="32"/>
                <w:szCs w:val="28"/>
                <w:highlight w:val="yellow"/>
                <w:lang w:val="en-US" w:eastAsia="zh-CN"/>
              </w:rPr>
              <w:t>4</w:t>
            </w:r>
            <w:r>
              <w:rPr>
                <w:rFonts w:hint="eastAsia" w:ascii="仿宋_GB2312" w:hAnsi="仿宋_GB2312" w:eastAsia="仿宋_GB2312" w:cs="仿宋_GB2312"/>
                <w:color w:val="000000"/>
                <w:sz w:val="32"/>
                <w:szCs w:val="28"/>
                <w:highlight w:val="yellow"/>
              </w:rPr>
              <w:t>年</w:t>
            </w:r>
            <w:r>
              <w:rPr>
                <w:rFonts w:hint="eastAsia" w:ascii="仿宋_GB2312" w:hAnsi="仿宋_GB2312" w:cs="仿宋_GB2312"/>
                <w:color w:val="000000"/>
                <w:sz w:val="32"/>
                <w:szCs w:val="28"/>
                <w:highlight w:val="yellow"/>
                <w:lang w:val="en-US" w:eastAsia="zh-CN"/>
              </w:rPr>
              <w:t>9</w:t>
            </w:r>
            <w:r>
              <w:rPr>
                <w:rFonts w:hint="eastAsia" w:ascii="仿宋_GB2312" w:hAnsi="仿宋_GB2312" w:eastAsia="仿宋_GB2312" w:cs="仿宋_GB2312"/>
                <w:color w:val="000000"/>
                <w:sz w:val="32"/>
                <w:szCs w:val="28"/>
                <w:highlight w:val="yellow"/>
              </w:rPr>
              <w:t>月</w:t>
            </w:r>
            <w:r>
              <w:rPr>
                <w:rFonts w:hint="eastAsia" w:ascii="仿宋_GB2312" w:hAnsi="仿宋_GB2312" w:cs="仿宋_GB2312"/>
                <w:color w:val="000000"/>
                <w:sz w:val="32"/>
                <w:szCs w:val="28"/>
                <w:highlight w:val="yellow"/>
                <w:lang w:val="en-US" w:eastAsia="zh-CN"/>
              </w:rPr>
              <w:t xml:space="preserve">  </w:t>
            </w:r>
            <w:r>
              <w:rPr>
                <w:rFonts w:hint="eastAsia" w:ascii="仿宋_GB2312" w:hAnsi="仿宋_GB2312" w:eastAsia="仿宋_GB2312" w:cs="仿宋_GB2312"/>
                <w:color w:val="000000"/>
                <w:sz w:val="32"/>
                <w:szCs w:val="28"/>
                <w:highlight w:val="yellow"/>
              </w:rPr>
              <w:t>日</w:t>
            </w:r>
          </w:p>
        </w:tc>
      </w:tr>
    </w:tbl>
    <w:p w14:paraId="45494752">
      <w:pPr>
        <w:sectPr>
          <w:footerReference r:id="rId9" w:type="default"/>
          <w:pgSz w:w="11906" w:h="16838"/>
          <w:pgMar w:top="1440" w:right="1800" w:bottom="1440" w:left="1800" w:header="851" w:footer="992" w:gutter="0"/>
          <w:pgNumType w:fmt="decimal" w:start="1"/>
          <w:cols w:space="425" w:num="1"/>
          <w:docGrid w:type="lines" w:linePitch="312" w:charSpace="0"/>
        </w:sectPr>
      </w:pPr>
      <w:r>
        <w:br w:type="page"/>
      </w:r>
    </w:p>
    <w:p w14:paraId="4FC496B9">
      <w:pPr>
        <w:pStyle w:val="2"/>
        <w:ind w:left="0" w:leftChars="0" w:firstLine="0" w:firstLineChars="0"/>
        <w:rPr>
          <w:rFonts w:hint="eastAsia" w:ascii="黑体" w:hAnsi="黑体" w:eastAsia="黑体" w:cs="SimSun-Identity-H"/>
          <w:kern w:val="0"/>
          <w:sz w:val="32"/>
          <w:szCs w:val="32"/>
        </w:rPr>
      </w:pPr>
      <w:r>
        <w:rPr>
          <w:rFonts w:hint="eastAsia" w:ascii="黑体" w:hAnsi="黑体" w:eastAsia="黑体" w:cs="SimSun-Identity-H"/>
          <w:kern w:val="0"/>
          <w:sz w:val="32"/>
          <w:szCs w:val="32"/>
        </w:rPr>
        <w:t>附件一 辰溪县田湾镇乌金村溪堤建设项目绩效评价指标体系及评分表</w:t>
      </w:r>
    </w:p>
    <w:tbl>
      <w:tblPr>
        <w:tblStyle w:val="12"/>
        <w:tblW w:w="13809"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216"/>
        <w:gridCol w:w="1056"/>
        <w:gridCol w:w="1877"/>
        <w:gridCol w:w="3520"/>
        <w:gridCol w:w="1701"/>
        <w:gridCol w:w="1134"/>
        <w:gridCol w:w="1134"/>
        <w:gridCol w:w="1134"/>
      </w:tblGrid>
      <w:tr w14:paraId="43B55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1037" w:type="dxa"/>
            <w:noWrap w:val="0"/>
            <w:vAlign w:val="center"/>
          </w:tcPr>
          <w:p w14:paraId="0596D7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一级</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p>
        </w:tc>
        <w:tc>
          <w:tcPr>
            <w:tcW w:w="1216" w:type="dxa"/>
            <w:noWrap w:val="0"/>
            <w:vAlign w:val="center"/>
          </w:tcPr>
          <w:p w14:paraId="06F58D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二级</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p>
        </w:tc>
        <w:tc>
          <w:tcPr>
            <w:tcW w:w="1056" w:type="dxa"/>
            <w:noWrap w:val="0"/>
            <w:vAlign w:val="center"/>
          </w:tcPr>
          <w:p w14:paraId="2841BA3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三级</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p>
        </w:tc>
        <w:tc>
          <w:tcPr>
            <w:tcW w:w="1877" w:type="dxa"/>
            <w:noWrap/>
            <w:vAlign w:val="center"/>
          </w:tcPr>
          <w:p w14:paraId="7498B6D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指标解释</w:t>
            </w:r>
          </w:p>
        </w:tc>
        <w:tc>
          <w:tcPr>
            <w:tcW w:w="3520" w:type="dxa"/>
            <w:noWrap/>
            <w:vAlign w:val="center"/>
          </w:tcPr>
          <w:p w14:paraId="5047AF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评分标准</w:t>
            </w:r>
          </w:p>
        </w:tc>
        <w:tc>
          <w:tcPr>
            <w:tcW w:w="1701" w:type="dxa"/>
            <w:noWrap/>
            <w:vAlign w:val="center"/>
          </w:tcPr>
          <w:p w14:paraId="08C080A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评价结论概述</w:t>
            </w:r>
          </w:p>
        </w:tc>
        <w:tc>
          <w:tcPr>
            <w:tcW w:w="1134" w:type="dxa"/>
            <w:noWrap/>
            <w:vAlign w:val="center"/>
          </w:tcPr>
          <w:p w14:paraId="394E7C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分值</w:t>
            </w:r>
          </w:p>
        </w:tc>
        <w:tc>
          <w:tcPr>
            <w:tcW w:w="1134" w:type="dxa"/>
            <w:noWrap w:val="0"/>
            <w:vAlign w:val="center"/>
          </w:tcPr>
          <w:p w14:paraId="3C1A7C3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指标</w:t>
            </w:r>
            <w:r>
              <w:rPr>
                <w:rFonts w:hint="eastAsia" w:ascii="仿宋_GB2312" w:hAnsi="仿宋_GB2312" w:eastAsia="仿宋_GB2312" w:cs="仿宋_GB2312"/>
                <w:b/>
                <w:bCs/>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b/>
                <w:bCs/>
                <w:i w:val="0"/>
                <w:iCs w:val="0"/>
                <w:color w:val="000000"/>
                <w:kern w:val="0"/>
                <w:sz w:val="21"/>
                <w:szCs w:val="21"/>
                <w:highlight w:val="none"/>
                <w:u w:val="none"/>
                <w:lang w:val="en-US" w:eastAsia="zh-CN" w:bidi="ar"/>
              </w:rPr>
              <w:t>得分</w:t>
            </w:r>
          </w:p>
        </w:tc>
        <w:tc>
          <w:tcPr>
            <w:tcW w:w="1134" w:type="dxa"/>
            <w:noWrap/>
            <w:vAlign w:val="center"/>
          </w:tcPr>
          <w:p w14:paraId="255C98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备注</w:t>
            </w:r>
          </w:p>
        </w:tc>
      </w:tr>
      <w:tr w14:paraId="2E23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trPr>
        <w:tc>
          <w:tcPr>
            <w:tcW w:w="1037" w:type="dxa"/>
            <w:vMerge w:val="restart"/>
            <w:noWrap w:val="0"/>
            <w:vAlign w:val="center"/>
          </w:tcPr>
          <w:p w14:paraId="058BEF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决策</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cs="仿宋_GB2312"/>
                <w:i w:val="0"/>
                <w:iCs w:val="0"/>
                <w:color w:val="000000"/>
                <w:kern w:val="0"/>
                <w:sz w:val="21"/>
                <w:szCs w:val="21"/>
                <w:highlight w:val="none"/>
                <w:u w:val="none"/>
                <w:lang w:val="en-US" w:eastAsia="zh-CN" w:bidi="ar"/>
              </w:rPr>
              <w:t>（</w:t>
            </w:r>
            <w:r>
              <w:rPr>
                <w:rFonts w:hint="eastAsia" w:ascii="仿宋_GB2312" w:hAnsi="仿宋_GB2312" w:eastAsia="仿宋_GB2312" w:cs="仿宋_GB2312"/>
                <w:i w:val="0"/>
                <w:iCs w:val="0"/>
                <w:color w:val="000000"/>
                <w:kern w:val="0"/>
                <w:sz w:val="21"/>
                <w:szCs w:val="21"/>
                <w:highlight w:val="none"/>
                <w:u w:val="none"/>
                <w:lang w:val="en-US" w:eastAsia="zh-CN" w:bidi="ar"/>
              </w:rPr>
              <w:t>18分</w:t>
            </w:r>
            <w:r>
              <w:rPr>
                <w:rFonts w:hint="eastAsia" w:ascii="仿宋_GB2312" w:hAnsi="仿宋_GB2312" w:cs="仿宋_GB2312"/>
                <w:i w:val="0"/>
                <w:iCs w:val="0"/>
                <w:color w:val="000000"/>
                <w:kern w:val="0"/>
                <w:sz w:val="21"/>
                <w:szCs w:val="21"/>
                <w:highlight w:val="none"/>
                <w:u w:val="none"/>
                <w:lang w:val="en-US" w:eastAsia="zh-CN" w:bidi="ar"/>
              </w:rPr>
              <w:t>）</w:t>
            </w:r>
          </w:p>
        </w:tc>
        <w:tc>
          <w:tcPr>
            <w:tcW w:w="1216" w:type="dxa"/>
            <w:vMerge w:val="restart"/>
            <w:noWrap w:val="0"/>
            <w:vAlign w:val="center"/>
          </w:tcPr>
          <w:p w14:paraId="6F52EFF4">
            <w:pPr>
              <w:keepNext w:val="0"/>
              <w:keepLines w:val="0"/>
              <w:pageBreakBefore w:val="0"/>
              <w:widowControl/>
              <w:suppressLineNumbers w:val="0"/>
              <w:kinsoku/>
              <w:wordWrap/>
              <w:overflowPunct/>
              <w:topLinePunct w:val="0"/>
              <w:autoSpaceDE/>
              <w:autoSpaceDN/>
              <w:bidi w:val="0"/>
              <w:adjustRightInd/>
              <w:snapToGrid/>
              <w:spacing w:after="180" w:afterAutospacing="0"/>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项目立项</w:t>
            </w:r>
          </w:p>
        </w:tc>
        <w:tc>
          <w:tcPr>
            <w:tcW w:w="1056" w:type="dxa"/>
            <w:noWrap w:val="0"/>
            <w:vAlign w:val="center"/>
          </w:tcPr>
          <w:p w14:paraId="1608DD8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立项依据</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充分性</w:t>
            </w:r>
          </w:p>
        </w:tc>
        <w:tc>
          <w:tcPr>
            <w:tcW w:w="1877" w:type="dxa"/>
            <w:noWrap w:val="0"/>
            <w:vAlign w:val="center"/>
          </w:tcPr>
          <w:p w14:paraId="73B50DD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项目立项是否符合法律法规、相关政策、发展规划以及部门职责，用以反映和考核项目立项依据情况。</w:t>
            </w:r>
          </w:p>
        </w:tc>
        <w:tc>
          <w:tcPr>
            <w:tcW w:w="3520" w:type="dxa"/>
            <w:noWrap w:val="0"/>
            <w:vAlign w:val="center"/>
          </w:tcPr>
          <w:p w14:paraId="246BD69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①项目立项符合国家法律法规、国民经济发展规划和相关政策；</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②项目立项符合</w:t>
            </w:r>
            <w:r>
              <w:rPr>
                <w:rFonts w:hint="eastAsia" w:ascii="仿宋_GB2312" w:hAnsi="仿宋_GB2312" w:cs="仿宋_GB2312"/>
                <w:i w:val="0"/>
                <w:iCs w:val="0"/>
                <w:color w:val="auto"/>
                <w:kern w:val="0"/>
                <w:sz w:val="21"/>
                <w:szCs w:val="21"/>
                <w:highlight w:val="none"/>
                <w:u w:val="none"/>
                <w:lang w:val="en-US" w:eastAsia="zh-CN" w:bidi="ar"/>
              </w:rPr>
              <w:t>民生</w:t>
            </w:r>
            <w:r>
              <w:rPr>
                <w:rFonts w:hint="eastAsia" w:ascii="仿宋_GB2312" w:hAnsi="仿宋_GB2312" w:eastAsia="仿宋_GB2312" w:cs="仿宋_GB2312"/>
                <w:i w:val="0"/>
                <w:iCs w:val="0"/>
                <w:color w:val="000000"/>
                <w:kern w:val="0"/>
                <w:sz w:val="21"/>
                <w:szCs w:val="21"/>
                <w:highlight w:val="none"/>
                <w:u w:val="none"/>
                <w:lang w:val="en-US" w:eastAsia="zh-CN" w:bidi="ar"/>
              </w:rPr>
              <w:t>发展规划和政策要求，以及上级主管部门规定；</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③项目立项与部门职责范围相符，属于部门履职所需；</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④项目立项前进行了充分的需求分析，内容完整、深入、全面、满足申报条件。</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721EF623">
            <w:pPr>
              <w:pStyle w:val="2"/>
              <w:ind w:left="0" w:leftChars="0" w:firstLine="0" w:firstLineChars="0"/>
              <w:jc w:val="left"/>
              <w:rPr>
                <w:rFonts w:hint="eastAsia"/>
                <w:b w:val="0"/>
                <w:bCs/>
                <w:highlight w:val="none"/>
                <w:lang w:eastAsia="zh-CN"/>
              </w:rPr>
            </w:pPr>
            <w:r>
              <w:rPr>
                <w:rFonts w:hint="eastAsia" w:ascii="仿宋_GB2312" w:hAnsi="仿宋_GB2312" w:eastAsia="仿宋_GB2312" w:cs="仿宋_GB2312"/>
                <w:b w:val="0"/>
                <w:bCs/>
                <w:i w:val="0"/>
                <w:iCs w:val="0"/>
                <w:color w:val="000000"/>
                <w:kern w:val="0"/>
                <w:sz w:val="21"/>
                <w:szCs w:val="21"/>
                <w:u w:val="none"/>
                <w:lang w:val="en-US" w:eastAsia="zh-CN" w:bidi="ar"/>
              </w:rPr>
              <w:t>项目符合国家法律法规、国民经济发展规划和相关政策，符合行业发展规划和政策要求，与本部门职责范围相符，进行了分析，立项内容完整、深入、全面，立项依据充分。</w:t>
            </w:r>
          </w:p>
        </w:tc>
        <w:tc>
          <w:tcPr>
            <w:tcW w:w="1134" w:type="dxa"/>
            <w:noWrap/>
            <w:vAlign w:val="center"/>
          </w:tcPr>
          <w:p w14:paraId="030BF3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4</w:t>
            </w:r>
          </w:p>
        </w:tc>
        <w:tc>
          <w:tcPr>
            <w:tcW w:w="1134" w:type="dxa"/>
            <w:noWrap/>
            <w:vAlign w:val="center"/>
          </w:tcPr>
          <w:p w14:paraId="38C988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4</w:t>
            </w:r>
          </w:p>
        </w:tc>
        <w:tc>
          <w:tcPr>
            <w:tcW w:w="1134" w:type="dxa"/>
            <w:shd w:val="clear" w:color="auto" w:fill="auto"/>
            <w:noWrap/>
            <w:vAlign w:val="center"/>
          </w:tcPr>
          <w:p w14:paraId="3214A4FE">
            <w:pPr>
              <w:pStyle w:val="2"/>
              <w:ind w:left="0" w:leftChars="0" w:firstLine="0" w:firstLineChars="0"/>
              <w:rPr>
                <w:rFonts w:hint="eastAsia" w:ascii="Times New Roman" w:hAnsi="Times New Roman" w:eastAsia="仿宋" w:cs="Times New Roman"/>
                <w:b/>
                <w:color w:val="auto"/>
                <w:kern w:val="2"/>
                <w:sz w:val="21"/>
                <w:szCs w:val="22"/>
                <w:highlight w:val="none"/>
                <w:lang w:val="en-US" w:eastAsia="zh-CN" w:bidi="ar-SA"/>
              </w:rPr>
            </w:pPr>
          </w:p>
        </w:tc>
      </w:tr>
      <w:tr w14:paraId="7FB8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1037" w:type="dxa"/>
            <w:vMerge w:val="continue"/>
            <w:noWrap w:val="0"/>
            <w:vAlign w:val="center"/>
          </w:tcPr>
          <w:p w14:paraId="06280580">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720A1AA6">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6E41834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立项程序</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规范性</w:t>
            </w:r>
          </w:p>
        </w:tc>
        <w:tc>
          <w:tcPr>
            <w:tcW w:w="1877" w:type="dxa"/>
            <w:noWrap w:val="0"/>
            <w:vAlign w:val="center"/>
          </w:tcPr>
          <w:p w14:paraId="1B2CD627">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项目申请、设立过程是否符合相关要求，用以反映和考核项目立项的规范情况。</w:t>
            </w:r>
          </w:p>
        </w:tc>
        <w:tc>
          <w:tcPr>
            <w:tcW w:w="3520" w:type="dxa"/>
            <w:noWrap w:val="0"/>
            <w:vAlign w:val="center"/>
          </w:tcPr>
          <w:p w14:paraId="0BF0F450">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①项目单位申请材料齐全，符合相关要求；</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②经必要的可行性研究、专家论证、风险评估、集体决策等；</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③按规定要求取得上级单位、属地行政主管部门的审批文件、材料。</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5C37E86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eastAsia="仿宋_GB2312" w:cs="仿宋_GB2312"/>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湖南省发改委</w:t>
            </w:r>
            <w:r>
              <w:rPr>
                <w:rFonts w:hint="eastAsia" w:ascii="仿宋_GB2312" w:hAnsi="仿宋_GB2312" w:cs="仿宋_GB2312"/>
                <w:i w:val="0"/>
                <w:iCs w:val="0"/>
                <w:color w:val="000000"/>
                <w:kern w:val="0"/>
                <w:sz w:val="21"/>
                <w:szCs w:val="21"/>
                <w:highlight w:val="none"/>
                <w:u w:val="none"/>
                <w:lang w:val="en-US" w:eastAsia="zh-CN" w:bidi="ar"/>
              </w:rPr>
              <w:t>下达通知文件，田湾镇人民政府</w:t>
            </w:r>
            <w:r>
              <w:rPr>
                <w:rFonts w:hint="eastAsia" w:ascii="仿宋_GB2312" w:hAnsi="仿宋_GB2312" w:eastAsia="仿宋_GB2312" w:cs="仿宋_GB2312"/>
                <w:i w:val="0"/>
                <w:iCs w:val="0"/>
                <w:color w:val="000000"/>
                <w:kern w:val="0"/>
                <w:sz w:val="21"/>
                <w:szCs w:val="21"/>
                <w:u w:val="none"/>
                <w:lang w:val="en-US" w:eastAsia="zh-CN" w:bidi="ar"/>
              </w:rPr>
              <w:t>委托第三方编制可研报告，辰溪县发改局批复了可研报告。</w:t>
            </w:r>
          </w:p>
        </w:tc>
        <w:tc>
          <w:tcPr>
            <w:tcW w:w="1134" w:type="dxa"/>
            <w:noWrap/>
            <w:vAlign w:val="center"/>
          </w:tcPr>
          <w:p w14:paraId="1DE8E8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134" w:type="dxa"/>
            <w:noWrap/>
            <w:vAlign w:val="center"/>
          </w:tcPr>
          <w:p w14:paraId="06D804E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3</w:t>
            </w:r>
          </w:p>
        </w:tc>
        <w:tc>
          <w:tcPr>
            <w:tcW w:w="1134" w:type="dxa"/>
            <w:shd w:val="clear" w:color="auto" w:fill="auto"/>
            <w:noWrap/>
            <w:vAlign w:val="center"/>
          </w:tcPr>
          <w:p w14:paraId="2A86D17D">
            <w:pPr>
              <w:pStyle w:val="2"/>
              <w:ind w:left="0" w:leftChars="0" w:firstLine="0" w:firstLineChars="0"/>
              <w:rPr>
                <w:rFonts w:hint="eastAsia" w:ascii="仿宋_GB2312" w:hAnsi="仿宋_GB2312" w:eastAsia="仿宋_GB2312" w:cs="仿宋_GB2312"/>
                <w:i w:val="0"/>
                <w:iCs w:val="0"/>
                <w:color w:val="auto"/>
                <w:kern w:val="2"/>
                <w:sz w:val="21"/>
                <w:szCs w:val="21"/>
                <w:highlight w:val="none"/>
                <w:u w:val="none"/>
                <w:lang w:val="en-US" w:eastAsia="zh-CN" w:bidi="ar-SA"/>
              </w:rPr>
            </w:pPr>
          </w:p>
        </w:tc>
      </w:tr>
      <w:tr w14:paraId="56C9F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1037" w:type="dxa"/>
            <w:vMerge w:val="continue"/>
            <w:noWrap w:val="0"/>
            <w:vAlign w:val="center"/>
          </w:tcPr>
          <w:p w14:paraId="557DE9F4">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restart"/>
            <w:noWrap w:val="0"/>
            <w:vAlign w:val="center"/>
          </w:tcPr>
          <w:p w14:paraId="68CCD1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绩效目标</w:t>
            </w:r>
          </w:p>
        </w:tc>
        <w:tc>
          <w:tcPr>
            <w:tcW w:w="1056" w:type="dxa"/>
            <w:noWrap w:val="0"/>
            <w:vAlign w:val="center"/>
          </w:tcPr>
          <w:p w14:paraId="2D70FC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绩效目标合理性</w:t>
            </w:r>
          </w:p>
        </w:tc>
        <w:tc>
          <w:tcPr>
            <w:tcW w:w="1877" w:type="dxa"/>
            <w:noWrap w:val="0"/>
            <w:vAlign w:val="center"/>
          </w:tcPr>
          <w:p w14:paraId="7325C1C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项目所设定的绩效目标是否依据充分，是否符合客观实际，用以反映和考核项目绩效目标与项目实施的相符情况。</w:t>
            </w:r>
          </w:p>
        </w:tc>
        <w:tc>
          <w:tcPr>
            <w:tcW w:w="3520" w:type="dxa"/>
            <w:noWrap w:val="0"/>
            <w:vAlign w:val="center"/>
          </w:tcPr>
          <w:p w14:paraId="0406411C">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①项目有绩效目标；</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②项目绩效目标与实际工作内容具有相关性；</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③项目绩效目标全面反映项目应达到的数量、质量、时效、成本及预期效益；</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④与预算确定的项目投资额或资金量相匹配。</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082CEF80">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auto"/>
                <w:sz w:val="21"/>
                <w:szCs w:val="21"/>
                <w:highlight w:val="none"/>
                <w:u w:val="none"/>
                <w:lang w:val="en-US" w:eastAsia="zh-CN"/>
              </w:rPr>
            </w:pPr>
            <w:r>
              <w:rPr>
                <w:rFonts w:hint="eastAsia" w:ascii="仿宋_GB2312" w:hAnsi="仿宋_GB2312" w:eastAsia="仿宋_GB2312" w:cs="仿宋_GB2312"/>
                <w:i w:val="0"/>
                <w:iCs w:val="0"/>
                <w:color w:val="000000"/>
                <w:kern w:val="0"/>
                <w:sz w:val="21"/>
                <w:szCs w:val="21"/>
                <w:highlight w:val="none"/>
                <w:u w:val="none"/>
                <w:lang w:val="en-US" w:eastAsia="zh-CN" w:bidi="ar"/>
              </w:rPr>
              <w:t>项目绩效目标</w:t>
            </w:r>
            <w:r>
              <w:rPr>
                <w:rFonts w:hint="eastAsia" w:ascii="仿宋_GB2312" w:hAnsi="仿宋_GB2312" w:cs="仿宋_GB2312"/>
                <w:i w:val="0"/>
                <w:iCs w:val="0"/>
                <w:color w:val="000000"/>
                <w:kern w:val="0"/>
                <w:sz w:val="21"/>
                <w:szCs w:val="21"/>
                <w:highlight w:val="none"/>
                <w:u w:val="none"/>
                <w:lang w:val="en-US" w:eastAsia="zh-CN" w:bidi="ar"/>
              </w:rPr>
              <w:t>未</w:t>
            </w:r>
            <w:r>
              <w:rPr>
                <w:rFonts w:hint="eastAsia" w:ascii="仿宋_GB2312" w:hAnsi="仿宋_GB2312" w:eastAsia="仿宋_GB2312" w:cs="仿宋_GB2312"/>
                <w:i w:val="0"/>
                <w:iCs w:val="0"/>
                <w:color w:val="000000"/>
                <w:kern w:val="0"/>
                <w:sz w:val="21"/>
                <w:szCs w:val="21"/>
                <w:highlight w:val="none"/>
                <w:u w:val="none"/>
                <w:lang w:val="en-US" w:eastAsia="zh-CN" w:bidi="ar"/>
              </w:rPr>
              <w:t>全面反映项目应达到的数量、质量、时效、成本及预期效益</w:t>
            </w:r>
            <w:r>
              <w:rPr>
                <w:rFonts w:hint="eastAsia" w:ascii="仿宋_GB2312" w:hAnsi="仿宋_GB2312" w:cs="仿宋_GB2312"/>
                <w:i w:val="0"/>
                <w:iCs w:val="0"/>
                <w:color w:val="auto"/>
                <w:sz w:val="21"/>
                <w:szCs w:val="21"/>
                <w:highlight w:val="none"/>
                <w:u w:val="none"/>
                <w:lang w:val="en-US" w:eastAsia="zh-CN"/>
              </w:rPr>
              <w:t>。</w:t>
            </w:r>
          </w:p>
        </w:tc>
        <w:tc>
          <w:tcPr>
            <w:tcW w:w="1134" w:type="dxa"/>
            <w:noWrap w:val="0"/>
            <w:vAlign w:val="center"/>
          </w:tcPr>
          <w:p w14:paraId="6B7097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4</w:t>
            </w:r>
          </w:p>
        </w:tc>
        <w:tc>
          <w:tcPr>
            <w:tcW w:w="1134" w:type="dxa"/>
            <w:noWrap/>
            <w:vAlign w:val="center"/>
          </w:tcPr>
          <w:p w14:paraId="7C0FC9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3</w:t>
            </w:r>
          </w:p>
        </w:tc>
        <w:tc>
          <w:tcPr>
            <w:tcW w:w="1134" w:type="dxa"/>
            <w:shd w:val="clear" w:color="auto" w:fill="auto"/>
            <w:noWrap/>
            <w:vAlign w:val="center"/>
          </w:tcPr>
          <w:p w14:paraId="3A579537">
            <w:pPr>
              <w:pStyle w:val="2"/>
              <w:ind w:left="0" w:leftChars="0" w:firstLine="0" w:firstLineChars="0"/>
              <w:rPr>
                <w:rFonts w:hint="eastAsia" w:ascii="仿宋_GB2312" w:hAnsi="仿宋_GB2312" w:eastAsia="仿宋_GB2312" w:cs="仿宋_GB2312"/>
                <w:i w:val="0"/>
                <w:iCs w:val="0"/>
                <w:color w:val="auto"/>
                <w:kern w:val="2"/>
                <w:sz w:val="21"/>
                <w:szCs w:val="21"/>
                <w:highlight w:val="none"/>
                <w:u w:val="none"/>
                <w:lang w:val="en-US" w:eastAsia="zh-CN" w:bidi="ar-SA"/>
              </w:rPr>
            </w:pPr>
          </w:p>
        </w:tc>
      </w:tr>
      <w:tr w14:paraId="50FD3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1037" w:type="dxa"/>
            <w:vMerge w:val="continue"/>
            <w:noWrap w:val="0"/>
            <w:vAlign w:val="center"/>
          </w:tcPr>
          <w:p w14:paraId="44477FE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5F1471AF">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638C286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绩效指标明确性</w:t>
            </w:r>
          </w:p>
        </w:tc>
        <w:tc>
          <w:tcPr>
            <w:tcW w:w="1877" w:type="dxa"/>
            <w:noWrap w:val="0"/>
            <w:vAlign w:val="center"/>
          </w:tcPr>
          <w:p w14:paraId="3F2C669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依据绩效目标设定的绩效指标是否清晰、细化、可衡量等，用以反映和考核项目绩效目标的明细化情况。</w:t>
            </w:r>
          </w:p>
        </w:tc>
        <w:tc>
          <w:tcPr>
            <w:tcW w:w="3520" w:type="dxa"/>
            <w:noWrap w:val="0"/>
            <w:vAlign w:val="center"/>
          </w:tcPr>
          <w:p w14:paraId="1A5052DF">
            <w:pPr>
              <w:keepNext w:val="0"/>
              <w:keepLines w:val="0"/>
              <w:pageBreakBefore w:val="0"/>
              <w:widowControl/>
              <w:suppressLineNumbers w:val="0"/>
              <w:kinsoku/>
              <w:wordWrap/>
              <w:overflowPunct/>
              <w:topLinePunct w:val="0"/>
              <w:autoSpaceDE/>
              <w:autoSpaceDN/>
              <w:bidi w:val="0"/>
              <w:adjustRightInd/>
              <w:snapToGrid/>
              <w:ind w:firstLine="0" w:firstLineChars="0"/>
              <w:jc w:val="both"/>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①将项目绩效目标细化分解为具体的绩效指标；</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②通过清晰、可衡量的指标值予以体现；</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③与项目目标任务数或计划数相对应。</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71039284">
            <w:pPr>
              <w:keepNext w:val="0"/>
              <w:keepLines w:val="0"/>
              <w:pageBreakBefore w:val="0"/>
              <w:widowControl/>
              <w:kinsoku/>
              <w:wordWrap/>
              <w:overflowPunct/>
              <w:topLinePunct w:val="0"/>
              <w:autoSpaceDE/>
              <w:autoSpaceDN/>
              <w:bidi w:val="0"/>
              <w:adjustRightInd/>
              <w:snapToGrid/>
              <w:ind w:firstLine="0" w:firstLineChars="0"/>
              <w:jc w:val="left"/>
              <w:rPr>
                <w:rFonts w:hint="eastAsia" w:ascii="仿宋_GB2312" w:hAnsi="仿宋_GB2312" w:eastAsia="仿宋_GB2312" w:cs="仿宋_GB2312"/>
                <w:i w:val="0"/>
                <w:iCs w:val="0"/>
                <w:color w:val="E54C5E" w:themeColor="accent6"/>
                <w:sz w:val="21"/>
                <w:szCs w:val="21"/>
                <w:highlight w:val="none"/>
                <w:u w:val="none"/>
                <w:lang w:eastAsia="zh-CN"/>
                <w14:textFill>
                  <w14:solidFill>
                    <w14:schemeClr w14:val="accent6"/>
                  </w14:solidFill>
                </w14:textFill>
              </w:rPr>
            </w:pPr>
            <w:r>
              <w:rPr>
                <w:rFonts w:hint="eastAsia" w:ascii="仿宋_GB2312" w:hAnsi="仿宋_GB2312" w:eastAsia="仿宋_GB2312" w:cs="仿宋_GB2312"/>
                <w:i w:val="0"/>
                <w:iCs w:val="0"/>
                <w:color w:val="000000"/>
                <w:kern w:val="0"/>
                <w:sz w:val="21"/>
                <w:szCs w:val="21"/>
                <w:highlight w:val="none"/>
                <w:u w:val="none"/>
                <w:lang w:val="en-US" w:eastAsia="zh-CN" w:bidi="ar"/>
              </w:rPr>
              <w:t>项目绩效目标</w:t>
            </w:r>
            <w:r>
              <w:rPr>
                <w:rFonts w:hint="eastAsia" w:ascii="仿宋_GB2312" w:hAnsi="仿宋_GB2312" w:cs="仿宋_GB2312"/>
                <w:i w:val="0"/>
                <w:iCs w:val="0"/>
                <w:color w:val="000000"/>
                <w:kern w:val="0"/>
                <w:sz w:val="21"/>
                <w:szCs w:val="21"/>
                <w:highlight w:val="none"/>
                <w:u w:val="none"/>
                <w:lang w:val="en-US" w:eastAsia="zh-CN" w:bidi="ar"/>
              </w:rPr>
              <w:t>未</w:t>
            </w:r>
            <w:r>
              <w:rPr>
                <w:rFonts w:hint="eastAsia" w:ascii="仿宋_GB2312" w:hAnsi="仿宋_GB2312" w:eastAsia="仿宋_GB2312" w:cs="仿宋_GB2312"/>
                <w:i w:val="0"/>
                <w:iCs w:val="0"/>
                <w:color w:val="000000"/>
                <w:kern w:val="0"/>
                <w:sz w:val="21"/>
                <w:szCs w:val="21"/>
                <w:highlight w:val="none"/>
                <w:u w:val="none"/>
                <w:lang w:val="en-US" w:eastAsia="zh-CN" w:bidi="ar"/>
              </w:rPr>
              <w:t>细化分解为具体的绩效指标</w:t>
            </w:r>
            <w:r>
              <w:rPr>
                <w:rFonts w:hint="eastAsia" w:ascii="仿宋_GB2312" w:hAnsi="仿宋_GB2312" w:cs="仿宋_GB2312"/>
                <w:i w:val="0"/>
                <w:iCs w:val="0"/>
                <w:color w:val="auto"/>
                <w:sz w:val="21"/>
                <w:szCs w:val="21"/>
                <w:highlight w:val="none"/>
                <w:u w:val="none"/>
                <w:lang w:val="en-US" w:eastAsia="zh-CN"/>
              </w:rPr>
              <w:t>。</w:t>
            </w:r>
          </w:p>
        </w:tc>
        <w:tc>
          <w:tcPr>
            <w:tcW w:w="1134" w:type="dxa"/>
            <w:noWrap w:val="0"/>
            <w:vAlign w:val="center"/>
          </w:tcPr>
          <w:p w14:paraId="328820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134" w:type="dxa"/>
            <w:noWrap/>
            <w:vAlign w:val="center"/>
          </w:tcPr>
          <w:p w14:paraId="4A470B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0</w:t>
            </w:r>
          </w:p>
        </w:tc>
        <w:tc>
          <w:tcPr>
            <w:tcW w:w="1134" w:type="dxa"/>
            <w:shd w:val="clear" w:color="auto" w:fill="auto"/>
            <w:noWrap/>
            <w:vAlign w:val="center"/>
          </w:tcPr>
          <w:p w14:paraId="786520DA">
            <w:pPr>
              <w:pStyle w:val="2"/>
              <w:ind w:left="0" w:leftChars="0" w:firstLine="0" w:firstLineChars="0"/>
              <w:rPr>
                <w:rFonts w:hint="eastAsia" w:ascii="仿宋_GB2312" w:hAnsi="仿宋_GB2312" w:eastAsia="仿宋_GB2312" w:cs="仿宋_GB2312"/>
                <w:i w:val="0"/>
                <w:iCs w:val="0"/>
                <w:color w:val="auto"/>
                <w:kern w:val="2"/>
                <w:sz w:val="21"/>
                <w:szCs w:val="21"/>
                <w:highlight w:val="none"/>
                <w:u w:val="none"/>
                <w:lang w:val="en-US" w:eastAsia="zh-CN" w:bidi="ar-SA"/>
              </w:rPr>
            </w:pPr>
          </w:p>
        </w:tc>
      </w:tr>
      <w:tr w14:paraId="3811F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037" w:type="dxa"/>
            <w:vMerge w:val="continue"/>
            <w:noWrap w:val="0"/>
            <w:vAlign w:val="center"/>
          </w:tcPr>
          <w:p w14:paraId="56CA976E">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0A7DC7E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预算</w:t>
            </w:r>
          </w:p>
        </w:tc>
        <w:tc>
          <w:tcPr>
            <w:tcW w:w="1056" w:type="dxa"/>
            <w:noWrap w:val="0"/>
            <w:vAlign w:val="center"/>
          </w:tcPr>
          <w:p w14:paraId="0A86F66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预算编制</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科学性</w:t>
            </w:r>
          </w:p>
        </w:tc>
        <w:tc>
          <w:tcPr>
            <w:tcW w:w="1877" w:type="dxa"/>
            <w:noWrap w:val="0"/>
            <w:vAlign w:val="center"/>
          </w:tcPr>
          <w:p w14:paraId="68F8AF2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项目预算编制是否经过科学论证、有明确标准，预算额度与项目目标是否相适应，用以反映和考核项目预算编制的科学性、合理性情况。</w:t>
            </w:r>
          </w:p>
        </w:tc>
        <w:tc>
          <w:tcPr>
            <w:tcW w:w="3520" w:type="dxa"/>
            <w:noWrap w:val="0"/>
            <w:vAlign w:val="center"/>
          </w:tcPr>
          <w:p w14:paraId="10F5C111">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①项目预算与项目批复内容匹配；</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②预算项目详细、准确，预算额度测算依据充分，在限额标准内编制；</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③预算确定的项目投资额或资金量与项目任务相匹配；</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④预算编制经过充分论证。</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发现一项不符扣1分，扣完为止。</w:t>
            </w:r>
          </w:p>
        </w:tc>
        <w:tc>
          <w:tcPr>
            <w:tcW w:w="1701" w:type="dxa"/>
            <w:noWrap w:val="0"/>
            <w:vAlign w:val="center"/>
          </w:tcPr>
          <w:p w14:paraId="48A4F148">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预算项目不够准确，前后预算金额不一致，与批复内容有出入且未提供新的预算报告；预算单项超标，编制论证不充分。</w:t>
            </w:r>
          </w:p>
        </w:tc>
        <w:tc>
          <w:tcPr>
            <w:tcW w:w="1134" w:type="dxa"/>
            <w:noWrap/>
            <w:vAlign w:val="center"/>
          </w:tcPr>
          <w:p w14:paraId="29D78A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4</w:t>
            </w:r>
          </w:p>
        </w:tc>
        <w:tc>
          <w:tcPr>
            <w:tcW w:w="1134" w:type="dxa"/>
            <w:noWrap/>
            <w:vAlign w:val="center"/>
          </w:tcPr>
          <w:p w14:paraId="15031B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1</w:t>
            </w:r>
          </w:p>
        </w:tc>
        <w:tc>
          <w:tcPr>
            <w:tcW w:w="1134" w:type="dxa"/>
            <w:noWrap/>
            <w:vAlign w:val="center"/>
          </w:tcPr>
          <w:p w14:paraId="60045A26">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32F83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037" w:type="dxa"/>
            <w:vMerge w:val="restart"/>
            <w:noWrap w:val="0"/>
            <w:vAlign w:val="center"/>
          </w:tcPr>
          <w:p w14:paraId="18925D9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过程</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w:t>
            </w:r>
            <w:r>
              <w:rPr>
                <w:rFonts w:hint="eastAsia" w:ascii="仿宋_GB2312" w:hAnsi="仿宋_GB2312" w:cs="仿宋_GB2312"/>
                <w:i w:val="0"/>
                <w:iCs w:val="0"/>
                <w:color w:val="000000"/>
                <w:kern w:val="0"/>
                <w:sz w:val="21"/>
                <w:szCs w:val="21"/>
                <w:highlight w:val="none"/>
                <w:u w:val="none"/>
                <w:lang w:val="en-US" w:eastAsia="zh-CN" w:bidi="ar"/>
              </w:rPr>
              <w:t>22</w:t>
            </w:r>
            <w:r>
              <w:rPr>
                <w:rFonts w:hint="eastAsia" w:ascii="仿宋_GB2312" w:hAnsi="仿宋_GB2312" w:eastAsia="仿宋_GB2312" w:cs="仿宋_GB2312"/>
                <w:i w:val="0"/>
                <w:iCs w:val="0"/>
                <w:color w:val="000000"/>
                <w:kern w:val="0"/>
                <w:sz w:val="21"/>
                <w:szCs w:val="21"/>
                <w:highlight w:val="none"/>
                <w:u w:val="none"/>
                <w:lang w:val="en-US" w:eastAsia="zh-CN" w:bidi="ar"/>
              </w:rPr>
              <w:t>分）</w:t>
            </w:r>
          </w:p>
        </w:tc>
        <w:tc>
          <w:tcPr>
            <w:tcW w:w="1216" w:type="dxa"/>
            <w:vMerge w:val="restart"/>
            <w:noWrap w:val="0"/>
            <w:vAlign w:val="center"/>
          </w:tcPr>
          <w:p w14:paraId="7C8C19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财务</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管理</w:t>
            </w:r>
          </w:p>
        </w:tc>
        <w:tc>
          <w:tcPr>
            <w:tcW w:w="1056" w:type="dxa"/>
            <w:noWrap w:val="0"/>
            <w:vAlign w:val="center"/>
          </w:tcPr>
          <w:p w14:paraId="3FC03F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资金到位率</w:t>
            </w:r>
          </w:p>
        </w:tc>
        <w:tc>
          <w:tcPr>
            <w:tcW w:w="1877" w:type="dxa"/>
            <w:noWrap w:val="0"/>
            <w:vAlign w:val="center"/>
          </w:tcPr>
          <w:p w14:paraId="68F6EDF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实际到位资金与预算资金的比率，用以反映和考核资金落实情况对项目实施的总体保障程度。</w:t>
            </w:r>
          </w:p>
        </w:tc>
        <w:tc>
          <w:tcPr>
            <w:tcW w:w="3520" w:type="dxa"/>
            <w:noWrap w:val="0"/>
            <w:vAlign w:val="center"/>
          </w:tcPr>
          <w:p w14:paraId="520B7BE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资金到位率=（实际到位资金/预算资金）×100%。</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实际到位资金：一定时期（本年度或项目期）内落实到具体项目的资金。</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预算资金：一定时期（本年度或项目期）内预算安排到具体项目的资金。</w:t>
            </w:r>
          </w:p>
        </w:tc>
        <w:tc>
          <w:tcPr>
            <w:tcW w:w="1701" w:type="dxa"/>
            <w:noWrap w:val="0"/>
            <w:vAlign w:val="center"/>
          </w:tcPr>
          <w:p w14:paraId="2710D6EC">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实际到位资金220万，预算资金366万，资金到位率60.11%。</w:t>
            </w:r>
          </w:p>
        </w:tc>
        <w:tc>
          <w:tcPr>
            <w:tcW w:w="1134" w:type="dxa"/>
            <w:noWrap/>
            <w:vAlign w:val="center"/>
          </w:tcPr>
          <w:p w14:paraId="650816C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2</w:t>
            </w:r>
          </w:p>
        </w:tc>
        <w:tc>
          <w:tcPr>
            <w:tcW w:w="1134" w:type="dxa"/>
            <w:noWrap/>
            <w:vAlign w:val="center"/>
          </w:tcPr>
          <w:p w14:paraId="76A8B6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1.2</w:t>
            </w:r>
          </w:p>
        </w:tc>
        <w:tc>
          <w:tcPr>
            <w:tcW w:w="1134" w:type="dxa"/>
            <w:noWrap/>
            <w:vAlign w:val="center"/>
          </w:tcPr>
          <w:p w14:paraId="2314F614">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62BEF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37" w:type="dxa"/>
            <w:vMerge w:val="continue"/>
            <w:noWrap w:val="0"/>
            <w:vAlign w:val="center"/>
          </w:tcPr>
          <w:p w14:paraId="3BE73511">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373CC675">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0A176C9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资金执行</w:t>
            </w:r>
            <w:r>
              <w:rPr>
                <w:rFonts w:hint="eastAsia" w:ascii="仿宋_GB2312" w:hAnsi="仿宋_GB2312" w:cs="仿宋_GB2312"/>
                <w:i w:val="0"/>
                <w:iCs w:val="0"/>
                <w:color w:val="000000"/>
                <w:kern w:val="0"/>
                <w:sz w:val="21"/>
                <w:szCs w:val="21"/>
                <w:highlight w:val="none"/>
                <w:u w:val="none"/>
                <w:lang w:val="en-US" w:eastAsia="zh-CN" w:bidi="ar"/>
              </w:rPr>
              <w:t>率</w:t>
            </w:r>
          </w:p>
        </w:tc>
        <w:tc>
          <w:tcPr>
            <w:tcW w:w="1877" w:type="dxa"/>
            <w:noWrap w:val="0"/>
            <w:vAlign w:val="center"/>
          </w:tcPr>
          <w:p w14:paraId="71AE1C5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项目资金是否按照计划执行，用以反映或考核上级部门所批复投资计划的执行情况。</w:t>
            </w:r>
          </w:p>
        </w:tc>
        <w:tc>
          <w:tcPr>
            <w:tcW w:w="3520" w:type="dxa"/>
            <w:noWrap w:val="0"/>
            <w:vAlign w:val="center"/>
          </w:tcPr>
          <w:p w14:paraId="4CD4641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资金执行率= (实际支出资金/应完成投资额) ×100%。</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①实际支出资金：一定时期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本年度或项目期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内项目实际按照进度支付的资金；</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②应完成投资额：上级主管部门</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本年度或项目期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 xml:space="preserve"> 实际拨付到位金额。</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完成竣工验收但未决算应完成投资额应不低于项目总投资额的75%；已完成决算项目，当期应完成投资额应不低于项目总投资额*95%。</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得分=资金执行率*指标分值</w:t>
            </w:r>
          </w:p>
        </w:tc>
        <w:tc>
          <w:tcPr>
            <w:tcW w:w="1701" w:type="dxa"/>
            <w:noWrap w:val="0"/>
            <w:vAlign w:val="center"/>
          </w:tcPr>
          <w:p w14:paraId="4B68CA0A">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实际支出资金220万，应完成投资额220万。</w:t>
            </w:r>
          </w:p>
        </w:tc>
        <w:tc>
          <w:tcPr>
            <w:tcW w:w="1134" w:type="dxa"/>
            <w:noWrap/>
            <w:vAlign w:val="center"/>
          </w:tcPr>
          <w:p w14:paraId="2EEEF03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5</w:t>
            </w:r>
          </w:p>
        </w:tc>
        <w:tc>
          <w:tcPr>
            <w:tcW w:w="1134" w:type="dxa"/>
            <w:noWrap/>
            <w:vAlign w:val="center"/>
          </w:tcPr>
          <w:p w14:paraId="1CC8CD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3B93FDC2">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1DCA9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1037" w:type="dxa"/>
            <w:vMerge w:val="continue"/>
            <w:noWrap w:val="0"/>
            <w:vAlign w:val="center"/>
          </w:tcPr>
          <w:p w14:paraId="16DF7606">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10243D8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7AF6D4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资金使用</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合规性</w:t>
            </w:r>
          </w:p>
        </w:tc>
        <w:tc>
          <w:tcPr>
            <w:tcW w:w="1877" w:type="dxa"/>
            <w:noWrap w:val="0"/>
            <w:vAlign w:val="center"/>
          </w:tcPr>
          <w:p w14:paraId="6530057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项目资金使用是否符合相关的财务管理制度规定，用以反映和考核项目资金的规范运行情况。</w:t>
            </w:r>
          </w:p>
        </w:tc>
        <w:tc>
          <w:tcPr>
            <w:tcW w:w="3520" w:type="dxa"/>
            <w:noWrap w:val="0"/>
            <w:vAlign w:val="center"/>
          </w:tcPr>
          <w:p w14:paraId="5B222A14">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①符合国家财经法规和财务管理制度以及资金管理规定；</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②资金的支出有完整的审批程序和手续；</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③符合项目预算批复或合同规定的用途；</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④不存在截留、挤占、挪用、虚列支出等情况。</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发现一项不符扣2分，扣完为止。</w:t>
            </w:r>
          </w:p>
        </w:tc>
        <w:tc>
          <w:tcPr>
            <w:tcW w:w="1701" w:type="dxa"/>
            <w:noWrap w:val="0"/>
            <w:vAlign w:val="center"/>
          </w:tcPr>
          <w:p w14:paraId="40A2F3A7">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项目资金使用基本符合规范性，但与预算批复有出入，单项预算有超支。</w:t>
            </w:r>
          </w:p>
        </w:tc>
        <w:tc>
          <w:tcPr>
            <w:tcW w:w="1134" w:type="dxa"/>
            <w:noWrap/>
            <w:vAlign w:val="center"/>
          </w:tcPr>
          <w:p w14:paraId="7FF9C8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highlight w:val="none"/>
                <w:u w:val="none"/>
                <w:lang w:val="en-US" w:eastAsia="zh-CN" w:bidi="ar"/>
              </w:rPr>
              <w:t>6</w:t>
            </w:r>
          </w:p>
        </w:tc>
        <w:tc>
          <w:tcPr>
            <w:tcW w:w="1134" w:type="dxa"/>
            <w:noWrap/>
            <w:vAlign w:val="center"/>
          </w:tcPr>
          <w:p w14:paraId="0A22D5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4</w:t>
            </w:r>
          </w:p>
        </w:tc>
        <w:tc>
          <w:tcPr>
            <w:tcW w:w="1134" w:type="dxa"/>
            <w:noWrap/>
            <w:vAlign w:val="center"/>
          </w:tcPr>
          <w:p w14:paraId="5085C2BA">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26D10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trPr>
        <w:tc>
          <w:tcPr>
            <w:tcW w:w="1037" w:type="dxa"/>
            <w:vMerge w:val="continue"/>
            <w:noWrap w:val="0"/>
            <w:vAlign w:val="center"/>
          </w:tcPr>
          <w:p w14:paraId="15CF7AB9">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restart"/>
            <w:noWrap w:val="0"/>
            <w:vAlign w:val="center"/>
          </w:tcPr>
          <w:p w14:paraId="340DA02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highlight w:val="none"/>
                <w:u w:val="none"/>
                <w:lang w:val="en-US" w:eastAsia="zh-CN" w:bidi="ar"/>
              </w:rPr>
              <w:t>组织</w:t>
            </w:r>
            <w:r>
              <w:rPr>
                <w:rFonts w:hint="eastAsia" w:ascii="仿宋_GB2312" w:hAnsi="仿宋_GB2312" w:eastAsia="仿宋_GB2312" w:cs="仿宋_GB2312"/>
                <w:i w:val="0"/>
                <w:iCs w:val="0"/>
                <w:color w:val="000000"/>
                <w:kern w:val="0"/>
                <w:sz w:val="21"/>
                <w:szCs w:val="21"/>
                <w:highlight w:val="none"/>
                <w:u w:val="none"/>
                <w:lang w:val="en-US" w:eastAsia="zh-CN" w:bidi="ar"/>
              </w:rPr>
              <w:br w:type="textWrapping"/>
            </w:r>
            <w:r>
              <w:rPr>
                <w:rFonts w:hint="eastAsia" w:ascii="仿宋_GB2312" w:hAnsi="仿宋_GB2312" w:eastAsia="仿宋_GB2312" w:cs="仿宋_GB2312"/>
                <w:i w:val="0"/>
                <w:iCs w:val="0"/>
                <w:color w:val="000000"/>
                <w:kern w:val="0"/>
                <w:sz w:val="21"/>
                <w:szCs w:val="21"/>
                <w:highlight w:val="none"/>
                <w:u w:val="none"/>
                <w:lang w:val="en-US" w:eastAsia="zh-CN" w:bidi="ar"/>
              </w:rPr>
              <w:t>实施</w:t>
            </w:r>
          </w:p>
        </w:tc>
        <w:tc>
          <w:tcPr>
            <w:tcW w:w="1056" w:type="dxa"/>
            <w:noWrap w:val="0"/>
            <w:vAlign w:val="center"/>
          </w:tcPr>
          <w:p w14:paraId="30DA8A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组织保障</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有效性</w:t>
            </w:r>
          </w:p>
        </w:tc>
        <w:tc>
          <w:tcPr>
            <w:tcW w:w="1877" w:type="dxa"/>
            <w:noWrap w:val="0"/>
            <w:vAlign w:val="center"/>
          </w:tcPr>
          <w:p w14:paraId="53E110A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项目单位的资源配备是否保障项目顺利实施，用以反映和考核项目的团队、设施、信息支撑等方面的保障措施。</w:t>
            </w:r>
          </w:p>
        </w:tc>
        <w:tc>
          <w:tcPr>
            <w:tcW w:w="3520" w:type="dxa"/>
            <w:noWrap w:val="0"/>
            <w:vAlign w:val="center"/>
          </w:tcPr>
          <w:p w14:paraId="204E79EB">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①项目实施的团队保障，成立管理机构、各专业团队职责明确、责任落实到位等；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②场地设备完备，如专用设施、消防设备等；</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③信息支撑等落实到位，建立有效的信息沟通和传递机制。</w:t>
            </w:r>
          </w:p>
          <w:p w14:paraId="1D4EF1C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发现一项不符扣1分，扣完为止。</w:t>
            </w:r>
          </w:p>
        </w:tc>
        <w:tc>
          <w:tcPr>
            <w:tcW w:w="1701" w:type="dxa"/>
            <w:noWrap w:val="0"/>
            <w:vAlign w:val="center"/>
          </w:tcPr>
          <w:p w14:paraId="462BE9F3">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项目单位成立项目工作小组，</w:t>
            </w:r>
            <w:r>
              <w:rPr>
                <w:rFonts w:hint="eastAsia" w:ascii="仿宋_GB2312" w:hAnsi="仿宋_GB2312" w:eastAsia="仿宋_GB2312" w:cs="仿宋_GB2312"/>
                <w:i w:val="0"/>
                <w:iCs w:val="0"/>
                <w:color w:val="000000"/>
                <w:kern w:val="0"/>
                <w:sz w:val="21"/>
                <w:szCs w:val="21"/>
                <w:u w:val="none"/>
                <w:lang w:val="en-US" w:eastAsia="zh-CN" w:bidi="ar"/>
              </w:rPr>
              <w:t>责任落实到位</w:t>
            </w:r>
            <w:r>
              <w:rPr>
                <w:rFonts w:hint="eastAsia" w:ascii="仿宋_GB2312" w:hAnsi="仿宋_GB2312" w:cs="仿宋_GB2312"/>
                <w:i w:val="0"/>
                <w:iCs w:val="0"/>
                <w:color w:val="000000"/>
                <w:kern w:val="0"/>
                <w:sz w:val="21"/>
                <w:szCs w:val="21"/>
                <w:u w:val="none"/>
                <w:lang w:val="en-US" w:eastAsia="zh-CN" w:bidi="ar"/>
              </w:rPr>
              <w:t>，项</w:t>
            </w:r>
            <w:r>
              <w:rPr>
                <w:rFonts w:hint="eastAsia" w:ascii="仿宋_GB2312" w:hAnsi="仿宋_GB2312" w:eastAsia="仿宋_GB2312" w:cs="仿宋_GB2312"/>
                <w:i w:val="0"/>
                <w:iCs w:val="0"/>
                <w:color w:val="000000"/>
                <w:kern w:val="0"/>
                <w:sz w:val="21"/>
                <w:szCs w:val="21"/>
                <w:u w:val="none"/>
                <w:lang w:val="en-US" w:eastAsia="zh-CN" w:bidi="ar"/>
              </w:rPr>
              <w:t>目顺利实施。</w:t>
            </w:r>
          </w:p>
        </w:tc>
        <w:tc>
          <w:tcPr>
            <w:tcW w:w="1134" w:type="dxa"/>
            <w:noWrap/>
            <w:vAlign w:val="center"/>
          </w:tcPr>
          <w:p w14:paraId="46CFF7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highlight w:val="none"/>
                <w:u w:val="none"/>
                <w:lang w:val="en-US" w:eastAsia="zh-CN" w:bidi="ar"/>
              </w:rPr>
              <w:t>3</w:t>
            </w:r>
          </w:p>
        </w:tc>
        <w:tc>
          <w:tcPr>
            <w:tcW w:w="1134" w:type="dxa"/>
            <w:noWrap/>
            <w:vAlign w:val="center"/>
          </w:tcPr>
          <w:p w14:paraId="4BBFFC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3</w:t>
            </w:r>
          </w:p>
        </w:tc>
        <w:tc>
          <w:tcPr>
            <w:tcW w:w="1134" w:type="dxa"/>
            <w:noWrap/>
            <w:vAlign w:val="center"/>
          </w:tcPr>
          <w:p w14:paraId="2E49FC65">
            <w:pPr>
              <w:pStyle w:val="2"/>
              <w:ind w:left="0" w:leftChars="0" w:firstLine="0" w:firstLineChars="0"/>
              <w:rPr>
                <w:rFonts w:hint="eastAsia" w:ascii="仿宋_GB2312" w:hAnsi="仿宋_GB2312" w:cs="仿宋_GB2312"/>
                <w:i w:val="0"/>
                <w:iCs w:val="0"/>
                <w:color w:val="auto"/>
                <w:sz w:val="21"/>
                <w:szCs w:val="21"/>
                <w:highlight w:val="none"/>
                <w:u w:val="none"/>
                <w:lang w:eastAsia="zh-CN"/>
              </w:rPr>
            </w:pPr>
          </w:p>
        </w:tc>
      </w:tr>
      <w:tr w14:paraId="670C7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037" w:type="dxa"/>
            <w:vMerge w:val="continue"/>
            <w:noWrap w:val="0"/>
            <w:vAlign w:val="center"/>
          </w:tcPr>
          <w:p w14:paraId="255727F2">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1B3B2E43">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3C305F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组织实施</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合规性</w:t>
            </w:r>
          </w:p>
        </w:tc>
        <w:tc>
          <w:tcPr>
            <w:tcW w:w="1877" w:type="dxa"/>
            <w:noWrap w:val="0"/>
            <w:vAlign w:val="center"/>
          </w:tcPr>
          <w:p w14:paraId="3A03DA1D">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u w:val="none"/>
                <w:lang w:val="en-US" w:eastAsia="zh-CN" w:bidi="ar"/>
              </w:rPr>
              <w:t>组织</w:t>
            </w:r>
            <w:r>
              <w:rPr>
                <w:rFonts w:hint="eastAsia" w:ascii="仿宋_GB2312" w:hAnsi="仿宋_GB2312" w:eastAsia="仿宋_GB2312" w:cs="仿宋_GB2312"/>
                <w:i w:val="0"/>
                <w:iCs w:val="0"/>
                <w:color w:val="000000"/>
                <w:kern w:val="0"/>
                <w:sz w:val="21"/>
                <w:szCs w:val="21"/>
                <w:u w:val="none"/>
                <w:lang w:val="en-US" w:eastAsia="zh-CN" w:bidi="ar"/>
              </w:rPr>
              <w:t>实施是否符合相关管理规定，用以反映和考核相关管理制度的有效执行情况。</w:t>
            </w:r>
          </w:p>
        </w:tc>
        <w:tc>
          <w:tcPr>
            <w:tcW w:w="3520" w:type="dxa"/>
            <w:noWrap w:val="0"/>
            <w:vAlign w:val="center"/>
          </w:tcPr>
          <w:p w14:paraId="7F28B31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①项目过程控制手段完备，包括设计、施工、监理、建设等各</w:t>
            </w:r>
            <w:r>
              <w:rPr>
                <w:rFonts w:hint="eastAsia" w:ascii="仿宋_GB2312" w:hAnsi="仿宋_GB2312" w:cs="仿宋_GB2312"/>
                <w:i w:val="0"/>
                <w:iCs w:val="0"/>
                <w:color w:val="000000"/>
                <w:kern w:val="0"/>
                <w:sz w:val="21"/>
                <w:szCs w:val="21"/>
                <w:u w:val="none"/>
                <w:lang w:val="en-US" w:eastAsia="zh-CN" w:bidi="ar"/>
              </w:rPr>
              <w:t>方面</w:t>
            </w:r>
            <w:r>
              <w:rPr>
                <w:rFonts w:hint="eastAsia" w:ascii="仿宋_GB2312" w:hAnsi="仿宋_GB2312" w:eastAsia="仿宋_GB2312" w:cs="仿宋_GB2312"/>
                <w:i w:val="0"/>
                <w:iCs w:val="0"/>
                <w:color w:val="000000"/>
                <w:kern w:val="0"/>
                <w:sz w:val="21"/>
                <w:szCs w:val="21"/>
                <w:u w:val="none"/>
                <w:lang w:val="en-US" w:eastAsia="zh-CN" w:bidi="ar"/>
              </w:rPr>
              <w:t>的过程控制机制的完备性和执行有效性等。满分</w:t>
            </w:r>
            <w:r>
              <w:rPr>
                <w:rFonts w:hint="eastAsia" w:ascii="仿宋_GB2312" w:hAnsi="仿宋_GB2312" w:cs="仿宋_GB2312"/>
                <w:i w:val="0"/>
                <w:iCs w:val="0"/>
                <w:color w:val="000000"/>
                <w:kern w:val="0"/>
                <w:sz w:val="21"/>
                <w:szCs w:val="21"/>
                <w:u w:val="none"/>
                <w:lang w:val="en-US" w:eastAsia="zh-CN" w:bidi="ar"/>
              </w:rPr>
              <w:t>2</w:t>
            </w:r>
            <w:r>
              <w:rPr>
                <w:rFonts w:hint="eastAsia" w:ascii="仿宋_GB2312" w:hAnsi="仿宋_GB2312" w:eastAsia="仿宋_GB2312" w:cs="仿宋_GB2312"/>
                <w:i w:val="0"/>
                <w:iCs w:val="0"/>
                <w:color w:val="000000"/>
                <w:kern w:val="0"/>
                <w:sz w:val="21"/>
                <w:szCs w:val="21"/>
                <w:u w:val="none"/>
                <w:lang w:val="en-US" w:eastAsia="zh-CN" w:bidi="ar"/>
              </w:rPr>
              <w:t>分，发现一例不符扣0.</w:t>
            </w:r>
            <w:r>
              <w:rPr>
                <w:rFonts w:hint="eastAsia" w:ascii="仿宋_GB2312" w:hAnsi="仿宋_GB2312" w:cs="仿宋_GB2312"/>
                <w:i w:val="0"/>
                <w:iCs w:val="0"/>
                <w:color w:val="000000"/>
                <w:kern w:val="0"/>
                <w:sz w:val="21"/>
                <w:szCs w:val="21"/>
                <w:u w:val="none"/>
                <w:lang w:val="en-US" w:eastAsia="zh-CN" w:bidi="ar"/>
              </w:rPr>
              <w:t>5</w:t>
            </w:r>
            <w:r>
              <w:rPr>
                <w:rFonts w:hint="eastAsia" w:ascii="仿宋_GB2312" w:hAnsi="仿宋_GB2312" w:eastAsia="仿宋_GB2312" w:cs="仿宋_GB2312"/>
                <w:i w:val="0"/>
                <w:iCs w:val="0"/>
                <w:color w:val="000000"/>
                <w:kern w:val="0"/>
                <w:sz w:val="21"/>
                <w:szCs w:val="21"/>
                <w:u w:val="none"/>
                <w:lang w:val="en-US" w:eastAsia="zh-CN" w:bidi="ar"/>
              </w:rPr>
              <w:t>分，扣完为止；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②遵循政府采购、招投标、合同管理、资产管理等规定执行各项工作，招标文件、项目合同书、验收报告、技术鉴定、合同等资料齐全并及时归档。满分</w:t>
            </w:r>
            <w:r>
              <w:rPr>
                <w:rFonts w:hint="eastAsia" w:ascii="仿宋_GB2312" w:hAnsi="仿宋_GB2312" w:cs="仿宋_GB2312"/>
                <w:i w:val="0"/>
                <w:iCs w:val="0"/>
                <w:color w:val="000000"/>
                <w:kern w:val="0"/>
                <w:sz w:val="21"/>
                <w:szCs w:val="21"/>
                <w:u w:val="none"/>
                <w:lang w:val="en-US" w:eastAsia="zh-CN" w:bidi="ar"/>
              </w:rPr>
              <w:t>2</w:t>
            </w:r>
            <w:r>
              <w:rPr>
                <w:rFonts w:hint="eastAsia" w:ascii="仿宋_GB2312" w:hAnsi="仿宋_GB2312" w:eastAsia="仿宋_GB2312" w:cs="仿宋_GB2312"/>
                <w:i w:val="0"/>
                <w:iCs w:val="0"/>
                <w:color w:val="000000"/>
                <w:kern w:val="0"/>
                <w:sz w:val="21"/>
                <w:szCs w:val="21"/>
                <w:u w:val="none"/>
                <w:lang w:val="en-US" w:eastAsia="zh-CN" w:bidi="ar"/>
              </w:rPr>
              <w:t>分，发现一例不符扣0.</w:t>
            </w:r>
            <w:r>
              <w:rPr>
                <w:rFonts w:hint="eastAsia" w:ascii="仿宋_GB2312" w:hAnsi="仿宋_GB2312" w:cs="仿宋_GB2312"/>
                <w:i w:val="0"/>
                <w:iCs w:val="0"/>
                <w:color w:val="000000"/>
                <w:kern w:val="0"/>
                <w:sz w:val="21"/>
                <w:szCs w:val="21"/>
                <w:u w:val="none"/>
                <w:lang w:val="en-US" w:eastAsia="zh-CN" w:bidi="ar"/>
              </w:rPr>
              <w:t>5</w:t>
            </w:r>
            <w:r>
              <w:rPr>
                <w:rFonts w:hint="eastAsia" w:ascii="仿宋_GB2312" w:hAnsi="仿宋_GB2312" w:eastAsia="仿宋_GB2312" w:cs="仿宋_GB2312"/>
                <w:i w:val="0"/>
                <w:iCs w:val="0"/>
                <w:color w:val="000000"/>
                <w:kern w:val="0"/>
                <w:sz w:val="21"/>
                <w:szCs w:val="21"/>
                <w:u w:val="none"/>
                <w:lang w:val="en-US" w:eastAsia="zh-CN" w:bidi="ar"/>
              </w:rPr>
              <w:t>分，扣完为止；</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③遵守其他相关法律法规、规范文件和单位内控制度规定。满分</w:t>
            </w:r>
            <w:r>
              <w:rPr>
                <w:rFonts w:hint="eastAsia" w:ascii="仿宋_GB2312" w:hAnsi="仿宋_GB2312" w:cs="仿宋_GB2312"/>
                <w:i w:val="0"/>
                <w:iCs w:val="0"/>
                <w:color w:val="000000"/>
                <w:kern w:val="0"/>
                <w:sz w:val="21"/>
                <w:szCs w:val="21"/>
                <w:u w:val="none"/>
                <w:lang w:val="en-US" w:eastAsia="zh-CN" w:bidi="ar"/>
              </w:rPr>
              <w:t>2</w:t>
            </w:r>
            <w:r>
              <w:rPr>
                <w:rFonts w:hint="eastAsia" w:ascii="仿宋_GB2312" w:hAnsi="仿宋_GB2312" w:eastAsia="仿宋_GB2312" w:cs="仿宋_GB2312"/>
                <w:i w:val="0"/>
                <w:iCs w:val="0"/>
                <w:color w:val="000000"/>
                <w:kern w:val="0"/>
                <w:sz w:val="21"/>
                <w:szCs w:val="21"/>
                <w:u w:val="none"/>
                <w:lang w:val="en-US" w:eastAsia="zh-CN" w:bidi="ar"/>
              </w:rPr>
              <w:t>分，发现一例不符扣0.5分，扣完为止。</w:t>
            </w:r>
          </w:p>
        </w:tc>
        <w:tc>
          <w:tcPr>
            <w:tcW w:w="1701" w:type="dxa"/>
            <w:noWrap w:val="0"/>
            <w:vAlign w:val="center"/>
          </w:tcPr>
          <w:p w14:paraId="589DDB93">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项目过程控制手段完备</w:t>
            </w:r>
            <w:r>
              <w:rPr>
                <w:rFonts w:hint="eastAsia" w:ascii="仿宋_GB2312" w:hAnsi="仿宋_GB2312" w:cs="仿宋_GB2312"/>
                <w:i w:val="0"/>
                <w:iCs w:val="0"/>
                <w:color w:val="000000"/>
                <w:sz w:val="21"/>
                <w:szCs w:val="21"/>
                <w:highlight w:val="none"/>
                <w:u w:val="none"/>
                <w:lang w:val="en-US" w:eastAsia="zh-CN"/>
              </w:rPr>
              <w:t>；</w:t>
            </w:r>
            <w:r>
              <w:rPr>
                <w:rFonts w:hint="eastAsia" w:ascii="仿宋_GB2312" w:hAnsi="仿宋_GB2312" w:eastAsia="仿宋_GB2312" w:cs="仿宋_GB2312"/>
                <w:i w:val="0"/>
                <w:iCs w:val="0"/>
                <w:color w:val="000000"/>
                <w:kern w:val="0"/>
                <w:sz w:val="21"/>
                <w:szCs w:val="21"/>
                <w:u w:val="none"/>
                <w:lang w:val="en-US" w:eastAsia="zh-CN" w:bidi="ar"/>
              </w:rPr>
              <w:t>遵循政府采购、招投标</w:t>
            </w:r>
            <w:r>
              <w:rPr>
                <w:rFonts w:hint="eastAsia" w:ascii="仿宋_GB2312" w:hAnsi="仿宋_GB2312" w:cs="仿宋_GB2312"/>
                <w:i w:val="0"/>
                <w:iCs w:val="0"/>
                <w:color w:val="000000"/>
                <w:kern w:val="0"/>
                <w:sz w:val="21"/>
                <w:szCs w:val="21"/>
                <w:u w:val="none"/>
                <w:lang w:val="en-US" w:eastAsia="zh-CN" w:bidi="ar"/>
              </w:rPr>
              <w:t>等</w:t>
            </w:r>
            <w:r>
              <w:rPr>
                <w:rFonts w:hint="eastAsia" w:ascii="仿宋_GB2312" w:hAnsi="仿宋_GB2312" w:eastAsia="仿宋_GB2312" w:cs="仿宋_GB2312"/>
                <w:i w:val="0"/>
                <w:iCs w:val="0"/>
                <w:color w:val="000000"/>
                <w:kern w:val="0"/>
                <w:sz w:val="21"/>
                <w:szCs w:val="21"/>
                <w:u w:val="none"/>
                <w:lang w:val="en-US" w:eastAsia="zh-CN" w:bidi="ar"/>
              </w:rPr>
              <w:t>规定执行各项工作，招标文件、项目合同书、验收报告等资料齐全并及时归档</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遵守其他相关法律法规、规范文件和单位内控制度规定</w:t>
            </w:r>
            <w:r>
              <w:rPr>
                <w:rFonts w:hint="eastAsia" w:ascii="仿宋_GB2312" w:hAnsi="仿宋_GB2312" w:cs="仿宋_GB2312"/>
                <w:i w:val="0"/>
                <w:iCs w:val="0"/>
                <w:color w:val="000000"/>
                <w:kern w:val="0"/>
                <w:sz w:val="21"/>
                <w:szCs w:val="21"/>
                <w:u w:val="none"/>
                <w:lang w:val="en-US" w:eastAsia="zh-CN" w:bidi="ar"/>
              </w:rPr>
              <w:t>。</w:t>
            </w:r>
          </w:p>
        </w:tc>
        <w:tc>
          <w:tcPr>
            <w:tcW w:w="1134" w:type="dxa"/>
            <w:noWrap/>
            <w:vAlign w:val="center"/>
          </w:tcPr>
          <w:p w14:paraId="128F3DF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highlight w:val="none"/>
                <w:u w:val="none"/>
                <w:lang w:val="en-US" w:eastAsia="zh-CN" w:bidi="ar"/>
              </w:rPr>
              <w:t>6</w:t>
            </w:r>
          </w:p>
        </w:tc>
        <w:tc>
          <w:tcPr>
            <w:tcW w:w="1134" w:type="dxa"/>
            <w:noWrap/>
            <w:vAlign w:val="center"/>
          </w:tcPr>
          <w:p w14:paraId="14394E6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6</w:t>
            </w:r>
          </w:p>
        </w:tc>
        <w:tc>
          <w:tcPr>
            <w:tcW w:w="1134" w:type="dxa"/>
            <w:noWrap/>
            <w:vAlign w:val="center"/>
          </w:tcPr>
          <w:p w14:paraId="763AEF5D">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47F63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037" w:type="dxa"/>
            <w:vMerge w:val="restart"/>
            <w:noWrap w:val="0"/>
            <w:vAlign w:val="center"/>
          </w:tcPr>
          <w:p w14:paraId="1F27E7D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产出</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35分</w:t>
            </w:r>
            <w:r>
              <w:rPr>
                <w:rFonts w:hint="eastAsia" w:ascii="仿宋_GB2312" w:hAnsi="仿宋_GB2312" w:cs="仿宋_GB2312"/>
                <w:i w:val="0"/>
                <w:iCs w:val="0"/>
                <w:color w:val="000000"/>
                <w:kern w:val="0"/>
                <w:sz w:val="21"/>
                <w:szCs w:val="21"/>
                <w:u w:val="none"/>
                <w:lang w:val="en-US" w:eastAsia="zh-CN" w:bidi="ar"/>
              </w:rPr>
              <w:t>）</w:t>
            </w:r>
          </w:p>
        </w:tc>
        <w:tc>
          <w:tcPr>
            <w:tcW w:w="1216" w:type="dxa"/>
            <w:vMerge w:val="restart"/>
            <w:noWrap w:val="0"/>
            <w:vAlign w:val="center"/>
          </w:tcPr>
          <w:p w14:paraId="00B6FE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质量</w:t>
            </w:r>
          </w:p>
        </w:tc>
        <w:tc>
          <w:tcPr>
            <w:tcW w:w="1056" w:type="dxa"/>
            <w:noWrap w:val="0"/>
            <w:vAlign w:val="center"/>
          </w:tcPr>
          <w:p w14:paraId="40A570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资质达标情况</w:t>
            </w:r>
          </w:p>
        </w:tc>
        <w:tc>
          <w:tcPr>
            <w:tcW w:w="1877" w:type="dxa"/>
            <w:noWrap w:val="0"/>
            <w:vAlign w:val="center"/>
          </w:tcPr>
          <w:p w14:paraId="0897B3BC">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反映项目设计、施工、监理单位资质情况。</w:t>
            </w:r>
          </w:p>
        </w:tc>
        <w:tc>
          <w:tcPr>
            <w:tcW w:w="3520" w:type="dxa"/>
            <w:noWrap w:val="0"/>
            <w:vAlign w:val="center"/>
          </w:tcPr>
          <w:p w14:paraId="748591D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w:t>
            </w:r>
            <w:r>
              <w:rPr>
                <w:rFonts w:hint="eastAsia" w:ascii="仿宋_GB2312" w:hAnsi="仿宋_GB2312" w:cs="仿宋_GB2312"/>
                <w:i w:val="0"/>
                <w:iCs w:val="0"/>
                <w:color w:val="000000"/>
                <w:kern w:val="0"/>
                <w:sz w:val="21"/>
                <w:szCs w:val="21"/>
                <w:u w:val="none"/>
                <w:lang w:val="en-US" w:eastAsia="zh-CN" w:bidi="ar"/>
              </w:rPr>
              <w:t>设计、</w:t>
            </w:r>
            <w:r>
              <w:rPr>
                <w:rFonts w:hint="eastAsia" w:ascii="仿宋_GB2312" w:hAnsi="仿宋_GB2312" w:eastAsia="仿宋_GB2312" w:cs="仿宋_GB2312"/>
                <w:i w:val="0"/>
                <w:iCs w:val="0"/>
                <w:color w:val="000000"/>
                <w:kern w:val="0"/>
                <w:sz w:val="21"/>
                <w:szCs w:val="21"/>
                <w:u w:val="none"/>
                <w:lang w:val="en-US" w:eastAsia="zh-CN" w:bidi="ar"/>
              </w:rPr>
              <w:t>施工、监理单位资质全部达标计5分，发现一个不符扣2分，扣完为止。</w:t>
            </w:r>
          </w:p>
        </w:tc>
        <w:tc>
          <w:tcPr>
            <w:tcW w:w="1701" w:type="dxa"/>
            <w:shd w:val="clear" w:color="auto" w:fill="auto"/>
            <w:noWrap w:val="0"/>
            <w:vAlign w:val="center"/>
          </w:tcPr>
          <w:p w14:paraId="6FC3CC0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项目施工、监理单位资质全部达标</w:t>
            </w:r>
            <w:r>
              <w:rPr>
                <w:rFonts w:hint="eastAsia" w:ascii="仿宋_GB2312" w:hAnsi="仿宋_GB2312" w:cs="仿宋_GB2312"/>
                <w:i w:val="0"/>
                <w:iCs w:val="0"/>
                <w:color w:val="000000"/>
                <w:kern w:val="0"/>
                <w:sz w:val="21"/>
                <w:szCs w:val="21"/>
                <w:u w:val="none"/>
                <w:lang w:val="en-US" w:eastAsia="zh-CN" w:bidi="ar"/>
              </w:rPr>
              <w:t>。</w:t>
            </w:r>
          </w:p>
        </w:tc>
        <w:tc>
          <w:tcPr>
            <w:tcW w:w="1134" w:type="dxa"/>
            <w:noWrap/>
            <w:vAlign w:val="center"/>
          </w:tcPr>
          <w:p w14:paraId="02EFD8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1A99AFCA">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1E544BD4">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460CD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037" w:type="dxa"/>
            <w:vMerge w:val="continue"/>
            <w:noWrap w:val="0"/>
            <w:vAlign w:val="center"/>
          </w:tcPr>
          <w:p w14:paraId="6852C083">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49944DF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31D45A4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质量达标率</w:t>
            </w:r>
          </w:p>
        </w:tc>
        <w:tc>
          <w:tcPr>
            <w:tcW w:w="1877" w:type="dxa"/>
            <w:noWrap w:val="0"/>
            <w:vAlign w:val="center"/>
          </w:tcPr>
          <w:p w14:paraId="77506886">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lang w:eastAsia="zh-CN"/>
              </w:rPr>
            </w:pPr>
            <w:r>
              <w:rPr>
                <w:rFonts w:hint="eastAsia" w:ascii="仿宋_GB2312" w:hAnsi="仿宋_GB2312" w:eastAsia="仿宋_GB2312" w:cs="仿宋_GB2312"/>
                <w:i w:val="0"/>
                <w:iCs w:val="0"/>
                <w:color w:val="000000"/>
                <w:kern w:val="0"/>
                <w:sz w:val="21"/>
                <w:szCs w:val="21"/>
                <w:u w:val="none"/>
                <w:lang w:val="en-US" w:eastAsia="zh-CN" w:bidi="ar"/>
              </w:rPr>
              <w:t>项目完成的质量达标产出数与实际产出数的比率，用以反映和考核项目产出质量目标的实现程度。</w:t>
            </w:r>
          </w:p>
        </w:tc>
        <w:tc>
          <w:tcPr>
            <w:tcW w:w="3520" w:type="dxa"/>
            <w:noWrap w:val="0"/>
            <w:vAlign w:val="center"/>
          </w:tcPr>
          <w:p w14:paraId="09EA8D7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①质量达标率= (质量达标项目数/实际验收项目数) × 100%。</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质量达标产出数： 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本年度或项目期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内实际达到既定质量标准的分项验收数。</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 xml:space="preserve"> 既定质量标准是指项目实施单位设立绩效目标时依据计划标准、行业标准、历史标准或其他标准而设定的绩效指标值</w:t>
            </w:r>
            <w:r>
              <w:rPr>
                <w:rFonts w:hint="eastAsia" w:ascii="仿宋_GB2312" w:hAnsi="仿宋_GB2312" w:cs="仿宋_GB2312"/>
                <w:i w:val="0"/>
                <w:iCs w:val="0"/>
                <w:color w:val="000000"/>
                <w:kern w:val="0"/>
                <w:sz w:val="21"/>
                <w:szCs w:val="21"/>
                <w:u w:val="none"/>
                <w:lang w:val="en-US" w:eastAsia="zh-CN" w:bidi="ar"/>
              </w:rPr>
              <w:t>）</w:t>
            </w:r>
          </w:p>
          <w:p w14:paraId="77CE6439">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cs="仿宋_GB2312"/>
                <w:b w:val="0"/>
                <w:bCs w:val="0"/>
                <w:i w:val="0"/>
                <w:iCs w:val="0"/>
                <w:color w:val="000000"/>
                <w:kern w:val="0"/>
                <w:sz w:val="21"/>
                <w:szCs w:val="21"/>
                <w:highlight w:val="none"/>
                <w:u w:val="none"/>
                <w:lang w:val="en-US" w:eastAsia="zh-CN" w:bidi="ar"/>
              </w:rPr>
            </w:pPr>
            <w:r>
              <w:rPr>
                <w:rFonts w:hint="eastAsia" w:ascii="仿宋_GB2312" w:hAnsi="仿宋_GB2312" w:cs="仿宋_GB2312"/>
                <w:i w:val="0"/>
                <w:iCs w:val="0"/>
                <w:color w:val="000000"/>
                <w:kern w:val="0"/>
                <w:sz w:val="21"/>
                <w:szCs w:val="21"/>
                <w:u w:val="none"/>
                <w:lang w:val="en-US" w:eastAsia="zh-CN" w:bidi="ar"/>
              </w:rPr>
              <w:t>若未做验收，则此项扣5分；若有验收但验收未在3个月内完成，扣2分；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②是否发生质量安全事故、受到属地行政主管部门处罚或违法违纪案件，发生一例该项不得分。</w:t>
            </w:r>
          </w:p>
        </w:tc>
        <w:tc>
          <w:tcPr>
            <w:tcW w:w="1701" w:type="dxa"/>
            <w:shd w:val="clear" w:color="auto" w:fill="auto"/>
            <w:noWrap w:val="0"/>
            <w:vAlign w:val="center"/>
          </w:tcPr>
          <w:p w14:paraId="3604109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项目验收</w:t>
            </w:r>
            <w:r>
              <w:rPr>
                <w:rFonts w:hint="eastAsia" w:ascii="仿宋_GB2312" w:hAnsi="仿宋_GB2312" w:cs="仿宋_GB2312"/>
                <w:i w:val="0"/>
                <w:iCs w:val="0"/>
                <w:color w:val="000000"/>
                <w:kern w:val="0"/>
                <w:sz w:val="21"/>
                <w:szCs w:val="21"/>
                <w:u w:val="none"/>
                <w:lang w:val="en-US" w:eastAsia="zh-CN" w:bidi="ar"/>
              </w:rPr>
              <w:t>结论为合格，但未在完工后3个月内进行验收；未</w:t>
            </w:r>
            <w:r>
              <w:rPr>
                <w:rFonts w:hint="eastAsia" w:ascii="仿宋_GB2312" w:hAnsi="仿宋_GB2312" w:eastAsia="仿宋_GB2312" w:cs="仿宋_GB2312"/>
                <w:i w:val="0"/>
                <w:iCs w:val="0"/>
                <w:color w:val="000000"/>
                <w:kern w:val="0"/>
                <w:sz w:val="21"/>
                <w:szCs w:val="21"/>
                <w:u w:val="none"/>
                <w:lang w:val="en-US" w:eastAsia="zh-CN" w:bidi="ar"/>
              </w:rPr>
              <w:t>发生质量安全事故、受到属地行政主管部门处罚或违法违纪案件</w:t>
            </w:r>
            <w:r>
              <w:rPr>
                <w:rFonts w:hint="eastAsia" w:ascii="仿宋_GB2312" w:hAnsi="仿宋_GB2312" w:cs="仿宋_GB2312"/>
                <w:i w:val="0"/>
                <w:iCs w:val="0"/>
                <w:color w:val="000000"/>
                <w:kern w:val="0"/>
                <w:sz w:val="21"/>
                <w:szCs w:val="21"/>
                <w:u w:val="none"/>
                <w:lang w:val="en-US" w:eastAsia="zh-CN" w:bidi="ar"/>
              </w:rPr>
              <w:t>。</w:t>
            </w:r>
          </w:p>
        </w:tc>
        <w:tc>
          <w:tcPr>
            <w:tcW w:w="1134" w:type="dxa"/>
            <w:noWrap/>
            <w:vAlign w:val="center"/>
          </w:tcPr>
          <w:p w14:paraId="3F3026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134" w:type="dxa"/>
            <w:noWrap/>
            <w:vAlign w:val="center"/>
          </w:tcPr>
          <w:p w14:paraId="752A8268">
            <w:pPr>
              <w:keepNext w:val="0"/>
              <w:keepLines w:val="0"/>
              <w:pageBreakBefore w:val="0"/>
              <w:widowControl/>
              <w:kinsoku/>
              <w:wordWrap/>
              <w:overflowPunct/>
              <w:topLinePunct w:val="0"/>
              <w:autoSpaceDE/>
              <w:autoSpaceDN/>
              <w:bidi w:val="0"/>
              <w:adjustRightInd/>
              <w:snapToGrid/>
              <w:ind w:firstLine="0" w:firstLineChars="0"/>
              <w:jc w:val="center"/>
            </w:pPr>
            <w:r>
              <w:rPr>
                <w:rFonts w:hint="eastAsia" w:ascii="仿宋_GB2312" w:hAnsi="仿宋_GB2312" w:cs="仿宋_GB2312"/>
                <w:i w:val="0"/>
                <w:iCs w:val="0"/>
                <w:color w:val="000000"/>
                <w:sz w:val="21"/>
                <w:szCs w:val="21"/>
                <w:highlight w:val="none"/>
                <w:u w:val="none"/>
                <w:lang w:val="en-US" w:eastAsia="zh-CN"/>
              </w:rPr>
              <w:t>8</w:t>
            </w:r>
          </w:p>
        </w:tc>
        <w:tc>
          <w:tcPr>
            <w:tcW w:w="1134" w:type="dxa"/>
            <w:noWrap/>
            <w:vAlign w:val="center"/>
          </w:tcPr>
          <w:p w14:paraId="4A69B776">
            <w:pPr>
              <w:pStyle w:val="2"/>
              <w:ind w:left="0" w:leftChars="0" w:firstLine="0" w:firstLineChars="0"/>
              <w:rPr>
                <w:rFonts w:hint="eastAsia" w:ascii="仿宋_GB2312" w:hAnsi="仿宋_GB2312" w:eastAsia="仿宋_GB2312" w:cs="仿宋_GB2312"/>
                <w:i w:val="0"/>
                <w:iCs w:val="0"/>
                <w:color w:val="auto"/>
                <w:sz w:val="21"/>
                <w:szCs w:val="21"/>
                <w:highlight w:val="none"/>
                <w:u w:val="none"/>
                <w:lang w:eastAsia="zh-CN"/>
              </w:rPr>
            </w:pPr>
          </w:p>
        </w:tc>
      </w:tr>
      <w:tr w14:paraId="4787E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1037" w:type="dxa"/>
            <w:vMerge w:val="continue"/>
            <w:noWrap w:val="0"/>
            <w:vAlign w:val="center"/>
          </w:tcPr>
          <w:p w14:paraId="59231677">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104A97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数量</w:t>
            </w:r>
          </w:p>
        </w:tc>
        <w:tc>
          <w:tcPr>
            <w:tcW w:w="1056" w:type="dxa"/>
            <w:noWrap w:val="0"/>
            <w:vAlign w:val="center"/>
          </w:tcPr>
          <w:p w14:paraId="7D66F6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实际完成率</w:t>
            </w:r>
          </w:p>
        </w:tc>
        <w:tc>
          <w:tcPr>
            <w:tcW w:w="1877" w:type="dxa"/>
            <w:noWrap w:val="0"/>
            <w:vAlign w:val="center"/>
          </w:tcPr>
          <w:p w14:paraId="60E43EC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项目实施的实际产出数与计划产出数的比率，用以反映和考核项目产出数量目标的实现程度。</w:t>
            </w:r>
          </w:p>
        </w:tc>
        <w:tc>
          <w:tcPr>
            <w:tcW w:w="3520" w:type="dxa"/>
            <w:noWrap w:val="0"/>
            <w:vAlign w:val="center"/>
          </w:tcPr>
          <w:p w14:paraId="7E7F30CE">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根据分部分项工程完成情况加权得分，实际完成率= (实际完成工作量/计划完成工作量 )×100%。</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实际完成工作量：一定时期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内项目实际完成工作量。</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计划完成工作量：项目绩效目标确定的在一定时期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项目期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内计划完成的工作量。</w:t>
            </w:r>
          </w:p>
        </w:tc>
        <w:tc>
          <w:tcPr>
            <w:tcW w:w="1701" w:type="dxa"/>
            <w:shd w:val="clear" w:color="auto" w:fill="auto"/>
            <w:noWrap w:val="0"/>
            <w:vAlign w:val="center"/>
          </w:tcPr>
          <w:p w14:paraId="01867102">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项目已全部完工</w:t>
            </w:r>
          </w:p>
        </w:tc>
        <w:tc>
          <w:tcPr>
            <w:tcW w:w="1134" w:type="dxa"/>
            <w:noWrap/>
            <w:vAlign w:val="center"/>
          </w:tcPr>
          <w:p w14:paraId="186C055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134" w:type="dxa"/>
            <w:noWrap/>
            <w:vAlign w:val="center"/>
          </w:tcPr>
          <w:p w14:paraId="114DB262">
            <w:pPr>
              <w:keepNext w:val="0"/>
              <w:keepLines w:val="0"/>
              <w:pageBreakBefore w:val="0"/>
              <w:widowControl/>
              <w:kinsoku/>
              <w:wordWrap/>
              <w:overflowPunct/>
              <w:topLinePunct w:val="0"/>
              <w:autoSpaceDE/>
              <w:autoSpaceDN/>
              <w:bidi w:val="0"/>
              <w:adjustRightInd/>
              <w:snapToGrid/>
              <w:ind w:firstLine="0" w:firstLineChars="0"/>
              <w:jc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10</w:t>
            </w:r>
          </w:p>
        </w:tc>
        <w:tc>
          <w:tcPr>
            <w:tcW w:w="1134" w:type="dxa"/>
            <w:noWrap/>
            <w:vAlign w:val="center"/>
          </w:tcPr>
          <w:p w14:paraId="22BB9B82">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31AAE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037" w:type="dxa"/>
            <w:vMerge w:val="continue"/>
            <w:noWrap w:val="0"/>
            <w:vAlign w:val="center"/>
          </w:tcPr>
          <w:p w14:paraId="0F56D50E">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restart"/>
            <w:noWrap w:val="0"/>
            <w:vAlign w:val="center"/>
          </w:tcPr>
          <w:p w14:paraId="570D24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时效</w:t>
            </w:r>
          </w:p>
        </w:tc>
        <w:tc>
          <w:tcPr>
            <w:tcW w:w="1056" w:type="dxa"/>
            <w:noWrap w:val="0"/>
            <w:vAlign w:val="center"/>
          </w:tcPr>
          <w:p w14:paraId="27970FF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项目完成</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及时性</w:t>
            </w:r>
          </w:p>
        </w:tc>
        <w:tc>
          <w:tcPr>
            <w:tcW w:w="1877" w:type="dxa"/>
            <w:noWrap w:val="0"/>
            <w:vAlign w:val="center"/>
          </w:tcPr>
          <w:p w14:paraId="06CDC1A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项目实际提前完成时间与计划完成时间的比率，用以反映和考核项目产出时效目标的实现程度。</w:t>
            </w:r>
          </w:p>
        </w:tc>
        <w:tc>
          <w:tcPr>
            <w:tcW w:w="3520" w:type="dxa"/>
            <w:noWrap w:val="0"/>
            <w:vAlign w:val="center"/>
          </w:tcPr>
          <w:p w14:paraId="631F2618">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实际实施周期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月份数</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：项目实施单位完成该项目实际所耗用的月份数。</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计划实施周期(月份数)：按照项目实施计划或相关规定完成该项目所需月份数</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指标得分=指标分值*(1-超期率)，超期率=[(实际实施周期-计划实施周期)/计划实施周期]×100%。</w:t>
            </w:r>
          </w:p>
        </w:tc>
        <w:tc>
          <w:tcPr>
            <w:tcW w:w="1701" w:type="dxa"/>
            <w:noWrap w:val="0"/>
            <w:vAlign w:val="center"/>
          </w:tcPr>
          <w:p w14:paraId="541D78B6">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计划完成时间</w:t>
            </w:r>
            <w:r>
              <w:rPr>
                <w:rFonts w:hint="eastAsia" w:ascii="仿宋_GB2312" w:hAnsi="仿宋_GB2312" w:cs="仿宋_GB2312"/>
                <w:i w:val="0"/>
                <w:iCs w:val="0"/>
                <w:color w:val="000000"/>
                <w:kern w:val="0"/>
                <w:sz w:val="21"/>
                <w:szCs w:val="21"/>
                <w:u w:val="none"/>
                <w:lang w:val="en-US" w:eastAsia="zh-CN" w:bidi="ar"/>
              </w:rPr>
              <w:t>6</w:t>
            </w:r>
            <w:r>
              <w:rPr>
                <w:rFonts w:hint="eastAsia" w:ascii="仿宋_GB2312" w:hAnsi="仿宋_GB2312" w:eastAsia="仿宋_GB2312" w:cs="仿宋_GB2312"/>
                <w:i w:val="0"/>
                <w:iCs w:val="0"/>
                <w:color w:val="000000"/>
                <w:kern w:val="0"/>
                <w:sz w:val="21"/>
                <w:szCs w:val="21"/>
                <w:u w:val="none"/>
                <w:lang w:val="en-US" w:eastAsia="zh-CN" w:bidi="ar"/>
              </w:rPr>
              <w:t>个月，实际完成时间约</w:t>
            </w:r>
            <w:r>
              <w:rPr>
                <w:rFonts w:hint="eastAsia" w:ascii="仿宋_GB2312" w:hAnsi="仿宋_GB2312" w:cs="仿宋_GB2312"/>
                <w:i w:val="0"/>
                <w:iCs w:val="0"/>
                <w:color w:val="000000"/>
                <w:kern w:val="0"/>
                <w:sz w:val="21"/>
                <w:szCs w:val="21"/>
                <w:u w:val="none"/>
                <w:lang w:val="en-US" w:eastAsia="zh-CN" w:bidi="ar"/>
              </w:rPr>
              <w:t>6</w:t>
            </w:r>
            <w:r>
              <w:rPr>
                <w:rFonts w:hint="eastAsia" w:ascii="仿宋_GB2312" w:hAnsi="仿宋_GB2312" w:eastAsia="仿宋_GB2312" w:cs="仿宋_GB2312"/>
                <w:i w:val="0"/>
                <w:iCs w:val="0"/>
                <w:color w:val="000000"/>
                <w:kern w:val="0"/>
                <w:sz w:val="21"/>
                <w:szCs w:val="21"/>
                <w:u w:val="none"/>
                <w:lang w:val="en-US" w:eastAsia="zh-CN" w:bidi="ar"/>
              </w:rPr>
              <w:t>个月</w:t>
            </w:r>
            <w:r>
              <w:rPr>
                <w:rFonts w:hint="eastAsia" w:ascii="仿宋_GB2312" w:hAnsi="仿宋_GB2312" w:cs="仿宋_GB2312"/>
                <w:i w:val="0"/>
                <w:iCs w:val="0"/>
                <w:color w:val="000000"/>
                <w:kern w:val="0"/>
                <w:sz w:val="21"/>
                <w:szCs w:val="21"/>
                <w:u w:val="none"/>
                <w:lang w:val="en-US" w:eastAsia="zh-CN" w:bidi="ar"/>
              </w:rPr>
              <w:t>，项目按期完成。</w:t>
            </w:r>
          </w:p>
        </w:tc>
        <w:tc>
          <w:tcPr>
            <w:tcW w:w="1134" w:type="dxa"/>
            <w:noWrap/>
            <w:vAlign w:val="center"/>
          </w:tcPr>
          <w:p w14:paraId="677ECDC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49FF5722">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16E14B01">
            <w:pPr>
              <w:pStyle w:val="2"/>
              <w:ind w:left="0" w:leftChars="0" w:firstLine="0" w:firstLineChars="0"/>
              <w:rPr>
                <w:rFonts w:hint="eastAsia" w:ascii="仿宋_GB2312" w:hAnsi="仿宋_GB2312" w:eastAsia="仿宋_GB2312" w:cs="仿宋_GB2312"/>
                <w:i w:val="0"/>
                <w:iCs w:val="0"/>
                <w:color w:val="auto"/>
                <w:sz w:val="21"/>
                <w:szCs w:val="21"/>
                <w:highlight w:val="none"/>
                <w:u w:val="none"/>
              </w:rPr>
            </w:pPr>
          </w:p>
        </w:tc>
      </w:tr>
      <w:tr w14:paraId="50003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037" w:type="dxa"/>
            <w:vMerge w:val="continue"/>
            <w:noWrap w:val="0"/>
            <w:vAlign w:val="center"/>
          </w:tcPr>
          <w:p w14:paraId="7791B69B">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vMerge w:val="continue"/>
            <w:noWrap w:val="0"/>
            <w:vAlign w:val="center"/>
          </w:tcPr>
          <w:p w14:paraId="6B1E4B1B">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056" w:type="dxa"/>
            <w:noWrap w:val="0"/>
            <w:vAlign w:val="center"/>
          </w:tcPr>
          <w:p w14:paraId="572A08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项目决算</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及时性</w:t>
            </w:r>
          </w:p>
        </w:tc>
        <w:tc>
          <w:tcPr>
            <w:tcW w:w="1877" w:type="dxa"/>
            <w:noWrap w:val="0"/>
            <w:vAlign w:val="center"/>
          </w:tcPr>
          <w:p w14:paraId="060653B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项目竣工结</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决</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算及时性，用以反映项目单位项目验收后竣工结</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决</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算工作完成情况。</w:t>
            </w:r>
          </w:p>
        </w:tc>
        <w:tc>
          <w:tcPr>
            <w:tcW w:w="3520" w:type="dxa"/>
            <w:noWrap w:val="0"/>
            <w:vAlign w:val="center"/>
          </w:tcPr>
          <w:p w14:paraId="204BD4B3">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highlight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①项目单位督促施工单位及时报送竣工结算文件，计2.5分，否则不得分；</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②项目单位竣工决算资料完备、依据充分，计2.5分，否则不得分。</w:t>
            </w:r>
          </w:p>
        </w:tc>
        <w:tc>
          <w:tcPr>
            <w:tcW w:w="1701" w:type="dxa"/>
            <w:noWrap w:val="0"/>
            <w:vAlign w:val="center"/>
          </w:tcPr>
          <w:p w14:paraId="49A202C7">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项目单位督促施工单位及时报送竣工结算文件，项目单位竣工决算资料完备、依据充分</w:t>
            </w:r>
            <w:r>
              <w:rPr>
                <w:rFonts w:hint="eastAsia" w:ascii="仿宋_GB2312" w:hAnsi="仿宋_GB2312" w:cs="仿宋_GB2312"/>
                <w:i w:val="0"/>
                <w:iCs w:val="0"/>
                <w:color w:val="000000"/>
                <w:kern w:val="0"/>
                <w:sz w:val="21"/>
                <w:szCs w:val="21"/>
                <w:u w:val="none"/>
                <w:lang w:val="en-US" w:eastAsia="zh-CN" w:bidi="ar"/>
              </w:rPr>
              <w:t>.</w:t>
            </w:r>
          </w:p>
        </w:tc>
        <w:tc>
          <w:tcPr>
            <w:tcW w:w="1134" w:type="dxa"/>
            <w:noWrap/>
            <w:vAlign w:val="center"/>
          </w:tcPr>
          <w:p w14:paraId="1638AC4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74F141FD">
            <w:pPr>
              <w:keepNext w:val="0"/>
              <w:keepLines w:val="0"/>
              <w:pageBreakBefore w:val="0"/>
              <w:widowControl/>
              <w:kinsoku/>
              <w:wordWrap/>
              <w:overflowPunct/>
              <w:topLinePunct w:val="0"/>
              <w:autoSpaceDE/>
              <w:autoSpaceDN/>
              <w:bidi w:val="0"/>
              <w:adjustRightInd/>
              <w:snapToGrid/>
              <w:ind w:firstLine="0" w:firstLineChars="0"/>
              <w:jc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33CD4CAD">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p>
        </w:tc>
      </w:tr>
      <w:tr w14:paraId="6392F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trPr>
        <w:tc>
          <w:tcPr>
            <w:tcW w:w="1037" w:type="dxa"/>
            <w:vMerge w:val="restart"/>
            <w:noWrap/>
            <w:vAlign w:val="center"/>
          </w:tcPr>
          <w:p w14:paraId="41E723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效益</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cs="仿宋_GB2312"/>
                <w:i w:val="0"/>
                <w:iCs w:val="0"/>
                <w:color w:val="000000"/>
                <w:kern w:val="0"/>
                <w:sz w:val="21"/>
                <w:szCs w:val="21"/>
                <w:u w:val="none"/>
                <w:lang w:val="en-US" w:eastAsia="zh-CN" w:bidi="ar"/>
              </w:rPr>
              <w:t>（25</w:t>
            </w:r>
            <w:r>
              <w:rPr>
                <w:rFonts w:hint="eastAsia" w:ascii="仿宋_GB2312" w:hAnsi="仿宋_GB2312" w:eastAsia="仿宋_GB2312" w:cs="仿宋_GB2312"/>
                <w:i w:val="0"/>
                <w:iCs w:val="0"/>
                <w:color w:val="000000"/>
                <w:kern w:val="0"/>
                <w:sz w:val="21"/>
                <w:szCs w:val="21"/>
                <w:u w:val="none"/>
                <w:lang w:val="en-US" w:eastAsia="zh-CN" w:bidi="ar"/>
              </w:rPr>
              <w:t>分</w:t>
            </w:r>
            <w:r>
              <w:rPr>
                <w:rFonts w:hint="eastAsia" w:ascii="仿宋_GB2312" w:hAnsi="仿宋_GB2312" w:cs="仿宋_GB2312"/>
                <w:i w:val="0"/>
                <w:iCs w:val="0"/>
                <w:color w:val="000000"/>
                <w:kern w:val="0"/>
                <w:sz w:val="21"/>
                <w:szCs w:val="21"/>
                <w:u w:val="none"/>
                <w:lang w:val="en-US" w:eastAsia="zh-CN" w:bidi="ar"/>
              </w:rPr>
              <w:t>）</w:t>
            </w:r>
          </w:p>
        </w:tc>
        <w:tc>
          <w:tcPr>
            <w:tcW w:w="1216" w:type="dxa"/>
            <w:noWrap/>
            <w:vAlign w:val="center"/>
          </w:tcPr>
          <w:p w14:paraId="3F14D7A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社会效益</w:t>
            </w:r>
          </w:p>
        </w:tc>
        <w:tc>
          <w:tcPr>
            <w:tcW w:w="1056" w:type="dxa"/>
            <w:noWrap/>
            <w:vAlign w:val="center"/>
          </w:tcPr>
          <w:p w14:paraId="72779ABC">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社会效益</w:t>
            </w:r>
          </w:p>
        </w:tc>
        <w:tc>
          <w:tcPr>
            <w:tcW w:w="1877" w:type="dxa"/>
            <w:noWrap/>
            <w:vAlign w:val="center"/>
          </w:tcPr>
          <w:p w14:paraId="38DB4DA4">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eastAsia="zh-CN"/>
              </w:rPr>
            </w:pPr>
            <w:r>
              <w:rPr>
                <w:rFonts w:hint="eastAsia" w:ascii="仿宋_GB2312" w:hAnsi="仿宋_GB2312" w:cs="仿宋_GB2312"/>
                <w:i w:val="0"/>
                <w:iCs w:val="0"/>
                <w:color w:val="000000"/>
                <w:sz w:val="21"/>
                <w:szCs w:val="21"/>
                <w:highlight w:val="none"/>
                <w:u w:val="none"/>
                <w:lang w:eastAsia="zh-CN"/>
              </w:rPr>
              <w:t>用以反映项目对</w:t>
            </w:r>
            <w:r>
              <w:rPr>
                <w:rFonts w:hint="eastAsia" w:ascii="仿宋_GB2312" w:hAnsi="仿宋_GB2312" w:cs="仿宋_GB2312"/>
                <w:i w:val="0"/>
                <w:iCs w:val="0"/>
                <w:color w:val="000000"/>
                <w:sz w:val="21"/>
                <w:szCs w:val="21"/>
                <w:highlight w:val="none"/>
                <w:u w:val="none"/>
                <w:lang w:val="en-US" w:eastAsia="zh-CN"/>
              </w:rPr>
              <w:t>当地村民生活生产</w:t>
            </w:r>
            <w:r>
              <w:rPr>
                <w:rFonts w:hint="eastAsia" w:ascii="仿宋_GB2312" w:hAnsi="仿宋_GB2312" w:cs="仿宋_GB2312"/>
                <w:i w:val="0"/>
                <w:iCs w:val="0"/>
                <w:color w:val="000000"/>
                <w:sz w:val="21"/>
                <w:szCs w:val="21"/>
                <w:highlight w:val="none"/>
                <w:u w:val="none"/>
                <w:lang w:eastAsia="zh-CN"/>
              </w:rPr>
              <w:t>的</w:t>
            </w:r>
            <w:r>
              <w:rPr>
                <w:rFonts w:hint="eastAsia" w:ascii="仿宋_GB2312" w:hAnsi="仿宋_GB2312" w:cs="仿宋_GB2312"/>
                <w:i w:val="0"/>
                <w:iCs w:val="0"/>
                <w:color w:val="000000"/>
                <w:sz w:val="21"/>
                <w:szCs w:val="21"/>
                <w:highlight w:val="none"/>
                <w:u w:val="none"/>
                <w:lang w:val="en-US" w:eastAsia="zh-CN"/>
              </w:rPr>
              <w:t>改善</w:t>
            </w:r>
            <w:r>
              <w:rPr>
                <w:rFonts w:hint="eastAsia" w:ascii="仿宋_GB2312" w:hAnsi="仿宋_GB2312" w:cs="仿宋_GB2312"/>
                <w:i w:val="0"/>
                <w:iCs w:val="0"/>
                <w:color w:val="000000"/>
                <w:sz w:val="21"/>
                <w:szCs w:val="21"/>
                <w:highlight w:val="none"/>
                <w:u w:val="none"/>
                <w:lang w:eastAsia="zh-CN"/>
              </w:rPr>
              <w:t>情况。</w:t>
            </w:r>
          </w:p>
        </w:tc>
        <w:tc>
          <w:tcPr>
            <w:tcW w:w="3520" w:type="dxa"/>
            <w:noWrap w:val="0"/>
            <w:vAlign w:val="center"/>
          </w:tcPr>
          <w:p w14:paraId="5C2431F5">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①提供了就业机会，增加了村民收入；</w:t>
            </w:r>
          </w:p>
          <w:p w14:paraId="74980E76">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②提供技能培训，切实提升村民的就业能力；</w:t>
            </w:r>
          </w:p>
          <w:p w14:paraId="50DEB723">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每项计2.5分，酌情打分。</w:t>
            </w:r>
          </w:p>
        </w:tc>
        <w:tc>
          <w:tcPr>
            <w:tcW w:w="1701" w:type="dxa"/>
            <w:noWrap w:val="0"/>
            <w:vAlign w:val="center"/>
          </w:tcPr>
          <w:p w14:paraId="147075BA">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为部分村民提供了就业机会，增加了收入，提升了就业能力。</w:t>
            </w:r>
          </w:p>
        </w:tc>
        <w:tc>
          <w:tcPr>
            <w:tcW w:w="1134" w:type="dxa"/>
            <w:noWrap/>
            <w:vAlign w:val="center"/>
          </w:tcPr>
          <w:p w14:paraId="56501C9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06B7A0EA">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5</w:t>
            </w:r>
          </w:p>
        </w:tc>
        <w:tc>
          <w:tcPr>
            <w:tcW w:w="1134" w:type="dxa"/>
            <w:noWrap/>
            <w:vAlign w:val="center"/>
          </w:tcPr>
          <w:p w14:paraId="5ECF567D">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eastAsia="zh-CN"/>
              </w:rPr>
            </w:pPr>
          </w:p>
        </w:tc>
      </w:tr>
      <w:tr w14:paraId="45704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1037" w:type="dxa"/>
            <w:vMerge w:val="continue"/>
            <w:noWrap w:val="0"/>
            <w:vAlign w:val="center"/>
          </w:tcPr>
          <w:p w14:paraId="6A75ABD4">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751385D9">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u w:val="none"/>
                <w:lang w:val="en-US" w:eastAsia="zh-CN" w:bidi="ar"/>
              </w:rPr>
              <w:t>生态</w:t>
            </w:r>
            <w:r>
              <w:rPr>
                <w:rFonts w:hint="eastAsia" w:ascii="仿宋_GB2312" w:hAnsi="仿宋_GB2312" w:eastAsia="仿宋_GB2312" w:cs="仿宋_GB2312"/>
                <w:i w:val="0"/>
                <w:iCs w:val="0"/>
                <w:color w:val="000000"/>
                <w:kern w:val="0"/>
                <w:sz w:val="21"/>
                <w:szCs w:val="21"/>
                <w:u w:val="none"/>
                <w:lang w:val="en-US" w:eastAsia="zh-CN" w:bidi="ar"/>
              </w:rPr>
              <w:t>效益</w:t>
            </w:r>
          </w:p>
        </w:tc>
        <w:tc>
          <w:tcPr>
            <w:tcW w:w="1056" w:type="dxa"/>
            <w:noWrap w:val="0"/>
            <w:vAlign w:val="center"/>
          </w:tcPr>
          <w:p w14:paraId="5288580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u w:val="none"/>
                <w:lang w:val="en-US" w:eastAsia="zh-CN" w:bidi="ar"/>
              </w:rPr>
              <w:t>生态效益</w:t>
            </w:r>
          </w:p>
        </w:tc>
        <w:tc>
          <w:tcPr>
            <w:tcW w:w="1877" w:type="dxa"/>
            <w:noWrap w:val="0"/>
            <w:vAlign w:val="center"/>
          </w:tcPr>
          <w:p w14:paraId="6AB44D27">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lang w:eastAsia="zh-CN"/>
              </w:rPr>
            </w:pPr>
            <w:r>
              <w:rPr>
                <w:rFonts w:hint="eastAsia" w:ascii="仿宋_GB2312" w:hAnsi="仿宋_GB2312" w:cs="仿宋_GB2312"/>
                <w:i w:val="0"/>
                <w:iCs w:val="0"/>
                <w:color w:val="000000"/>
                <w:sz w:val="21"/>
                <w:szCs w:val="21"/>
                <w:highlight w:val="none"/>
                <w:u w:val="none"/>
                <w:lang w:eastAsia="zh-CN"/>
              </w:rPr>
              <w:t>用以反映项目对促进当地</w:t>
            </w:r>
            <w:r>
              <w:rPr>
                <w:rFonts w:hint="eastAsia" w:ascii="仿宋_GB2312" w:hAnsi="仿宋_GB2312" w:cs="仿宋_GB2312"/>
                <w:i w:val="0"/>
                <w:iCs w:val="0"/>
                <w:color w:val="000000"/>
                <w:sz w:val="21"/>
                <w:szCs w:val="21"/>
                <w:highlight w:val="none"/>
                <w:u w:val="none"/>
                <w:lang w:val="en-US" w:eastAsia="zh-CN"/>
              </w:rPr>
              <w:t>生态环境改善</w:t>
            </w:r>
            <w:r>
              <w:rPr>
                <w:rFonts w:hint="eastAsia" w:ascii="仿宋_GB2312" w:hAnsi="仿宋_GB2312" w:cs="仿宋_GB2312"/>
                <w:i w:val="0"/>
                <w:iCs w:val="0"/>
                <w:color w:val="000000"/>
                <w:sz w:val="21"/>
                <w:szCs w:val="21"/>
                <w:highlight w:val="none"/>
                <w:u w:val="none"/>
                <w:lang w:eastAsia="zh-CN"/>
              </w:rPr>
              <w:t>的情况。</w:t>
            </w:r>
          </w:p>
        </w:tc>
        <w:tc>
          <w:tcPr>
            <w:tcW w:w="3520" w:type="dxa"/>
            <w:noWrap w:val="0"/>
            <w:vAlign w:val="center"/>
          </w:tcPr>
          <w:p w14:paraId="5313ABCF">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①保护了农田不受侵害；</w:t>
            </w:r>
          </w:p>
          <w:p w14:paraId="7FB17A52">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②改善了村民居住环境；</w:t>
            </w:r>
          </w:p>
          <w:p w14:paraId="136D9897">
            <w:pPr>
              <w:keepNext w:val="0"/>
              <w:keepLines w:val="0"/>
              <w:pageBreakBefore w:val="0"/>
              <w:widowControl/>
              <w:kinsoku/>
              <w:wordWrap/>
              <w:overflowPunct/>
              <w:topLinePunct w:val="0"/>
              <w:autoSpaceDE/>
              <w:autoSpaceDN/>
              <w:bidi w:val="0"/>
              <w:adjustRightInd/>
              <w:snapToGrid/>
              <w:ind w:firstLine="0" w:firstLineChars="0"/>
              <w:rPr>
                <w:rFonts w:hint="default" w:ascii="仿宋_GB2312" w:hAnsi="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每项计2.5分，酌情打分。</w:t>
            </w:r>
          </w:p>
        </w:tc>
        <w:tc>
          <w:tcPr>
            <w:tcW w:w="1701" w:type="dxa"/>
            <w:noWrap w:val="0"/>
            <w:vAlign w:val="center"/>
          </w:tcPr>
          <w:p w14:paraId="4ED5E8F3">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村民居住环境有改善，经实地走访，溪堤两边部分农田荒废，未起到保护农田的作用。</w:t>
            </w:r>
          </w:p>
        </w:tc>
        <w:tc>
          <w:tcPr>
            <w:tcW w:w="1134" w:type="dxa"/>
            <w:noWrap/>
            <w:vAlign w:val="center"/>
          </w:tcPr>
          <w:p w14:paraId="70A6086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42C087D6">
            <w:pPr>
              <w:keepNext w:val="0"/>
              <w:keepLines w:val="0"/>
              <w:pageBreakBefore w:val="0"/>
              <w:widowControl/>
              <w:kinsoku/>
              <w:wordWrap/>
              <w:overflowPunct/>
              <w:topLinePunct w:val="0"/>
              <w:autoSpaceDE/>
              <w:autoSpaceDN/>
              <w:bidi w:val="0"/>
              <w:adjustRightInd/>
              <w:snapToGrid/>
              <w:ind w:firstLine="0" w:firstLineChars="0"/>
              <w:jc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2.5</w:t>
            </w:r>
          </w:p>
        </w:tc>
        <w:tc>
          <w:tcPr>
            <w:tcW w:w="1134" w:type="dxa"/>
            <w:noWrap/>
            <w:vAlign w:val="center"/>
          </w:tcPr>
          <w:p w14:paraId="21D64221">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E54C5E" w:themeColor="accent6"/>
                <w:sz w:val="21"/>
                <w:szCs w:val="21"/>
                <w:highlight w:val="none"/>
                <w:u w:val="none"/>
                <w:lang w:eastAsia="zh-CN"/>
                <w14:textFill>
                  <w14:solidFill>
                    <w14:schemeClr w14:val="accent6"/>
                  </w14:solidFill>
                </w14:textFill>
              </w:rPr>
            </w:pPr>
          </w:p>
        </w:tc>
      </w:tr>
      <w:tr w14:paraId="756C1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1037" w:type="dxa"/>
            <w:vMerge w:val="continue"/>
            <w:noWrap w:val="0"/>
            <w:vAlign w:val="center"/>
          </w:tcPr>
          <w:p w14:paraId="2BA197EB">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793F783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可持续</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效益</w:t>
            </w:r>
          </w:p>
        </w:tc>
        <w:tc>
          <w:tcPr>
            <w:tcW w:w="1056" w:type="dxa"/>
            <w:noWrap w:val="0"/>
            <w:vAlign w:val="center"/>
          </w:tcPr>
          <w:p w14:paraId="7503AA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项目可持</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续影响</w:t>
            </w:r>
          </w:p>
        </w:tc>
        <w:tc>
          <w:tcPr>
            <w:tcW w:w="1877" w:type="dxa"/>
            <w:noWrap w:val="0"/>
            <w:vAlign w:val="center"/>
          </w:tcPr>
          <w:p w14:paraId="31EFDA2F">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反映项目后续运行及成效发挥的可持续影响情况。</w:t>
            </w:r>
          </w:p>
        </w:tc>
        <w:tc>
          <w:tcPr>
            <w:tcW w:w="3520" w:type="dxa"/>
            <w:noWrap w:val="0"/>
            <w:vAlign w:val="center"/>
          </w:tcPr>
          <w:p w14:paraId="5BCA3AB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default" w:ascii="仿宋_GB2312" w:hAnsi="仿宋_GB2312" w:eastAsia="仿宋_GB2312" w:cs="仿宋_GB2312"/>
                <w:i w:val="0"/>
                <w:iCs w:val="0"/>
                <w:color w:val="000000"/>
                <w:sz w:val="21"/>
                <w:szCs w:val="21"/>
                <w:highlight w:val="none"/>
                <w:u w:val="none"/>
                <w:lang w:val="en-US"/>
              </w:rPr>
            </w:pPr>
            <w:r>
              <w:rPr>
                <w:rFonts w:hint="eastAsia" w:ascii="仿宋_GB2312" w:hAnsi="仿宋_GB2312" w:eastAsia="仿宋_GB2312" w:cs="仿宋_GB2312"/>
                <w:i w:val="0"/>
                <w:iCs w:val="0"/>
                <w:color w:val="000000"/>
                <w:kern w:val="0"/>
                <w:sz w:val="21"/>
                <w:szCs w:val="21"/>
                <w:u w:val="none"/>
                <w:lang w:val="en-US" w:eastAsia="zh-CN" w:bidi="ar"/>
              </w:rPr>
              <w:t>项目建设完成后，建设场地、设施维护管理工作实施情况，反映项目后续运行及成效发挥的可持续影响等方面进行逐项考量，</w:t>
            </w:r>
            <w:r>
              <w:rPr>
                <w:rFonts w:hint="eastAsia" w:ascii="仿宋_GB2312" w:hAnsi="仿宋_GB2312" w:cs="仿宋_GB2312"/>
                <w:i w:val="0"/>
                <w:iCs w:val="0"/>
                <w:color w:val="000000"/>
                <w:kern w:val="0"/>
                <w:sz w:val="21"/>
                <w:szCs w:val="21"/>
                <w:u w:val="none"/>
                <w:lang w:val="en-US" w:eastAsia="zh-CN" w:bidi="ar"/>
              </w:rPr>
              <w:t>一项不符扣2.5份</w:t>
            </w:r>
            <w:r>
              <w:rPr>
                <w:rFonts w:hint="eastAsia" w:ascii="仿宋_GB2312" w:hAnsi="仿宋_GB2312" w:eastAsia="仿宋_GB2312" w:cs="仿宋_GB2312"/>
                <w:i w:val="0"/>
                <w:iCs w:val="0"/>
                <w:color w:val="000000"/>
                <w:kern w:val="0"/>
                <w:sz w:val="21"/>
                <w:szCs w:val="21"/>
                <w:u w:val="none"/>
                <w:lang w:val="en-US" w:eastAsia="zh-CN" w:bidi="ar"/>
              </w:rPr>
              <w:t>。</w:t>
            </w:r>
          </w:p>
        </w:tc>
        <w:tc>
          <w:tcPr>
            <w:tcW w:w="1701" w:type="dxa"/>
            <w:noWrap w:val="0"/>
            <w:vAlign w:val="center"/>
          </w:tcPr>
          <w:p w14:paraId="6FFB60D4">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项目建设完成后，建设场地管理工作</w:t>
            </w:r>
            <w:r>
              <w:rPr>
                <w:rFonts w:hint="eastAsia" w:ascii="仿宋_GB2312" w:hAnsi="仿宋_GB2312" w:cs="仿宋_GB2312"/>
                <w:i w:val="0"/>
                <w:iCs w:val="0"/>
                <w:color w:val="000000"/>
                <w:kern w:val="0"/>
                <w:sz w:val="21"/>
                <w:szCs w:val="21"/>
                <w:u w:val="none"/>
                <w:lang w:val="en-US" w:eastAsia="zh-CN" w:bidi="ar"/>
              </w:rPr>
              <w:t>不充分，溪堤泥沙和施工砂石堆积，暂未清理，导致农田开发不完全，项目运行及成效发挥的可持续影响暂未体现。</w:t>
            </w:r>
          </w:p>
        </w:tc>
        <w:tc>
          <w:tcPr>
            <w:tcW w:w="1134" w:type="dxa"/>
            <w:noWrap/>
            <w:vAlign w:val="center"/>
          </w:tcPr>
          <w:p w14:paraId="57EA3EE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34" w:type="dxa"/>
            <w:noWrap/>
            <w:vAlign w:val="center"/>
          </w:tcPr>
          <w:p w14:paraId="4D2A1106">
            <w:pPr>
              <w:keepNext w:val="0"/>
              <w:keepLines w:val="0"/>
              <w:pageBreakBefore w:val="0"/>
              <w:widowControl/>
              <w:kinsoku/>
              <w:wordWrap/>
              <w:overflowPunct/>
              <w:topLinePunct w:val="0"/>
              <w:autoSpaceDE/>
              <w:autoSpaceDN/>
              <w:bidi w:val="0"/>
              <w:adjustRightInd/>
              <w:snapToGrid/>
              <w:ind w:firstLine="0" w:firstLineChars="0"/>
              <w:jc w:val="center"/>
              <w:rPr>
                <w:rFonts w:hint="default"/>
                <w:lang w:val="en-US"/>
              </w:rPr>
            </w:pPr>
            <w:r>
              <w:rPr>
                <w:rFonts w:hint="eastAsia" w:ascii="仿宋_GB2312" w:hAnsi="仿宋_GB2312" w:cs="仿宋_GB2312"/>
                <w:i w:val="0"/>
                <w:iCs w:val="0"/>
                <w:color w:val="000000"/>
                <w:sz w:val="21"/>
                <w:szCs w:val="21"/>
                <w:highlight w:val="none"/>
                <w:u w:val="none"/>
                <w:lang w:val="en-US" w:eastAsia="zh-CN"/>
              </w:rPr>
              <w:t>2.5</w:t>
            </w:r>
          </w:p>
        </w:tc>
        <w:tc>
          <w:tcPr>
            <w:tcW w:w="1134" w:type="dxa"/>
            <w:noWrap/>
            <w:vAlign w:val="center"/>
          </w:tcPr>
          <w:p w14:paraId="2448929B">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p>
        </w:tc>
      </w:tr>
      <w:tr w14:paraId="798B0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037" w:type="dxa"/>
            <w:vMerge w:val="continue"/>
            <w:noWrap w:val="0"/>
            <w:vAlign w:val="center"/>
          </w:tcPr>
          <w:p w14:paraId="438AF676">
            <w:pPr>
              <w:keepNext w:val="0"/>
              <w:keepLines w:val="0"/>
              <w:pageBreakBefore w:val="0"/>
              <w:widowControl/>
              <w:kinsoku/>
              <w:wordWrap/>
              <w:overflowPunct/>
              <w:topLinePunct w:val="0"/>
              <w:autoSpaceDE/>
              <w:autoSpaceDN/>
              <w:bidi w:val="0"/>
              <w:adjustRightInd/>
              <w:snapToGrid/>
              <w:ind w:firstLine="0" w:firstLineChars="0"/>
              <w:jc w:val="center"/>
              <w:rPr>
                <w:rFonts w:hint="eastAsia" w:ascii="仿宋_GB2312" w:hAnsi="仿宋_GB2312" w:eastAsia="仿宋_GB2312" w:cs="仿宋_GB2312"/>
                <w:i w:val="0"/>
                <w:iCs w:val="0"/>
                <w:color w:val="000000"/>
                <w:sz w:val="21"/>
                <w:szCs w:val="21"/>
                <w:highlight w:val="none"/>
                <w:u w:val="none"/>
              </w:rPr>
            </w:pPr>
          </w:p>
        </w:tc>
        <w:tc>
          <w:tcPr>
            <w:tcW w:w="1216" w:type="dxa"/>
            <w:noWrap w:val="0"/>
            <w:vAlign w:val="center"/>
          </w:tcPr>
          <w:p w14:paraId="10BE561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满意度</w:t>
            </w:r>
          </w:p>
        </w:tc>
        <w:tc>
          <w:tcPr>
            <w:tcW w:w="1056" w:type="dxa"/>
            <w:noWrap w:val="0"/>
            <w:vAlign w:val="center"/>
          </w:tcPr>
          <w:p w14:paraId="29A71E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公众满意度</w:t>
            </w:r>
          </w:p>
        </w:tc>
        <w:tc>
          <w:tcPr>
            <w:tcW w:w="1877" w:type="dxa"/>
            <w:noWrap w:val="0"/>
            <w:vAlign w:val="center"/>
          </w:tcPr>
          <w:p w14:paraId="63A627EB">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cs="仿宋_GB2312"/>
                <w:i w:val="0"/>
                <w:iCs w:val="0"/>
                <w:color w:val="000000"/>
                <w:kern w:val="0"/>
                <w:sz w:val="21"/>
                <w:szCs w:val="21"/>
                <w:u w:val="none"/>
                <w:lang w:val="en-US" w:eastAsia="zh-CN" w:bidi="ar"/>
              </w:rPr>
              <w:t>当地群众</w:t>
            </w:r>
            <w:r>
              <w:rPr>
                <w:rFonts w:hint="eastAsia" w:ascii="仿宋_GB2312" w:hAnsi="仿宋_GB2312" w:eastAsia="仿宋_GB2312" w:cs="仿宋_GB2312"/>
                <w:i w:val="0"/>
                <w:iCs w:val="0"/>
                <w:color w:val="000000"/>
                <w:kern w:val="0"/>
                <w:sz w:val="21"/>
                <w:szCs w:val="21"/>
                <w:u w:val="none"/>
                <w:lang w:val="en-US" w:eastAsia="zh-CN" w:bidi="ar"/>
              </w:rPr>
              <w:t>对项目实施的满意程度。</w:t>
            </w:r>
          </w:p>
        </w:tc>
        <w:tc>
          <w:tcPr>
            <w:tcW w:w="3520" w:type="dxa"/>
            <w:noWrap w:val="0"/>
            <w:vAlign w:val="center"/>
          </w:tcPr>
          <w:p w14:paraId="532EB12A">
            <w:pPr>
              <w:keepNext w:val="0"/>
              <w:keepLines w:val="0"/>
              <w:pageBreakBefore w:val="0"/>
              <w:widowControl/>
              <w:suppressLineNumbers w:val="0"/>
              <w:kinsoku/>
              <w:wordWrap/>
              <w:overflowPunct/>
              <w:topLinePunct w:val="0"/>
              <w:autoSpaceDE/>
              <w:autoSpaceDN/>
              <w:bidi w:val="0"/>
              <w:adjustRightInd/>
              <w:snapToGrid/>
              <w:ind w:firstLine="0" w:firstLineChars="0"/>
              <w:jc w:val="left"/>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满意度指标达到</w:t>
            </w:r>
            <w:r>
              <w:rPr>
                <w:rFonts w:hint="eastAsia" w:ascii="仿宋_GB2312" w:hAnsi="仿宋_GB2312" w:cs="仿宋_GB2312"/>
                <w:i w:val="0"/>
                <w:iCs w:val="0"/>
                <w:color w:val="000000"/>
                <w:kern w:val="0"/>
                <w:sz w:val="21"/>
                <w:szCs w:val="21"/>
                <w:u w:val="none"/>
                <w:lang w:val="en-US" w:eastAsia="zh-CN" w:bidi="ar"/>
              </w:rPr>
              <w:t>90</w:t>
            </w:r>
            <w:r>
              <w:rPr>
                <w:rFonts w:hint="eastAsia" w:ascii="仿宋_GB2312" w:hAnsi="仿宋_GB2312" w:eastAsia="仿宋_GB2312" w:cs="仿宋_GB2312"/>
                <w:i w:val="0"/>
                <w:iCs w:val="0"/>
                <w:color w:val="000000"/>
                <w:kern w:val="0"/>
                <w:sz w:val="21"/>
                <w:szCs w:val="21"/>
                <w:u w:val="none"/>
                <w:lang w:val="en-US" w:eastAsia="zh-CN" w:bidi="ar"/>
              </w:rPr>
              <w:t>%以上的，得10分；低于</w:t>
            </w:r>
            <w:r>
              <w:rPr>
                <w:rFonts w:hint="eastAsia" w:ascii="仿宋_GB2312" w:hAnsi="仿宋_GB2312" w:cs="仿宋_GB2312"/>
                <w:i w:val="0"/>
                <w:iCs w:val="0"/>
                <w:color w:val="000000"/>
                <w:kern w:val="0"/>
                <w:sz w:val="21"/>
                <w:szCs w:val="21"/>
                <w:u w:val="none"/>
                <w:lang w:val="en-US" w:eastAsia="zh-CN" w:bidi="ar"/>
              </w:rPr>
              <w:t>90</w:t>
            </w:r>
            <w:r>
              <w:rPr>
                <w:rFonts w:hint="eastAsia" w:ascii="仿宋_GB2312" w:hAnsi="仿宋_GB2312" w:eastAsia="仿宋_GB2312" w:cs="仿宋_GB2312"/>
                <w:i w:val="0"/>
                <w:iCs w:val="0"/>
                <w:color w:val="000000"/>
                <w:kern w:val="0"/>
                <w:sz w:val="21"/>
                <w:szCs w:val="21"/>
                <w:u w:val="none"/>
                <w:lang w:val="en-US" w:eastAsia="zh-CN" w:bidi="ar"/>
              </w:rPr>
              <w:t>%的，每低一个百分点扣1分。</w:t>
            </w:r>
          </w:p>
        </w:tc>
        <w:tc>
          <w:tcPr>
            <w:tcW w:w="1701" w:type="dxa"/>
            <w:noWrap w:val="0"/>
            <w:vAlign w:val="center"/>
          </w:tcPr>
          <w:p w14:paraId="5BBF2757">
            <w:pPr>
              <w:keepNext w:val="0"/>
              <w:keepLines w:val="0"/>
              <w:pageBreakBefore w:val="0"/>
              <w:widowControl/>
              <w:kinsoku/>
              <w:wordWrap/>
              <w:overflowPunct/>
              <w:topLinePunct w:val="0"/>
              <w:autoSpaceDE/>
              <w:autoSpaceDN/>
              <w:bidi w:val="0"/>
              <w:adjustRightInd/>
              <w:snapToGrid/>
              <w:ind w:firstLine="0" w:firstLineChars="0"/>
              <w:jc w:val="left"/>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问卷发放39份，满意度得分96.04%。</w:t>
            </w:r>
          </w:p>
        </w:tc>
        <w:tc>
          <w:tcPr>
            <w:tcW w:w="1134" w:type="dxa"/>
            <w:noWrap/>
            <w:vAlign w:val="center"/>
          </w:tcPr>
          <w:p w14:paraId="29AC35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134" w:type="dxa"/>
            <w:noWrap/>
            <w:vAlign w:val="center"/>
          </w:tcPr>
          <w:p w14:paraId="3748D8C6">
            <w:pPr>
              <w:keepNext w:val="0"/>
              <w:keepLines w:val="0"/>
              <w:pageBreakBefore w:val="0"/>
              <w:widowControl/>
              <w:kinsoku/>
              <w:wordWrap/>
              <w:overflowPunct/>
              <w:topLinePunct w:val="0"/>
              <w:autoSpaceDE/>
              <w:autoSpaceDN/>
              <w:bidi w:val="0"/>
              <w:adjustRightInd/>
              <w:snapToGrid/>
              <w:ind w:firstLine="0" w:firstLineChars="0"/>
              <w:jc w:val="center"/>
              <w:rPr>
                <w:rFonts w:hint="default" w:ascii="仿宋_GB2312" w:hAnsi="仿宋_GB2312" w:eastAsia="仿宋_GB2312" w:cs="仿宋_GB2312"/>
                <w:i w:val="0"/>
                <w:iCs w:val="0"/>
                <w:color w:val="000000"/>
                <w:sz w:val="21"/>
                <w:szCs w:val="21"/>
                <w:highlight w:val="none"/>
                <w:u w:val="none"/>
                <w:lang w:val="en-US" w:eastAsia="zh-CN"/>
              </w:rPr>
            </w:pPr>
            <w:r>
              <w:rPr>
                <w:rFonts w:hint="eastAsia" w:ascii="仿宋_GB2312" w:hAnsi="仿宋_GB2312" w:cs="仿宋_GB2312"/>
                <w:i w:val="0"/>
                <w:iCs w:val="0"/>
                <w:color w:val="000000"/>
                <w:sz w:val="21"/>
                <w:szCs w:val="21"/>
                <w:highlight w:val="none"/>
                <w:u w:val="none"/>
                <w:lang w:val="en-US" w:eastAsia="zh-CN"/>
              </w:rPr>
              <w:t>10</w:t>
            </w:r>
          </w:p>
        </w:tc>
        <w:tc>
          <w:tcPr>
            <w:tcW w:w="1134" w:type="dxa"/>
            <w:noWrap/>
            <w:vAlign w:val="center"/>
          </w:tcPr>
          <w:p w14:paraId="3116180F">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i w:val="0"/>
                <w:iCs w:val="0"/>
                <w:color w:val="000000"/>
                <w:sz w:val="21"/>
                <w:szCs w:val="21"/>
                <w:highlight w:val="none"/>
                <w:u w:val="none"/>
              </w:rPr>
            </w:pPr>
          </w:p>
        </w:tc>
      </w:tr>
      <w:tr w14:paraId="10618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407" w:type="dxa"/>
            <w:gridSpan w:val="6"/>
            <w:noWrap/>
            <w:vAlign w:val="center"/>
          </w:tcPr>
          <w:p w14:paraId="15FDC3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u w:val="none"/>
                <w:lang w:val="en-US" w:eastAsia="zh-CN" w:bidi="ar"/>
              </w:rPr>
              <w:t>合  计</w:t>
            </w:r>
          </w:p>
        </w:tc>
        <w:tc>
          <w:tcPr>
            <w:tcW w:w="1134" w:type="dxa"/>
            <w:noWrap/>
            <w:vAlign w:val="center"/>
          </w:tcPr>
          <w:p w14:paraId="034B259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u w:val="none"/>
                <w:lang w:val="en-US" w:eastAsia="zh-CN" w:bidi="ar"/>
              </w:rPr>
              <w:t>100</w:t>
            </w:r>
          </w:p>
        </w:tc>
        <w:tc>
          <w:tcPr>
            <w:tcW w:w="1134" w:type="dxa"/>
            <w:noWrap/>
            <w:vAlign w:val="center"/>
          </w:tcPr>
          <w:p w14:paraId="17D6293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仿宋_GB2312" w:hAnsi="仿宋_GB2312" w:eastAsia="仿宋_GB2312" w:cs="仿宋_GB2312"/>
                <w:b/>
                <w:bCs/>
                <w:i w:val="0"/>
                <w:iCs w:val="0"/>
                <w:color w:val="000000"/>
                <w:sz w:val="21"/>
                <w:szCs w:val="21"/>
                <w:highlight w:val="none"/>
                <w:u w:val="none"/>
                <w:lang w:val="en-US" w:eastAsia="zh-CN"/>
              </w:rPr>
            </w:pPr>
            <w:r>
              <w:rPr>
                <w:rFonts w:hint="eastAsia" w:ascii="仿宋_GB2312" w:hAnsi="仿宋_GB2312" w:cs="仿宋_GB2312"/>
                <w:b/>
                <w:bCs/>
                <w:i w:val="0"/>
                <w:iCs w:val="0"/>
                <w:color w:val="000000"/>
                <w:sz w:val="21"/>
                <w:szCs w:val="21"/>
                <w:highlight w:val="none"/>
                <w:u w:val="none"/>
                <w:lang w:val="en-US" w:eastAsia="zh-CN"/>
              </w:rPr>
              <w:t>83.20</w:t>
            </w:r>
          </w:p>
        </w:tc>
        <w:tc>
          <w:tcPr>
            <w:tcW w:w="1134" w:type="dxa"/>
            <w:noWrap/>
            <w:vAlign w:val="center"/>
          </w:tcPr>
          <w:p w14:paraId="3E77B982">
            <w:pPr>
              <w:keepNext w:val="0"/>
              <w:keepLines w:val="0"/>
              <w:pageBreakBefore w:val="0"/>
              <w:widowControl/>
              <w:kinsoku/>
              <w:wordWrap/>
              <w:overflowPunct/>
              <w:topLinePunct w:val="0"/>
              <w:autoSpaceDE/>
              <w:autoSpaceDN/>
              <w:bidi w:val="0"/>
              <w:adjustRightInd/>
              <w:snapToGrid/>
              <w:ind w:firstLine="0" w:firstLineChars="0"/>
              <w:rPr>
                <w:rFonts w:hint="eastAsia" w:ascii="仿宋_GB2312" w:hAnsi="仿宋_GB2312" w:eastAsia="仿宋_GB2312" w:cs="仿宋_GB2312"/>
                <w:b/>
                <w:bCs/>
                <w:i w:val="0"/>
                <w:iCs w:val="0"/>
                <w:color w:val="000000"/>
                <w:sz w:val="21"/>
                <w:szCs w:val="21"/>
                <w:highlight w:val="none"/>
                <w:u w:val="none"/>
              </w:rPr>
            </w:pPr>
          </w:p>
        </w:tc>
      </w:tr>
    </w:tbl>
    <w:p w14:paraId="6753E5B6">
      <w:pPr>
        <w:sectPr>
          <w:pgSz w:w="16838" w:h="11906" w:orient="landscape"/>
          <w:pgMar w:top="1800" w:right="1440" w:bottom="1800" w:left="1440" w:header="851" w:footer="992" w:gutter="0"/>
          <w:pgNumType w:fmt="decimal"/>
          <w:cols w:space="425" w:num="1"/>
          <w:docGrid w:type="lines" w:linePitch="312" w:charSpace="0"/>
        </w:sectPr>
      </w:pPr>
    </w:p>
    <w:p w14:paraId="3DB88068">
      <w:pPr>
        <w:pStyle w:val="2"/>
        <w:ind w:left="0" w:leftChars="0" w:firstLine="0" w:firstLineChars="0"/>
        <w:rPr>
          <w:rFonts w:hint="eastAsia" w:ascii="黑体" w:hAnsi="黑体" w:eastAsia="黑体" w:cs="SimSun-Identity-H"/>
          <w:kern w:val="0"/>
          <w:sz w:val="32"/>
          <w:szCs w:val="32"/>
        </w:rPr>
      </w:pPr>
      <w:r>
        <w:rPr>
          <w:rFonts w:hint="eastAsia" w:ascii="黑体" w:hAnsi="黑体" w:eastAsia="黑体" w:cs="SimSun-Identity-H"/>
          <w:kern w:val="0"/>
          <w:sz w:val="32"/>
          <w:szCs w:val="32"/>
        </w:rPr>
        <w:t>附件二 项目现场及调研过程图（部分）</w:t>
      </w:r>
    </w:p>
    <w:p w14:paraId="57443ACC">
      <w:pPr>
        <w:ind w:left="0" w:leftChars="0" w:firstLine="0" w:firstLineChars="0"/>
        <w:rPr>
          <w:rFonts w:hint="eastAsia" w:eastAsia="仿宋_GB2312"/>
          <w:lang w:eastAsia="zh-CN"/>
        </w:rPr>
      </w:pPr>
      <w:r>
        <w:rPr>
          <w:rFonts w:hint="eastAsia" w:eastAsia="仿宋_GB2312"/>
          <w:lang w:eastAsia="zh-CN"/>
        </w:rPr>
        <w:drawing>
          <wp:inline distT="0" distB="0" distL="114300" distR="114300">
            <wp:extent cx="4924425" cy="3695065"/>
            <wp:effectExtent l="0" t="0" r="13335" b="8255"/>
            <wp:docPr id="4" name="图片 4" descr="办公现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办公现场 (2)"/>
                    <pic:cNvPicPr>
                      <a:picLocks noChangeAspect="1"/>
                    </pic:cNvPicPr>
                  </pic:nvPicPr>
                  <pic:blipFill>
                    <a:blip r:embed="rId12"/>
                    <a:stretch>
                      <a:fillRect/>
                    </a:stretch>
                  </pic:blipFill>
                  <pic:spPr>
                    <a:xfrm>
                      <a:off x="0" y="0"/>
                      <a:ext cx="4924425" cy="3695065"/>
                    </a:xfrm>
                    <a:prstGeom prst="rect">
                      <a:avLst/>
                    </a:prstGeom>
                  </pic:spPr>
                </pic:pic>
              </a:graphicData>
            </a:graphic>
          </wp:inline>
        </w:drawing>
      </w:r>
    </w:p>
    <w:p w14:paraId="45C22301">
      <w:pPr>
        <w:pStyle w:val="2"/>
        <w:ind w:left="0" w:leftChars="0" w:firstLine="0" w:firstLineChars="0"/>
        <w:rPr>
          <w:rFonts w:hint="eastAsia"/>
          <w:lang w:eastAsia="zh-CN"/>
        </w:rPr>
      </w:pPr>
      <w:r>
        <w:rPr>
          <w:rFonts w:hint="eastAsia"/>
          <w:lang w:eastAsia="zh-CN"/>
        </w:rPr>
        <w:drawing>
          <wp:inline distT="0" distB="0" distL="114300" distR="114300">
            <wp:extent cx="2467610" cy="3291840"/>
            <wp:effectExtent l="0" t="0" r="1270" b="0"/>
            <wp:docPr id="6" name="图片 6" descr="溪堤现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溪堤现场 (4)"/>
                    <pic:cNvPicPr>
                      <a:picLocks noChangeAspect="1"/>
                    </pic:cNvPicPr>
                  </pic:nvPicPr>
                  <pic:blipFill>
                    <a:blip r:embed="rId13"/>
                    <a:stretch>
                      <a:fillRect/>
                    </a:stretch>
                  </pic:blipFill>
                  <pic:spPr>
                    <a:xfrm>
                      <a:off x="0" y="0"/>
                      <a:ext cx="2467610" cy="3291840"/>
                    </a:xfrm>
                    <a:prstGeom prst="rect">
                      <a:avLst/>
                    </a:prstGeom>
                  </pic:spPr>
                </pic:pic>
              </a:graphicData>
            </a:graphic>
          </wp:inline>
        </w:drawing>
      </w:r>
      <w:r>
        <w:rPr>
          <w:rFonts w:hint="eastAsia"/>
          <w:lang w:eastAsia="zh-CN"/>
        </w:rPr>
        <w:drawing>
          <wp:inline distT="0" distB="0" distL="114300" distR="114300">
            <wp:extent cx="2461895" cy="3284220"/>
            <wp:effectExtent l="0" t="0" r="6985" b="7620"/>
            <wp:docPr id="7" name="图片 7" descr="溪堤现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溪堤现场 (2)"/>
                    <pic:cNvPicPr>
                      <a:picLocks noChangeAspect="1"/>
                    </pic:cNvPicPr>
                  </pic:nvPicPr>
                  <pic:blipFill>
                    <a:blip r:embed="rId14"/>
                    <a:stretch>
                      <a:fillRect/>
                    </a:stretch>
                  </pic:blipFill>
                  <pic:spPr>
                    <a:xfrm>
                      <a:off x="0" y="0"/>
                      <a:ext cx="2461895" cy="3284220"/>
                    </a:xfrm>
                    <a:prstGeom prst="rect">
                      <a:avLst/>
                    </a:prstGeom>
                  </pic:spPr>
                </pic:pic>
              </a:graphicData>
            </a:graphic>
          </wp:inline>
        </w:drawing>
      </w:r>
    </w:p>
    <w:p w14:paraId="5C49B521">
      <w:pPr>
        <w:rPr>
          <w:rFonts w:hint="eastAsia"/>
          <w:lang w:eastAsia="zh-CN"/>
        </w:rPr>
      </w:pPr>
      <w:r>
        <w:rPr>
          <w:rFonts w:hint="eastAsia"/>
          <w:lang w:eastAsia="zh-CN"/>
        </w:rPr>
        <w:br w:type="page"/>
      </w:r>
    </w:p>
    <w:p w14:paraId="733257DE">
      <w:pPr>
        <w:pStyle w:val="2"/>
        <w:ind w:left="0" w:leftChars="0" w:firstLine="0" w:firstLineChars="0"/>
        <w:rPr>
          <w:rFonts w:hint="eastAsia" w:ascii="黑体" w:hAnsi="黑体" w:eastAsia="黑体" w:cs="SimSun-Identity-H"/>
          <w:kern w:val="0"/>
          <w:sz w:val="32"/>
          <w:szCs w:val="32"/>
          <w:lang w:eastAsia="zh-CN"/>
        </w:rPr>
      </w:pPr>
      <w:r>
        <w:rPr>
          <w:rFonts w:hint="eastAsia" w:ascii="黑体" w:hAnsi="黑体" w:eastAsia="黑体" w:cs="SimSun-Identity-H"/>
          <w:kern w:val="0"/>
          <w:sz w:val="32"/>
          <w:szCs w:val="32"/>
          <w:lang w:eastAsia="zh-CN"/>
        </w:rPr>
        <w:t>附件三 满意度调查评分表</w:t>
      </w:r>
    </w:p>
    <w:p w14:paraId="42F775B0">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baseline"/>
        <w:outlineLvl w:val="2"/>
        <w:rPr>
          <w:rFonts w:hint="eastAsia" w:cs="Times New Roman"/>
          <w:b/>
          <w:kern w:val="2"/>
          <w:sz w:val="21"/>
          <w:szCs w:val="24"/>
          <w:lang w:val="en-US" w:eastAsia="zh-CN" w:bidi="ar-SA"/>
        </w:rPr>
      </w:pPr>
      <w:r>
        <w:rPr>
          <w:rFonts w:hint="eastAsia" w:ascii="Times New Roman" w:hAnsi="Times New Roman" w:cs="Times New Roman"/>
          <w:b/>
          <w:kern w:val="2"/>
          <w:sz w:val="21"/>
          <w:szCs w:val="24"/>
          <w:lang w:val="en-US" w:eastAsia="zh-CN" w:bidi="ar-SA"/>
        </w:rPr>
        <w:t>1.</w:t>
      </w:r>
      <w:r>
        <w:rPr>
          <w:rFonts w:hint="eastAsia" w:cs="Times New Roman"/>
          <w:b/>
          <w:kern w:val="2"/>
          <w:sz w:val="21"/>
          <w:szCs w:val="24"/>
          <w:lang w:val="en-US" w:eastAsia="zh-CN" w:bidi="ar-SA"/>
        </w:rPr>
        <w:t>问卷整体数据汇总</w:t>
      </w:r>
    </w:p>
    <w:p w14:paraId="58DDCDC4">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第1题   您所在的乡/镇：      </w:t>
      </w:r>
      <w:r>
        <w:rPr>
          <w:b w:val="0"/>
          <w:color w:val="0066FF"/>
          <w:sz w:val="24"/>
        </w:rPr>
        <w:t>[填空题]</w:t>
      </w:r>
    </w:p>
    <w:p w14:paraId="29BA04DF">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3"/>
        <w:rPr>
          <w:b w:val="0"/>
          <w:color w:val="666666"/>
          <w:sz w:val="24"/>
        </w:rPr>
      </w:pPr>
      <w:r>
        <w:rPr>
          <w:b w:val="0"/>
          <w:color w:val="666666"/>
          <w:sz w:val="24"/>
        </w:rPr>
        <w:t>填空题数据请通过下载详细数据获取</w:t>
      </w:r>
    </w:p>
    <w:p w14:paraId="23964D69">
      <w:pPr>
        <w:keepNext w:val="0"/>
        <w:keepLines w:val="0"/>
        <w:pageBreakBefore w:val="0"/>
        <w:widowControl w:val="0"/>
        <w:kinsoku/>
        <w:wordWrap/>
        <w:overflowPunct/>
        <w:topLinePunct w:val="0"/>
        <w:autoSpaceDE/>
        <w:autoSpaceDN/>
        <w:bidi w:val="0"/>
        <w:adjustRightInd/>
        <w:snapToGrid/>
        <w:spacing w:line="240" w:lineRule="auto"/>
        <w:textAlignment w:val="auto"/>
      </w:pPr>
    </w:p>
    <w:p w14:paraId="04E46335">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第2题   请问您对田湾镇乌金村溪堤建设项目（以下称为“溪堤建设”）了解吗？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75"/>
        <w:gridCol w:w="1085"/>
        <w:gridCol w:w="3162"/>
      </w:tblGrid>
      <w:tr w14:paraId="5B07ED43">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68C45016">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选项</w:t>
            </w:r>
          </w:p>
        </w:tc>
        <w:tc>
          <w:tcPr>
            <w:tcW w:w="1000" w:type="dxa"/>
            <w:shd w:val="clear" w:color="auto" w:fill="F5F5F5"/>
            <w:vAlign w:val="center"/>
          </w:tcPr>
          <w:p w14:paraId="657D0B8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小计</w:t>
            </w:r>
          </w:p>
        </w:tc>
        <w:tc>
          <w:tcPr>
            <w:tcW w:w="3106" w:type="dxa"/>
            <w:shd w:val="clear" w:color="auto" w:fill="F5F5F5"/>
            <w:vAlign w:val="center"/>
          </w:tcPr>
          <w:p w14:paraId="0E6510AC">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比例</w:t>
            </w:r>
          </w:p>
        </w:tc>
      </w:tr>
      <w:tr w14:paraId="736575A7">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1E138C4E">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非常了解</w:t>
            </w:r>
          </w:p>
        </w:tc>
        <w:tc>
          <w:tcPr>
            <w:tcW w:w="1000" w:type="dxa"/>
            <w:shd w:val="clear" w:color="auto" w:fill="FFFFFF"/>
            <w:vAlign w:val="center"/>
          </w:tcPr>
          <w:p w14:paraId="58C983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30</w:t>
            </w:r>
          </w:p>
        </w:tc>
        <w:tc>
          <w:tcPr>
            <w:tcW w:w="3106" w:type="dxa"/>
            <w:shd w:val="clear" w:color="auto" w:fill="FFFFFF"/>
            <w:vAlign w:val="center"/>
          </w:tcPr>
          <w:p w14:paraId="06851EDF">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1038225" cy="114300"/>
                  <wp:effectExtent l="0" t="0" r="13335" b="762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r:embed="rId15"/>
                          <a:stretch>
                            <a:fillRect/>
                          </a:stretch>
                        </pic:blipFill>
                        <pic:spPr>
                          <a:xfrm>
                            <a:off x="0" y="0"/>
                            <a:ext cx="1038370" cy="114316"/>
                          </a:xfrm>
                          <a:prstGeom prst="rect">
                            <a:avLst/>
                          </a:prstGeom>
                        </pic:spPr>
                      </pic:pic>
                    </a:graphicData>
                  </a:graphic>
                </wp:inline>
              </w:drawing>
            </w:r>
            <w:r>
              <w:rPr>
                <w:sz w:val="21"/>
                <w:szCs w:val="21"/>
              </w:rPr>
              <w:drawing>
                <wp:inline distT="0" distB="0" distL="114300" distR="114300">
                  <wp:extent cx="314325" cy="114300"/>
                  <wp:effectExtent l="0" t="0" r="5715" b="762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r:embed="rId16"/>
                          <a:stretch>
                            <a:fillRect/>
                          </a:stretch>
                        </pic:blipFill>
                        <pic:spPr>
                          <a:xfrm>
                            <a:off x="0" y="0"/>
                            <a:ext cx="314369" cy="114316"/>
                          </a:xfrm>
                          <a:prstGeom prst="rect">
                            <a:avLst/>
                          </a:prstGeom>
                        </pic:spPr>
                      </pic:pic>
                    </a:graphicData>
                  </a:graphic>
                </wp:inline>
              </w:drawing>
            </w:r>
            <w:r>
              <w:rPr>
                <w:sz w:val="21"/>
                <w:szCs w:val="21"/>
              </w:rPr>
              <w:t>76.92%</w:t>
            </w:r>
          </w:p>
        </w:tc>
      </w:tr>
      <w:tr w14:paraId="6C448BE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0F410168">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部分了解</w:t>
            </w:r>
          </w:p>
        </w:tc>
        <w:tc>
          <w:tcPr>
            <w:tcW w:w="1000" w:type="dxa"/>
            <w:shd w:val="clear" w:color="auto" w:fill="FAFAFA"/>
            <w:vAlign w:val="center"/>
          </w:tcPr>
          <w:p w14:paraId="266795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6</w:t>
            </w:r>
          </w:p>
        </w:tc>
        <w:tc>
          <w:tcPr>
            <w:tcW w:w="3106" w:type="dxa"/>
            <w:shd w:val="clear" w:color="auto" w:fill="FAFAFA"/>
            <w:vAlign w:val="center"/>
          </w:tcPr>
          <w:p w14:paraId="7726DB53">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200025" cy="114300"/>
                  <wp:effectExtent l="0" t="0" r="13335" b="762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r:embed="rId17"/>
                          <a:stretch>
                            <a:fillRect/>
                          </a:stretch>
                        </pic:blipFill>
                        <pic:spPr>
                          <a:xfrm>
                            <a:off x="0" y="0"/>
                            <a:ext cx="200053" cy="114316"/>
                          </a:xfrm>
                          <a:prstGeom prst="rect">
                            <a:avLst/>
                          </a:prstGeom>
                        </pic:spPr>
                      </pic:pic>
                    </a:graphicData>
                  </a:graphic>
                </wp:inline>
              </w:drawing>
            </w:r>
            <w:r>
              <w:rPr>
                <w:sz w:val="21"/>
                <w:szCs w:val="21"/>
              </w:rPr>
              <w:drawing>
                <wp:inline distT="0" distB="0" distL="114300" distR="114300">
                  <wp:extent cx="1152525" cy="114300"/>
                  <wp:effectExtent l="0" t="0" r="5715" b="762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r:embed="rId18"/>
                          <a:stretch>
                            <a:fillRect/>
                          </a:stretch>
                        </pic:blipFill>
                        <pic:spPr>
                          <a:xfrm>
                            <a:off x="0" y="0"/>
                            <a:ext cx="1152686" cy="114316"/>
                          </a:xfrm>
                          <a:prstGeom prst="rect">
                            <a:avLst/>
                          </a:prstGeom>
                        </pic:spPr>
                      </pic:pic>
                    </a:graphicData>
                  </a:graphic>
                </wp:inline>
              </w:drawing>
            </w:r>
            <w:r>
              <w:rPr>
                <w:sz w:val="21"/>
                <w:szCs w:val="21"/>
              </w:rPr>
              <w:t>15.38%</w:t>
            </w:r>
          </w:p>
        </w:tc>
      </w:tr>
      <w:tr w14:paraId="2932ACEF">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7FC665A9">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一般</w:t>
            </w:r>
          </w:p>
        </w:tc>
        <w:tc>
          <w:tcPr>
            <w:tcW w:w="1000" w:type="dxa"/>
            <w:shd w:val="clear" w:color="auto" w:fill="FFFFFF"/>
            <w:vAlign w:val="center"/>
          </w:tcPr>
          <w:p w14:paraId="4809ED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3</w:t>
            </w:r>
          </w:p>
        </w:tc>
        <w:tc>
          <w:tcPr>
            <w:tcW w:w="3106" w:type="dxa"/>
            <w:shd w:val="clear" w:color="auto" w:fill="FFFFFF"/>
            <w:vAlign w:val="center"/>
          </w:tcPr>
          <w:p w14:paraId="0F4F7D16">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95250" cy="114300"/>
                  <wp:effectExtent l="0" t="0" r="11430" b="762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r:embed="rId19"/>
                          <a:stretch>
                            <a:fillRect/>
                          </a:stretch>
                        </pic:blipFill>
                        <pic:spPr>
                          <a:xfrm>
                            <a:off x="0" y="0"/>
                            <a:ext cx="95263" cy="114316"/>
                          </a:xfrm>
                          <a:prstGeom prst="rect">
                            <a:avLst/>
                          </a:prstGeom>
                        </pic:spPr>
                      </pic:pic>
                    </a:graphicData>
                  </a:graphic>
                </wp:inline>
              </w:drawing>
            </w:r>
            <w:r>
              <w:rPr>
                <w:sz w:val="21"/>
                <w:szCs w:val="21"/>
              </w:rPr>
              <w:drawing>
                <wp:inline distT="0" distB="0" distL="114300" distR="114300">
                  <wp:extent cx="1257300" cy="114300"/>
                  <wp:effectExtent l="0" t="0" r="7620" b="762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r:embed="rId20"/>
                          <a:stretch>
                            <a:fillRect/>
                          </a:stretch>
                        </pic:blipFill>
                        <pic:spPr>
                          <a:xfrm>
                            <a:off x="0" y="0"/>
                            <a:ext cx="1257476" cy="114316"/>
                          </a:xfrm>
                          <a:prstGeom prst="rect">
                            <a:avLst/>
                          </a:prstGeom>
                        </pic:spPr>
                      </pic:pic>
                    </a:graphicData>
                  </a:graphic>
                </wp:inline>
              </w:drawing>
            </w:r>
            <w:r>
              <w:rPr>
                <w:sz w:val="21"/>
                <w:szCs w:val="21"/>
              </w:rPr>
              <w:t>7.69%</w:t>
            </w:r>
          </w:p>
        </w:tc>
      </w:tr>
      <w:tr w14:paraId="2DE6061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0EE80BF6">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不太了解</w:t>
            </w:r>
          </w:p>
        </w:tc>
        <w:tc>
          <w:tcPr>
            <w:tcW w:w="1000" w:type="dxa"/>
            <w:shd w:val="clear" w:color="auto" w:fill="FAFAFA"/>
            <w:vAlign w:val="center"/>
          </w:tcPr>
          <w:p w14:paraId="0E679A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0</w:t>
            </w:r>
          </w:p>
        </w:tc>
        <w:tc>
          <w:tcPr>
            <w:tcW w:w="3106" w:type="dxa"/>
            <w:shd w:val="clear" w:color="auto" w:fill="FAFAFA"/>
            <w:vAlign w:val="center"/>
          </w:tcPr>
          <w:p w14:paraId="219A5410">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1352550" cy="114300"/>
                  <wp:effectExtent l="0" t="0" r="3810" b="762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sz w:val="21"/>
                <w:szCs w:val="21"/>
              </w:rPr>
              <w:t>0%</w:t>
            </w:r>
          </w:p>
        </w:tc>
      </w:tr>
      <w:tr w14:paraId="57A0CC4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4071814F">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完全不了解</w:t>
            </w:r>
          </w:p>
        </w:tc>
        <w:tc>
          <w:tcPr>
            <w:tcW w:w="1000" w:type="dxa"/>
            <w:shd w:val="clear" w:color="auto" w:fill="FFFFFF"/>
            <w:vAlign w:val="center"/>
          </w:tcPr>
          <w:p w14:paraId="413821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0</w:t>
            </w:r>
          </w:p>
        </w:tc>
        <w:tc>
          <w:tcPr>
            <w:tcW w:w="3106" w:type="dxa"/>
            <w:shd w:val="clear" w:color="auto" w:fill="FFFFFF"/>
            <w:vAlign w:val="center"/>
          </w:tcPr>
          <w:p w14:paraId="277B41AD">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drawing>
                <wp:inline distT="0" distB="0" distL="114300" distR="114300">
                  <wp:extent cx="1352550" cy="114300"/>
                  <wp:effectExtent l="0" t="0" r="3810" b="762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sz w:val="21"/>
                <w:szCs w:val="21"/>
              </w:rPr>
              <w:t>0%</w:t>
            </w:r>
          </w:p>
        </w:tc>
      </w:tr>
      <w:tr w14:paraId="1DE67891">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3A354D7D">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r>
              <w:rPr>
                <w:sz w:val="21"/>
                <w:szCs w:val="21"/>
              </w:rPr>
              <w:t>本题有效填写人次</w:t>
            </w:r>
          </w:p>
        </w:tc>
        <w:tc>
          <w:tcPr>
            <w:tcW w:w="1000" w:type="dxa"/>
            <w:shd w:val="clear" w:color="auto" w:fill="F5F5F5"/>
            <w:vAlign w:val="center"/>
          </w:tcPr>
          <w:p w14:paraId="127B6B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39</w:t>
            </w:r>
          </w:p>
        </w:tc>
        <w:tc>
          <w:tcPr>
            <w:tcW w:w="3106" w:type="dxa"/>
            <w:shd w:val="clear" w:color="auto" w:fill="F5F5F5"/>
            <w:vAlign w:val="center"/>
          </w:tcPr>
          <w:p w14:paraId="1124BCF0">
            <w:pPr>
              <w:keepNext w:val="0"/>
              <w:keepLines w:val="0"/>
              <w:pageBreakBefore w:val="0"/>
              <w:widowControl w:val="0"/>
              <w:kinsoku/>
              <w:wordWrap/>
              <w:overflowPunct/>
              <w:topLinePunct w:val="0"/>
              <w:autoSpaceDE/>
              <w:autoSpaceDN/>
              <w:bidi w:val="0"/>
              <w:adjustRightInd/>
              <w:snapToGrid/>
              <w:spacing w:line="240" w:lineRule="auto"/>
              <w:jc w:val="left"/>
              <w:textAlignment w:val="auto"/>
              <w:rPr>
                <w:sz w:val="21"/>
                <w:szCs w:val="21"/>
              </w:rPr>
            </w:pPr>
          </w:p>
        </w:tc>
      </w:tr>
    </w:tbl>
    <w:p w14:paraId="02033138">
      <w:pPr>
        <w:keepNext w:val="0"/>
        <w:keepLines w:val="0"/>
        <w:pageBreakBefore w:val="0"/>
        <w:widowControl w:val="0"/>
        <w:kinsoku/>
        <w:wordWrap/>
        <w:overflowPunct/>
        <w:topLinePunct w:val="0"/>
        <w:autoSpaceDE/>
        <w:autoSpaceDN/>
        <w:bidi w:val="0"/>
        <w:adjustRightInd/>
        <w:snapToGrid/>
        <w:spacing w:line="240" w:lineRule="auto"/>
        <w:textAlignment w:val="auto"/>
      </w:pPr>
    </w:p>
    <w:p w14:paraId="2AFE927A">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第3题   请问您对溪堤建设的以工代赈项目了解吗？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75"/>
        <w:gridCol w:w="1085"/>
        <w:gridCol w:w="3162"/>
      </w:tblGrid>
      <w:tr w14:paraId="6359994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4B7A802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2418518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002A383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0A89B47F">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7AE6AE3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非常了解</w:t>
            </w:r>
          </w:p>
        </w:tc>
        <w:tc>
          <w:tcPr>
            <w:tcW w:w="1000" w:type="dxa"/>
            <w:shd w:val="clear" w:color="auto" w:fill="FFFFFF"/>
            <w:vAlign w:val="center"/>
          </w:tcPr>
          <w:p w14:paraId="3DACD0D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31</w:t>
            </w:r>
          </w:p>
        </w:tc>
        <w:tc>
          <w:tcPr>
            <w:tcW w:w="3106" w:type="dxa"/>
            <w:shd w:val="clear" w:color="auto" w:fill="FFFFFF"/>
            <w:vAlign w:val="center"/>
          </w:tcPr>
          <w:p w14:paraId="2F55E0F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066800" cy="114300"/>
                  <wp:effectExtent l="0" t="0" r="0" b="762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r:embed="rId22"/>
                          <a:stretch>
                            <a:fillRect/>
                          </a:stretch>
                        </pic:blipFill>
                        <pic:spPr>
                          <a:xfrm>
                            <a:off x="0" y="0"/>
                            <a:ext cx="106694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285750" cy="114300"/>
                  <wp:effectExtent l="0" t="0" r="3810" b="762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r:embed="rId23"/>
                          <a:stretch>
                            <a:fillRect/>
                          </a:stretch>
                        </pic:blipFill>
                        <pic:spPr>
                          <a:xfrm>
                            <a:off x="0" y="0"/>
                            <a:ext cx="285790" cy="114316"/>
                          </a:xfrm>
                          <a:prstGeom prst="rect">
                            <a:avLst/>
                          </a:prstGeom>
                        </pic:spPr>
                      </pic:pic>
                    </a:graphicData>
                  </a:graphic>
                </wp:inline>
              </w:drawing>
            </w:r>
            <w:r>
              <w:rPr>
                <w:rFonts w:ascii="Times New Roman" w:hAnsi="Times New Roman" w:cs="Times New Roman"/>
                <w:sz w:val="21"/>
                <w:szCs w:val="21"/>
              </w:rPr>
              <w:t>79.49%</w:t>
            </w:r>
          </w:p>
        </w:tc>
      </w:tr>
      <w:tr w14:paraId="6DBDE0E3">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5CEFEA4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部分了解</w:t>
            </w:r>
          </w:p>
        </w:tc>
        <w:tc>
          <w:tcPr>
            <w:tcW w:w="1000" w:type="dxa"/>
            <w:shd w:val="clear" w:color="auto" w:fill="FAFAFA"/>
            <w:vAlign w:val="center"/>
          </w:tcPr>
          <w:p w14:paraId="0CC795C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5</w:t>
            </w:r>
          </w:p>
        </w:tc>
        <w:tc>
          <w:tcPr>
            <w:tcW w:w="3106" w:type="dxa"/>
            <w:shd w:val="clear" w:color="auto" w:fill="FAFAFA"/>
            <w:vAlign w:val="center"/>
          </w:tcPr>
          <w:p w14:paraId="22FAD3D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71450" cy="114300"/>
                  <wp:effectExtent l="0" t="0" r="11430" b="762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24"/>
                          <a:stretch>
                            <a:fillRect/>
                          </a:stretch>
                        </pic:blipFill>
                        <pic:spPr>
                          <a:xfrm>
                            <a:off x="0" y="0"/>
                            <a:ext cx="171474"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181100" cy="114300"/>
                  <wp:effectExtent l="0" t="0" r="7620" b="762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r:embed="rId25"/>
                          <a:stretch>
                            <a:fillRect/>
                          </a:stretch>
                        </pic:blipFill>
                        <pic:spPr>
                          <a:xfrm>
                            <a:off x="0" y="0"/>
                            <a:ext cx="1181265" cy="114316"/>
                          </a:xfrm>
                          <a:prstGeom prst="rect">
                            <a:avLst/>
                          </a:prstGeom>
                        </pic:spPr>
                      </pic:pic>
                    </a:graphicData>
                  </a:graphic>
                </wp:inline>
              </w:drawing>
            </w:r>
            <w:r>
              <w:rPr>
                <w:rFonts w:ascii="Times New Roman" w:hAnsi="Times New Roman" w:cs="Times New Roman"/>
                <w:sz w:val="21"/>
                <w:szCs w:val="21"/>
              </w:rPr>
              <w:t>12.82%</w:t>
            </w:r>
          </w:p>
        </w:tc>
      </w:tr>
      <w:tr w14:paraId="569EFC07">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4B2FD3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一般</w:t>
            </w:r>
          </w:p>
        </w:tc>
        <w:tc>
          <w:tcPr>
            <w:tcW w:w="1000" w:type="dxa"/>
            <w:shd w:val="clear" w:color="auto" w:fill="FFFFFF"/>
            <w:vAlign w:val="center"/>
          </w:tcPr>
          <w:p w14:paraId="35E930B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2</w:t>
            </w:r>
          </w:p>
        </w:tc>
        <w:tc>
          <w:tcPr>
            <w:tcW w:w="3106" w:type="dxa"/>
            <w:shd w:val="clear" w:color="auto" w:fill="FFFFFF"/>
            <w:vAlign w:val="center"/>
          </w:tcPr>
          <w:p w14:paraId="66DBEA7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66675" cy="114300"/>
                  <wp:effectExtent l="0" t="0" r="9525" b="762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r:embed="rId26"/>
                          <a:stretch>
                            <a:fillRect/>
                          </a:stretch>
                        </pic:blipFill>
                        <pic:spPr>
                          <a:xfrm>
                            <a:off x="0" y="0"/>
                            <a:ext cx="66684"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85875" cy="114300"/>
                  <wp:effectExtent l="0" t="0" r="9525" b="762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r:embed="rId27"/>
                          <a:stretch>
                            <a:fillRect/>
                          </a:stretch>
                        </pic:blipFill>
                        <pic:spPr>
                          <a:xfrm>
                            <a:off x="0" y="0"/>
                            <a:ext cx="1286055" cy="114316"/>
                          </a:xfrm>
                          <a:prstGeom prst="rect">
                            <a:avLst/>
                          </a:prstGeom>
                        </pic:spPr>
                      </pic:pic>
                    </a:graphicData>
                  </a:graphic>
                </wp:inline>
              </w:drawing>
            </w:r>
            <w:r>
              <w:rPr>
                <w:rFonts w:ascii="Times New Roman" w:hAnsi="Times New Roman" w:cs="Times New Roman"/>
                <w:sz w:val="21"/>
                <w:szCs w:val="21"/>
              </w:rPr>
              <w:t>5.13%</w:t>
            </w:r>
          </w:p>
        </w:tc>
      </w:tr>
      <w:tr w14:paraId="62568F24">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1A8C517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不太了解</w:t>
            </w:r>
          </w:p>
        </w:tc>
        <w:tc>
          <w:tcPr>
            <w:tcW w:w="1000" w:type="dxa"/>
            <w:shd w:val="clear" w:color="auto" w:fill="FAFAFA"/>
            <w:vAlign w:val="center"/>
          </w:tcPr>
          <w:p w14:paraId="0D5D43E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w:t>
            </w:r>
          </w:p>
        </w:tc>
        <w:tc>
          <w:tcPr>
            <w:tcW w:w="3106" w:type="dxa"/>
            <w:shd w:val="clear" w:color="auto" w:fill="FAFAFA"/>
            <w:vAlign w:val="center"/>
          </w:tcPr>
          <w:p w14:paraId="4AC1BD3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28575" cy="114300"/>
                  <wp:effectExtent l="0" t="0" r="1905" b="762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r:embed="rId28"/>
                          <a:stretch>
                            <a:fillRect/>
                          </a:stretch>
                        </pic:blipFill>
                        <pic:spPr>
                          <a:xfrm>
                            <a:off x="0" y="0"/>
                            <a:ext cx="2857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23975" cy="114300"/>
                  <wp:effectExtent l="0" t="0" r="1905" b="762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r:embed="rId29"/>
                          <a:stretch>
                            <a:fillRect/>
                          </a:stretch>
                        </pic:blipFill>
                        <pic:spPr>
                          <a:xfrm>
                            <a:off x="0" y="0"/>
                            <a:ext cx="1324160" cy="114316"/>
                          </a:xfrm>
                          <a:prstGeom prst="rect">
                            <a:avLst/>
                          </a:prstGeom>
                        </pic:spPr>
                      </pic:pic>
                    </a:graphicData>
                  </a:graphic>
                </wp:inline>
              </w:drawing>
            </w:r>
            <w:r>
              <w:rPr>
                <w:rFonts w:ascii="Times New Roman" w:hAnsi="Times New Roman" w:cs="Times New Roman"/>
                <w:sz w:val="21"/>
                <w:szCs w:val="21"/>
              </w:rPr>
              <w:t>2.56%</w:t>
            </w:r>
          </w:p>
        </w:tc>
      </w:tr>
      <w:tr w14:paraId="11B3088E">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6698801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完全不了解</w:t>
            </w:r>
          </w:p>
        </w:tc>
        <w:tc>
          <w:tcPr>
            <w:tcW w:w="1000" w:type="dxa"/>
            <w:shd w:val="clear" w:color="auto" w:fill="FFFFFF"/>
            <w:vAlign w:val="center"/>
          </w:tcPr>
          <w:p w14:paraId="35E982D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1798D80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CB6C3B1">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0BFC74A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185EEBA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39</w:t>
            </w:r>
          </w:p>
        </w:tc>
        <w:tc>
          <w:tcPr>
            <w:tcW w:w="3106" w:type="dxa"/>
            <w:shd w:val="clear" w:color="auto" w:fill="F5F5F5"/>
            <w:vAlign w:val="center"/>
          </w:tcPr>
          <w:p w14:paraId="2258046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13E4E2EE">
      <w:pPr>
        <w:keepNext w:val="0"/>
        <w:keepLines w:val="0"/>
        <w:pageBreakBefore w:val="0"/>
        <w:widowControl w:val="0"/>
        <w:kinsoku/>
        <w:wordWrap/>
        <w:overflowPunct/>
        <w:topLinePunct w:val="0"/>
        <w:autoSpaceDE/>
        <w:autoSpaceDN/>
        <w:bidi w:val="0"/>
        <w:adjustRightInd/>
        <w:snapToGrid/>
        <w:spacing w:line="240" w:lineRule="auto"/>
        <w:textAlignment w:val="auto"/>
      </w:pPr>
    </w:p>
    <w:p w14:paraId="0B288611">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第4题   请问您认为溪堤建设的以工代赈项目对您家庭收入增长情况是否有帮助？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75"/>
        <w:gridCol w:w="1085"/>
        <w:gridCol w:w="3162"/>
      </w:tblGrid>
      <w:tr w14:paraId="078E58B0">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4EE678D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4ABFB43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1210930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1262BB74">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08F3797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很大</w:t>
            </w:r>
          </w:p>
        </w:tc>
        <w:tc>
          <w:tcPr>
            <w:tcW w:w="1000" w:type="dxa"/>
            <w:shd w:val="clear" w:color="auto" w:fill="FFFFFF"/>
            <w:vAlign w:val="center"/>
          </w:tcPr>
          <w:p w14:paraId="0D722BF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32</w:t>
            </w:r>
          </w:p>
        </w:tc>
        <w:tc>
          <w:tcPr>
            <w:tcW w:w="3106" w:type="dxa"/>
            <w:shd w:val="clear" w:color="auto" w:fill="FFFFFF"/>
            <w:vAlign w:val="center"/>
          </w:tcPr>
          <w:p w14:paraId="6B1E3A2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104900" cy="114300"/>
                  <wp:effectExtent l="0" t="0" r="7620" b="762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r:embed="rId30"/>
                          <a:stretch>
                            <a:fillRect/>
                          </a:stretch>
                        </pic:blipFill>
                        <pic:spPr>
                          <a:xfrm>
                            <a:off x="0" y="0"/>
                            <a:ext cx="1105054"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247650" cy="114300"/>
                  <wp:effectExtent l="0" t="0" r="11430" b="762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r:embed="rId31"/>
                          <a:stretch>
                            <a:fillRect/>
                          </a:stretch>
                        </pic:blipFill>
                        <pic:spPr>
                          <a:xfrm>
                            <a:off x="0" y="0"/>
                            <a:ext cx="247685" cy="114316"/>
                          </a:xfrm>
                          <a:prstGeom prst="rect">
                            <a:avLst/>
                          </a:prstGeom>
                        </pic:spPr>
                      </pic:pic>
                    </a:graphicData>
                  </a:graphic>
                </wp:inline>
              </w:drawing>
            </w:r>
            <w:r>
              <w:rPr>
                <w:rFonts w:ascii="Times New Roman" w:hAnsi="Times New Roman" w:cs="Times New Roman"/>
                <w:sz w:val="21"/>
                <w:szCs w:val="21"/>
              </w:rPr>
              <w:t>82.05%</w:t>
            </w:r>
          </w:p>
        </w:tc>
      </w:tr>
      <w:tr w14:paraId="4A689C71">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1AFEFF1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较大</w:t>
            </w:r>
          </w:p>
        </w:tc>
        <w:tc>
          <w:tcPr>
            <w:tcW w:w="1000" w:type="dxa"/>
            <w:shd w:val="clear" w:color="auto" w:fill="FAFAFA"/>
            <w:vAlign w:val="center"/>
          </w:tcPr>
          <w:p w14:paraId="154A92A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4</w:t>
            </w:r>
          </w:p>
        </w:tc>
        <w:tc>
          <w:tcPr>
            <w:tcW w:w="3106" w:type="dxa"/>
            <w:shd w:val="clear" w:color="auto" w:fill="FAFAFA"/>
            <w:vAlign w:val="center"/>
          </w:tcPr>
          <w:p w14:paraId="00B6192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3350" cy="114300"/>
                  <wp:effectExtent l="0" t="0" r="3810" b="762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r:embed="rId32"/>
                          <a:stretch>
                            <a:fillRect/>
                          </a:stretch>
                        </pic:blipFill>
                        <pic:spPr>
                          <a:xfrm>
                            <a:off x="0" y="0"/>
                            <a:ext cx="13336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19200" cy="114300"/>
                  <wp:effectExtent l="0" t="0" r="0" b="762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r:embed="rId33"/>
                          <a:stretch>
                            <a:fillRect/>
                          </a:stretch>
                        </pic:blipFill>
                        <pic:spPr>
                          <a:xfrm>
                            <a:off x="0" y="0"/>
                            <a:ext cx="1219370" cy="114316"/>
                          </a:xfrm>
                          <a:prstGeom prst="rect">
                            <a:avLst/>
                          </a:prstGeom>
                        </pic:spPr>
                      </pic:pic>
                    </a:graphicData>
                  </a:graphic>
                </wp:inline>
              </w:drawing>
            </w:r>
            <w:r>
              <w:rPr>
                <w:rFonts w:ascii="Times New Roman" w:hAnsi="Times New Roman" w:cs="Times New Roman"/>
                <w:sz w:val="21"/>
                <w:szCs w:val="21"/>
              </w:rPr>
              <w:t>10.26%</w:t>
            </w:r>
          </w:p>
        </w:tc>
      </w:tr>
      <w:tr w14:paraId="5C6DB310">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0269CF9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w:t>
            </w:r>
          </w:p>
        </w:tc>
        <w:tc>
          <w:tcPr>
            <w:tcW w:w="1000" w:type="dxa"/>
            <w:shd w:val="clear" w:color="auto" w:fill="FFFFFF"/>
            <w:vAlign w:val="center"/>
          </w:tcPr>
          <w:p w14:paraId="3C928D2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07A0FB2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20170D25">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41918FA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很小</w:t>
            </w:r>
          </w:p>
        </w:tc>
        <w:tc>
          <w:tcPr>
            <w:tcW w:w="1000" w:type="dxa"/>
            <w:shd w:val="clear" w:color="auto" w:fill="FAFAFA"/>
            <w:vAlign w:val="center"/>
          </w:tcPr>
          <w:p w14:paraId="3375F04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1</w:t>
            </w:r>
          </w:p>
        </w:tc>
        <w:tc>
          <w:tcPr>
            <w:tcW w:w="3106" w:type="dxa"/>
            <w:shd w:val="clear" w:color="auto" w:fill="FAFAFA"/>
            <w:vAlign w:val="center"/>
          </w:tcPr>
          <w:p w14:paraId="34B18E8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28575" cy="114300"/>
                  <wp:effectExtent l="0" t="0" r="1905" b="762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r:embed="rId28"/>
                          <a:stretch>
                            <a:fillRect/>
                          </a:stretch>
                        </pic:blipFill>
                        <pic:spPr>
                          <a:xfrm>
                            <a:off x="0" y="0"/>
                            <a:ext cx="2857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323975" cy="114300"/>
                  <wp:effectExtent l="0" t="0" r="1905" b="7620"/>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r:embed="rId29"/>
                          <a:stretch>
                            <a:fillRect/>
                          </a:stretch>
                        </pic:blipFill>
                        <pic:spPr>
                          <a:xfrm>
                            <a:off x="0" y="0"/>
                            <a:ext cx="1324160" cy="114316"/>
                          </a:xfrm>
                          <a:prstGeom prst="rect">
                            <a:avLst/>
                          </a:prstGeom>
                        </pic:spPr>
                      </pic:pic>
                    </a:graphicData>
                  </a:graphic>
                </wp:inline>
              </w:drawing>
            </w:r>
            <w:r>
              <w:rPr>
                <w:rFonts w:ascii="Times New Roman" w:hAnsi="Times New Roman" w:cs="Times New Roman"/>
                <w:sz w:val="21"/>
                <w:szCs w:val="21"/>
              </w:rPr>
              <w:t>2.56%</w:t>
            </w:r>
          </w:p>
        </w:tc>
      </w:tr>
      <w:tr w14:paraId="1BA6AA6F">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28E654D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没有帮助</w:t>
            </w:r>
          </w:p>
        </w:tc>
        <w:tc>
          <w:tcPr>
            <w:tcW w:w="1000" w:type="dxa"/>
            <w:shd w:val="clear" w:color="auto" w:fill="FFFFFF"/>
            <w:vAlign w:val="center"/>
          </w:tcPr>
          <w:p w14:paraId="3985622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2</w:t>
            </w:r>
          </w:p>
        </w:tc>
        <w:tc>
          <w:tcPr>
            <w:tcW w:w="3106" w:type="dxa"/>
            <w:shd w:val="clear" w:color="auto" w:fill="FFFFFF"/>
            <w:vAlign w:val="center"/>
          </w:tcPr>
          <w:p w14:paraId="7BEDE4E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66675" cy="114300"/>
                  <wp:effectExtent l="0" t="0" r="9525" b="762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r:embed="rId26"/>
                          <a:stretch>
                            <a:fillRect/>
                          </a:stretch>
                        </pic:blipFill>
                        <pic:spPr>
                          <a:xfrm>
                            <a:off x="0" y="0"/>
                            <a:ext cx="66684"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85875" cy="114300"/>
                  <wp:effectExtent l="0" t="0" r="9525" b="7620"/>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r:embed="rId27"/>
                          <a:stretch>
                            <a:fillRect/>
                          </a:stretch>
                        </pic:blipFill>
                        <pic:spPr>
                          <a:xfrm>
                            <a:off x="0" y="0"/>
                            <a:ext cx="1286055" cy="114316"/>
                          </a:xfrm>
                          <a:prstGeom prst="rect">
                            <a:avLst/>
                          </a:prstGeom>
                        </pic:spPr>
                      </pic:pic>
                    </a:graphicData>
                  </a:graphic>
                </wp:inline>
              </w:drawing>
            </w:r>
            <w:r>
              <w:rPr>
                <w:rFonts w:ascii="Times New Roman" w:hAnsi="Times New Roman" w:cs="Times New Roman"/>
                <w:sz w:val="21"/>
                <w:szCs w:val="21"/>
              </w:rPr>
              <w:t>5.13%</w:t>
            </w:r>
          </w:p>
        </w:tc>
      </w:tr>
      <w:tr w14:paraId="0E67D2AC">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0839AEE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29BEC0F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39</w:t>
            </w:r>
          </w:p>
        </w:tc>
        <w:tc>
          <w:tcPr>
            <w:tcW w:w="3106" w:type="dxa"/>
            <w:shd w:val="clear" w:color="auto" w:fill="F5F5F5"/>
            <w:vAlign w:val="center"/>
          </w:tcPr>
          <w:p w14:paraId="43954F6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53A0BFAD">
      <w:pPr>
        <w:keepNext w:val="0"/>
        <w:keepLines w:val="0"/>
        <w:pageBreakBefore w:val="0"/>
        <w:widowControl w:val="0"/>
        <w:kinsoku/>
        <w:wordWrap/>
        <w:overflowPunct/>
        <w:topLinePunct w:val="0"/>
        <w:autoSpaceDE/>
        <w:autoSpaceDN/>
        <w:bidi w:val="0"/>
        <w:adjustRightInd/>
        <w:snapToGrid/>
        <w:spacing w:line="240" w:lineRule="auto"/>
        <w:textAlignment w:val="auto"/>
      </w:pPr>
    </w:p>
    <w:p w14:paraId="574FC730">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第5题   您认为溪堤建设的以工代赈项目在信息公开方面，如政策、程序、财政等方面做得如何？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75"/>
        <w:gridCol w:w="1085"/>
        <w:gridCol w:w="3162"/>
      </w:tblGrid>
      <w:tr w14:paraId="6F6A2790">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16E490A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31D9B9A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5DBE517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0E704F7C">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7F7BE71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非常满意</w:t>
            </w:r>
          </w:p>
        </w:tc>
        <w:tc>
          <w:tcPr>
            <w:tcW w:w="1000" w:type="dxa"/>
            <w:shd w:val="clear" w:color="auto" w:fill="FFFFFF"/>
            <w:vAlign w:val="center"/>
          </w:tcPr>
          <w:p w14:paraId="34F606A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34</w:t>
            </w:r>
          </w:p>
        </w:tc>
        <w:tc>
          <w:tcPr>
            <w:tcW w:w="3106" w:type="dxa"/>
            <w:shd w:val="clear" w:color="auto" w:fill="FFFFFF"/>
            <w:vAlign w:val="center"/>
          </w:tcPr>
          <w:p w14:paraId="6192D77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171575" cy="114300"/>
                  <wp:effectExtent l="0" t="0" r="1905" b="762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r:embed="rId34"/>
                          <a:stretch>
                            <a:fillRect/>
                          </a:stretch>
                        </pic:blipFill>
                        <pic:spPr>
                          <a:xfrm>
                            <a:off x="0" y="0"/>
                            <a:ext cx="117173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80975" cy="114300"/>
                  <wp:effectExtent l="0" t="0" r="1905" b="7620"/>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r:embed="rId35"/>
                          <a:stretch>
                            <a:fillRect/>
                          </a:stretch>
                        </pic:blipFill>
                        <pic:spPr>
                          <a:xfrm>
                            <a:off x="0" y="0"/>
                            <a:ext cx="181000" cy="114316"/>
                          </a:xfrm>
                          <a:prstGeom prst="rect">
                            <a:avLst/>
                          </a:prstGeom>
                        </pic:spPr>
                      </pic:pic>
                    </a:graphicData>
                  </a:graphic>
                </wp:inline>
              </w:drawing>
            </w:r>
            <w:r>
              <w:rPr>
                <w:rFonts w:ascii="Times New Roman" w:hAnsi="Times New Roman" w:cs="Times New Roman"/>
                <w:sz w:val="21"/>
                <w:szCs w:val="21"/>
              </w:rPr>
              <w:t>87.18%</w:t>
            </w:r>
          </w:p>
        </w:tc>
      </w:tr>
      <w:tr w14:paraId="2558A110">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5331074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满意</w:t>
            </w:r>
          </w:p>
        </w:tc>
        <w:tc>
          <w:tcPr>
            <w:tcW w:w="1000" w:type="dxa"/>
            <w:shd w:val="clear" w:color="auto" w:fill="FAFAFA"/>
            <w:vAlign w:val="center"/>
          </w:tcPr>
          <w:p w14:paraId="1C29E28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w:t>
            </w:r>
          </w:p>
        </w:tc>
        <w:tc>
          <w:tcPr>
            <w:tcW w:w="3106" w:type="dxa"/>
            <w:shd w:val="clear" w:color="auto" w:fill="FAFAFA"/>
            <w:vAlign w:val="center"/>
          </w:tcPr>
          <w:p w14:paraId="61AB666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95250" cy="114300"/>
                  <wp:effectExtent l="0" t="0" r="11430" b="762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r:embed="rId19"/>
                          <a:stretch>
                            <a:fillRect/>
                          </a:stretch>
                        </pic:blipFill>
                        <pic:spPr>
                          <a:xfrm>
                            <a:off x="0" y="0"/>
                            <a:ext cx="95263"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57300" cy="114300"/>
                  <wp:effectExtent l="0" t="0" r="7620" b="762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r:embed="rId20"/>
                          <a:stretch>
                            <a:fillRect/>
                          </a:stretch>
                        </pic:blipFill>
                        <pic:spPr>
                          <a:xfrm>
                            <a:off x="0" y="0"/>
                            <a:ext cx="1257476" cy="114316"/>
                          </a:xfrm>
                          <a:prstGeom prst="rect">
                            <a:avLst/>
                          </a:prstGeom>
                        </pic:spPr>
                      </pic:pic>
                    </a:graphicData>
                  </a:graphic>
                </wp:inline>
              </w:drawing>
            </w:r>
            <w:r>
              <w:rPr>
                <w:rFonts w:ascii="Times New Roman" w:hAnsi="Times New Roman" w:cs="Times New Roman"/>
                <w:sz w:val="21"/>
                <w:szCs w:val="21"/>
              </w:rPr>
              <w:t>7.69%</w:t>
            </w:r>
          </w:p>
        </w:tc>
      </w:tr>
      <w:tr w14:paraId="34DE463D">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2ECA442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一般</w:t>
            </w:r>
          </w:p>
        </w:tc>
        <w:tc>
          <w:tcPr>
            <w:tcW w:w="1000" w:type="dxa"/>
            <w:shd w:val="clear" w:color="auto" w:fill="FFFFFF"/>
            <w:vAlign w:val="center"/>
          </w:tcPr>
          <w:p w14:paraId="6E77D20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2</w:t>
            </w:r>
          </w:p>
        </w:tc>
        <w:tc>
          <w:tcPr>
            <w:tcW w:w="3106" w:type="dxa"/>
            <w:shd w:val="clear" w:color="auto" w:fill="FFFFFF"/>
            <w:vAlign w:val="center"/>
          </w:tcPr>
          <w:p w14:paraId="4AED2CB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66675" cy="114300"/>
                  <wp:effectExtent l="0" t="0" r="9525" b="762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r:embed="rId26"/>
                          <a:stretch>
                            <a:fillRect/>
                          </a:stretch>
                        </pic:blipFill>
                        <pic:spPr>
                          <a:xfrm>
                            <a:off x="0" y="0"/>
                            <a:ext cx="66684"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85875" cy="114300"/>
                  <wp:effectExtent l="0" t="0" r="9525" b="7620"/>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pic:cNvPicPr>
                            <a:picLocks noChangeAspect="1"/>
                          </pic:cNvPicPr>
                        </pic:nvPicPr>
                        <pic:blipFill>
                          <a:blip r:embed="rId27"/>
                          <a:stretch>
                            <a:fillRect/>
                          </a:stretch>
                        </pic:blipFill>
                        <pic:spPr>
                          <a:xfrm>
                            <a:off x="0" y="0"/>
                            <a:ext cx="1286055" cy="114316"/>
                          </a:xfrm>
                          <a:prstGeom prst="rect">
                            <a:avLst/>
                          </a:prstGeom>
                        </pic:spPr>
                      </pic:pic>
                    </a:graphicData>
                  </a:graphic>
                </wp:inline>
              </w:drawing>
            </w:r>
            <w:r>
              <w:rPr>
                <w:rFonts w:ascii="Times New Roman" w:hAnsi="Times New Roman" w:cs="Times New Roman"/>
                <w:sz w:val="21"/>
                <w:szCs w:val="21"/>
              </w:rPr>
              <w:t>5.13%</w:t>
            </w:r>
          </w:p>
        </w:tc>
      </w:tr>
      <w:tr w14:paraId="108E33DA">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2B6B06F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不满意</w:t>
            </w:r>
          </w:p>
        </w:tc>
        <w:tc>
          <w:tcPr>
            <w:tcW w:w="1000" w:type="dxa"/>
            <w:shd w:val="clear" w:color="auto" w:fill="FAFAFA"/>
            <w:vAlign w:val="center"/>
          </w:tcPr>
          <w:p w14:paraId="6EE4173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4E642C7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77739D8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082264A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非常不满意</w:t>
            </w:r>
          </w:p>
        </w:tc>
        <w:tc>
          <w:tcPr>
            <w:tcW w:w="1000" w:type="dxa"/>
            <w:shd w:val="clear" w:color="auto" w:fill="FFFFFF"/>
            <w:vAlign w:val="center"/>
          </w:tcPr>
          <w:p w14:paraId="30802B4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52EBA58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2A9DA17C">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258D164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7E76D9C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39</w:t>
            </w:r>
          </w:p>
        </w:tc>
        <w:tc>
          <w:tcPr>
            <w:tcW w:w="3106" w:type="dxa"/>
            <w:shd w:val="clear" w:color="auto" w:fill="F5F5F5"/>
            <w:vAlign w:val="center"/>
          </w:tcPr>
          <w:p w14:paraId="0A05544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4E069703">
      <w:pPr>
        <w:keepNext w:val="0"/>
        <w:keepLines w:val="0"/>
        <w:pageBreakBefore w:val="0"/>
        <w:widowControl w:val="0"/>
        <w:kinsoku/>
        <w:wordWrap/>
        <w:overflowPunct/>
        <w:topLinePunct w:val="0"/>
        <w:autoSpaceDE/>
        <w:autoSpaceDN/>
        <w:bidi w:val="0"/>
        <w:adjustRightInd/>
        <w:snapToGrid/>
        <w:spacing w:line="240" w:lineRule="auto"/>
        <w:textAlignment w:val="auto"/>
      </w:pPr>
    </w:p>
    <w:p w14:paraId="7FC0C70C">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第6题   您认为溪堤建设对促进本地农业发展方面作用如何？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75"/>
        <w:gridCol w:w="1085"/>
        <w:gridCol w:w="3162"/>
      </w:tblGrid>
      <w:tr w14:paraId="7E6166BD">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78A90D3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36F5FCD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1279FAD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09142420">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805C44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很大</w:t>
            </w:r>
          </w:p>
        </w:tc>
        <w:tc>
          <w:tcPr>
            <w:tcW w:w="1000" w:type="dxa"/>
            <w:shd w:val="clear" w:color="auto" w:fill="FFFFFF"/>
            <w:vAlign w:val="center"/>
          </w:tcPr>
          <w:p w14:paraId="581FEF7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37</w:t>
            </w:r>
          </w:p>
        </w:tc>
        <w:tc>
          <w:tcPr>
            <w:tcW w:w="3106" w:type="dxa"/>
            <w:shd w:val="clear" w:color="auto" w:fill="FFFFFF"/>
            <w:vAlign w:val="center"/>
          </w:tcPr>
          <w:p w14:paraId="0AF3B4C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276350" cy="114300"/>
                  <wp:effectExtent l="0" t="0" r="3810" b="762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r:embed="rId36"/>
                          <a:stretch>
                            <a:fillRect/>
                          </a:stretch>
                        </pic:blipFill>
                        <pic:spPr>
                          <a:xfrm>
                            <a:off x="0" y="0"/>
                            <a:ext cx="1276528"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76200" cy="114300"/>
                  <wp:effectExtent l="0" t="0" r="0" b="7620"/>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pic:cNvPicPr>
                            <a:picLocks noChangeAspect="1"/>
                          </pic:cNvPicPr>
                        </pic:nvPicPr>
                        <pic:blipFill>
                          <a:blip r:embed="rId37"/>
                          <a:stretch>
                            <a:fillRect/>
                          </a:stretch>
                        </pic:blipFill>
                        <pic:spPr>
                          <a:xfrm>
                            <a:off x="0" y="0"/>
                            <a:ext cx="76211" cy="114316"/>
                          </a:xfrm>
                          <a:prstGeom prst="rect">
                            <a:avLst/>
                          </a:prstGeom>
                        </pic:spPr>
                      </pic:pic>
                    </a:graphicData>
                  </a:graphic>
                </wp:inline>
              </w:drawing>
            </w:r>
            <w:r>
              <w:rPr>
                <w:rFonts w:ascii="Times New Roman" w:hAnsi="Times New Roman" w:cs="Times New Roman"/>
                <w:sz w:val="21"/>
                <w:szCs w:val="21"/>
              </w:rPr>
              <w:t>94.87%</w:t>
            </w:r>
          </w:p>
        </w:tc>
      </w:tr>
      <w:tr w14:paraId="6B73F5F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473E9B4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较大</w:t>
            </w:r>
          </w:p>
        </w:tc>
        <w:tc>
          <w:tcPr>
            <w:tcW w:w="1000" w:type="dxa"/>
            <w:shd w:val="clear" w:color="auto" w:fill="FAFAFA"/>
            <w:vAlign w:val="center"/>
          </w:tcPr>
          <w:p w14:paraId="67917B9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2</w:t>
            </w:r>
          </w:p>
        </w:tc>
        <w:tc>
          <w:tcPr>
            <w:tcW w:w="3106" w:type="dxa"/>
            <w:shd w:val="clear" w:color="auto" w:fill="FAFAFA"/>
            <w:vAlign w:val="center"/>
          </w:tcPr>
          <w:p w14:paraId="0C48C8F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66675" cy="114300"/>
                  <wp:effectExtent l="0" t="0" r="9525" b="762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r:embed="rId26"/>
                          <a:stretch>
                            <a:fillRect/>
                          </a:stretch>
                        </pic:blipFill>
                        <pic:spPr>
                          <a:xfrm>
                            <a:off x="0" y="0"/>
                            <a:ext cx="66684"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85875" cy="114300"/>
                  <wp:effectExtent l="0" t="0" r="9525" b="7620"/>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r:embed="rId27"/>
                          <a:stretch>
                            <a:fillRect/>
                          </a:stretch>
                        </pic:blipFill>
                        <pic:spPr>
                          <a:xfrm>
                            <a:off x="0" y="0"/>
                            <a:ext cx="1286055" cy="114316"/>
                          </a:xfrm>
                          <a:prstGeom prst="rect">
                            <a:avLst/>
                          </a:prstGeom>
                        </pic:spPr>
                      </pic:pic>
                    </a:graphicData>
                  </a:graphic>
                </wp:inline>
              </w:drawing>
            </w:r>
            <w:r>
              <w:rPr>
                <w:rFonts w:ascii="Times New Roman" w:hAnsi="Times New Roman" w:cs="Times New Roman"/>
                <w:sz w:val="21"/>
                <w:szCs w:val="21"/>
              </w:rPr>
              <w:t>5.13%</w:t>
            </w:r>
          </w:p>
        </w:tc>
      </w:tr>
      <w:tr w14:paraId="104D2DDA">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000CF2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w:t>
            </w:r>
          </w:p>
        </w:tc>
        <w:tc>
          <w:tcPr>
            <w:tcW w:w="1000" w:type="dxa"/>
            <w:shd w:val="clear" w:color="auto" w:fill="FFFFFF"/>
            <w:vAlign w:val="center"/>
          </w:tcPr>
          <w:p w14:paraId="76EBADF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1BB2BFA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23B9A27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1F7C1F9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很小</w:t>
            </w:r>
          </w:p>
        </w:tc>
        <w:tc>
          <w:tcPr>
            <w:tcW w:w="1000" w:type="dxa"/>
            <w:shd w:val="clear" w:color="auto" w:fill="FAFAFA"/>
            <w:vAlign w:val="center"/>
          </w:tcPr>
          <w:p w14:paraId="734AAB6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724EAF6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0" name="图片 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0" name="图片 100040"/>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B19B4B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607EB3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没有作用</w:t>
            </w:r>
          </w:p>
        </w:tc>
        <w:tc>
          <w:tcPr>
            <w:tcW w:w="1000" w:type="dxa"/>
            <w:shd w:val="clear" w:color="auto" w:fill="FFFFFF"/>
            <w:vAlign w:val="center"/>
          </w:tcPr>
          <w:p w14:paraId="6BC4CCF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6E775D0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5AAD9256">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5655F5C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5A31838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39</w:t>
            </w:r>
          </w:p>
        </w:tc>
        <w:tc>
          <w:tcPr>
            <w:tcW w:w="3106" w:type="dxa"/>
            <w:shd w:val="clear" w:color="auto" w:fill="F5F5F5"/>
            <w:vAlign w:val="center"/>
          </w:tcPr>
          <w:p w14:paraId="652932D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17E3E45D">
      <w:pPr>
        <w:keepNext w:val="0"/>
        <w:keepLines w:val="0"/>
        <w:pageBreakBefore w:val="0"/>
        <w:widowControl w:val="0"/>
        <w:kinsoku/>
        <w:wordWrap/>
        <w:overflowPunct/>
        <w:topLinePunct w:val="0"/>
        <w:autoSpaceDE/>
        <w:autoSpaceDN/>
        <w:bidi w:val="0"/>
        <w:adjustRightInd/>
        <w:snapToGrid/>
        <w:spacing w:line="240" w:lineRule="auto"/>
        <w:textAlignment w:val="auto"/>
      </w:pPr>
    </w:p>
    <w:p w14:paraId="0D5DB3DB">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第7题   您认为溪堤建设对本地生态环境改善方面作用如何？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75"/>
        <w:gridCol w:w="1085"/>
        <w:gridCol w:w="3162"/>
      </w:tblGrid>
      <w:tr w14:paraId="38BA8E79">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14A7595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4564FF4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6D041BC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0C540AE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6FF1573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很大</w:t>
            </w:r>
          </w:p>
        </w:tc>
        <w:tc>
          <w:tcPr>
            <w:tcW w:w="1000" w:type="dxa"/>
            <w:shd w:val="clear" w:color="auto" w:fill="FFFFFF"/>
            <w:vAlign w:val="center"/>
          </w:tcPr>
          <w:p w14:paraId="4FB0A0D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36</w:t>
            </w:r>
          </w:p>
        </w:tc>
        <w:tc>
          <w:tcPr>
            <w:tcW w:w="3106" w:type="dxa"/>
            <w:shd w:val="clear" w:color="auto" w:fill="FFFFFF"/>
            <w:vAlign w:val="center"/>
          </w:tcPr>
          <w:p w14:paraId="7DF4F0C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247775" cy="114300"/>
                  <wp:effectExtent l="0" t="0" r="1905" b="7620"/>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图片 100042"/>
                          <pic:cNvPicPr>
                            <a:picLocks noChangeAspect="1"/>
                          </pic:cNvPicPr>
                        </pic:nvPicPr>
                        <pic:blipFill>
                          <a:blip r:embed="rId38"/>
                          <a:stretch>
                            <a:fillRect/>
                          </a:stretch>
                        </pic:blipFill>
                        <pic:spPr>
                          <a:xfrm>
                            <a:off x="0" y="0"/>
                            <a:ext cx="124794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04775" cy="114300"/>
                  <wp:effectExtent l="0" t="0" r="1905" b="762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r:embed="rId39"/>
                          <a:stretch>
                            <a:fillRect/>
                          </a:stretch>
                        </pic:blipFill>
                        <pic:spPr>
                          <a:xfrm>
                            <a:off x="0" y="0"/>
                            <a:ext cx="104790" cy="114316"/>
                          </a:xfrm>
                          <a:prstGeom prst="rect">
                            <a:avLst/>
                          </a:prstGeom>
                        </pic:spPr>
                      </pic:pic>
                    </a:graphicData>
                  </a:graphic>
                </wp:inline>
              </w:drawing>
            </w:r>
            <w:r>
              <w:rPr>
                <w:rFonts w:ascii="Times New Roman" w:hAnsi="Times New Roman" w:cs="Times New Roman"/>
                <w:sz w:val="21"/>
                <w:szCs w:val="21"/>
              </w:rPr>
              <w:t>92.31%</w:t>
            </w:r>
          </w:p>
        </w:tc>
      </w:tr>
      <w:tr w14:paraId="2FC40BC1">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320A14B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较大</w:t>
            </w:r>
          </w:p>
        </w:tc>
        <w:tc>
          <w:tcPr>
            <w:tcW w:w="1000" w:type="dxa"/>
            <w:shd w:val="clear" w:color="auto" w:fill="FAFAFA"/>
            <w:vAlign w:val="center"/>
          </w:tcPr>
          <w:p w14:paraId="1236CC1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w:t>
            </w:r>
          </w:p>
        </w:tc>
        <w:tc>
          <w:tcPr>
            <w:tcW w:w="3106" w:type="dxa"/>
            <w:shd w:val="clear" w:color="auto" w:fill="FAFAFA"/>
            <w:vAlign w:val="center"/>
          </w:tcPr>
          <w:p w14:paraId="3323A28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95250" cy="114300"/>
                  <wp:effectExtent l="0" t="0" r="11430" b="7620"/>
                  <wp:docPr id="100044" name="图片 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pic:cNvPicPr>
                            <a:picLocks noChangeAspect="1"/>
                          </pic:cNvPicPr>
                        </pic:nvPicPr>
                        <pic:blipFill>
                          <a:blip r:embed="rId19"/>
                          <a:stretch>
                            <a:fillRect/>
                          </a:stretch>
                        </pic:blipFill>
                        <pic:spPr>
                          <a:xfrm>
                            <a:off x="0" y="0"/>
                            <a:ext cx="95263"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57300" cy="114300"/>
                  <wp:effectExtent l="0" t="0" r="7620" b="762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pic:cNvPicPr>
                            <a:picLocks noChangeAspect="1"/>
                          </pic:cNvPicPr>
                        </pic:nvPicPr>
                        <pic:blipFill>
                          <a:blip r:embed="rId20"/>
                          <a:stretch>
                            <a:fillRect/>
                          </a:stretch>
                        </pic:blipFill>
                        <pic:spPr>
                          <a:xfrm>
                            <a:off x="0" y="0"/>
                            <a:ext cx="1257476" cy="114316"/>
                          </a:xfrm>
                          <a:prstGeom prst="rect">
                            <a:avLst/>
                          </a:prstGeom>
                        </pic:spPr>
                      </pic:pic>
                    </a:graphicData>
                  </a:graphic>
                </wp:inline>
              </w:drawing>
            </w:r>
            <w:r>
              <w:rPr>
                <w:rFonts w:ascii="Times New Roman" w:hAnsi="Times New Roman" w:cs="Times New Roman"/>
                <w:sz w:val="21"/>
                <w:szCs w:val="21"/>
              </w:rPr>
              <w:t>7.69%</w:t>
            </w:r>
          </w:p>
        </w:tc>
      </w:tr>
      <w:tr w14:paraId="4AA40B1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840A56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w:t>
            </w:r>
          </w:p>
        </w:tc>
        <w:tc>
          <w:tcPr>
            <w:tcW w:w="1000" w:type="dxa"/>
            <w:shd w:val="clear" w:color="auto" w:fill="FFFFFF"/>
            <w:vAlign w:val="center"/>
          </w:tcPr>
          <w:p w14:paraId="7993A6E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6B12F85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6" name="图片 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图片 100046"/>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3CF0EE3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7F4E98D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很小</w:t>
            </w:r>
          </w:p>
        </w:tc>
        <w:tc>
          <w:tcPr>
            <w:tcW w:w="1000" w:type="dxa"/>
            <w:shd w:val="clear" w:color="auto" w:fill="FAFAFA"/>
            <w:vAlign w:val="center"/>
          </w:tcPr>
          <w:p w14:paraId="142A924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3B9C92A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3386C92B">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1EC90B3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没有作用</w:t>
            </w:r>
          </w:p>
        </w:tc>
        <w:tc>
          <w:tcPr>
            <w:tcW w:w="1000" w:type="dxa"/>
            <w:shd w:val="clear" w:color="auto" w:fill="FFFFFF"/>
            <w:vAlign w:val="center"/>
          </w:tcPr>
          <w:p w14:paraId="0629E09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40CAE2B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48" name="图片 100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8" name="图片 100048"/>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884F007">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50EC22F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23CE940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39</w:t>
            </w:r>
          </w:p>
        </w:tc>
        <w:tc>
          <w:tcPr>
            <w:tcW w:w="3106" w:type="dxa"/>
            <w:shd w:val="clear" w:color="auto" w:fill="F5F5F5"/>
            <w:vAlign w:val="center"/>
          </w:tcPr>
          <w:p w14:paraId="07926D2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66299B6F">
      <w:pPr>
        <w:keepNext w:val="0"/>
        <w:keepLines w:val="0"/>
        <w:pageBreakBefore w:val="0"/>
        <w:widowControl w:val="0"/>
        <w:kinsoku/>
        <w:wordWrap/>
        <w:overflowPunct/>
        <w:topLinePunct w:val="0"/>
        <w:autoSpaceDE/>
        <w:autoSpaceDN/>
        <w:bidi w:val="0"/>
        <w:adjustRightInd/>
        <w:snapToGrid/>
        <w:spacing w:line="240" w:lineRule="auto"/>
        <w:textAlignment w:val="auto"/>
      </w:pPr>
    </w:p>
    <w:p w14:paraId="2435F0AB">
      <w:pPr>
        <w:keepNext w:val="0"/>
        <w:keepLines w:val="0"/>
        <w:pageBreakBefore w:val="0"/>
        <w:widowControl w:val="0"/>
        <w:kinsoku/>
        <w:wordWrap/>
        <w:overflowPunct/>
        <w:topLinePunct w:val="0"/>
        <w:autoSpaceDE/>
        <w:autoSpaceDN/>
        <w:bidi w:val="0"/>
        <w:adjustRightInd/>
        <w:snapToGrid/>
        <w:spacing w:line="240" w:lineRule="auto"/>
        <w:textAlignment w:val="auto"/>
        <w:rPr>
          <w:b w:val="0"/>
          <w:color w:val="0066FF"/>
          <w:sz w:val="24"/>
        </w:rPr>
      </w:pPr>
      <w:r>
        <w:rPr>
          <w:b w:val="0"/>
          <w:color w:val="000000"/>
          <w:sz w:val="24"/>
        </w:rPr>
        <w:t xml:space="preserve">第8题   您对溪堤建设实施的整体满意度如何？      </w:t>
      </w:r>
      <w:r>
        <w:rPr>
          <w:b w:val="0"/>
          <w:color w:val="0066FF"/>
          <w:sz w:val="24"/>
        </w:rPr>
        <w:t>[单选题]</w:t>
      </w:r>
    </w:p>
    <w:tbl>
      <w:tblPr>
        <w:tblStyle w:val="12"/>
        <w:tblW w:w="5000" w:type="pct"/>
        <w:tblInd w:w="0" w:type="dxa"/>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Layout w:type="autofit"/>
        <w:tblCellMar>
          <w:top w:w="0" w:type="dxa"/>
          <w:left w:w="108" w:type="dxa"/>
          <w:bottom w:w="0" w:type="dxa"/>
          <w:right w:w="108" w:type="dxa"/>
        </w:tblCellMar>
      </w:tblPr>
      <w:tblGrid>
        <w:gridCol w:w="4275"/>
        <w:gridCol w:w="1085"/>
        <w:gridCol w:w="3162"/>
      </w:tblGrid>
      <w:tr w14:paraId="6AF25C71">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209E2A4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选项</w:t>
            </w:r>
          </w:p>
        </w:tc>
        <w:tc>
          <w:tcPr>
            <w:tcW w:w="1000" w:type="dxa"/>
            <w:shd w:val="clear" w:color="auto" w:fill="F5F5F5"/>
            <w:vAlign w:val="center"/>
          </w:tcPr>
          <w:p w14:paraId="229EF8E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小计</w:t>
            </w:r>
          </w:p>
        </w:tc>
        <w:tc>
          <w:tcPr>
            <w:tcW w:w="3106" w:type="dxa"/>
            <w:shd w:val="clear" w:color="auto" w:fill="F5F5F5"/>
            <w:vAlign w:val="center"/>
          </w:tcPr>
          <w:p w14:paraId="2C79663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比例</w:t>
            </w:r>
          </w:p>
        </w:tc>
      </w:tr>
      <w:tr w14:paraId="0B36B85D">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3FDF25B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非常满意</w:t>
            </w:r>
          </w:p>
        </w:tc>
        <w:tc>
          <w:tcPr>
            <w:tcW w:w="1000" w:type="dxa"/>
            <w:shd w:val="clear" w:color="auto" w:fill="FFFFFF"/>
            <w:vAlign w:val="center"/>
          </w:tcPr>
          <w:p w14:paraId="06DE19E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36</w:t>
            </w:r>
          </w:p>
        </w:tc>
        <w:tc>
          <w:tcPr>
            <w:tcW w:w="3106" w:type="dxa"/>
            <w:shd w:val="clear" w:color="auto" w:fill="FFFFFF"/>
            <w:vAlign w:val="center"/>
          </w:tcPr>
          <w:p w14:paraId="0F5BD61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247775" cy="114300"/>
                  <wp:effectExtent l="0" t="0" r="1905" b="7620"/>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pic:cNvPicPr>
                            <a:picLocks noChangeAspect="1"/>
                          </pic:cNvPicPr>
                        </pic:nvPicPr>
                        <pic:blipFill>
                          <a:blip r:embed="rId38"/>
                          <a:stretch>
                            <a:fillRect/>
                          </a:stretch>
                        </pic:blipFill>
                        <pic:spPr>
                          <a:xfrm>
                            <a:off x="0" y="0"/>
                            <a:ext cx="1247949"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04775" cy="114300"/>
                  <wp:effectExtent l="0" t="0" r="1905" b="7620"/>
                  <wp:docPr id="100050" name="图片 10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pic:cNvPicPr>
                            <a:picLocks noChangeAspect="1"/>
                          </pic:cNvPicPr>
                        </pic:nvPicPr>
                        <pic:blipFill>
                          <a:blip r:embed="rId39"/>
                          <a:stretch>
                            <a:fillRect/>
                          </a:stretch>
                        </pic:blipFill>
                        <pic:spPr>
                          <a:xfrm>
                            <a:off x="0" y="0"/>
                            <a:ext cx="104790" cy="114316"/>
                          </a:xfrm>
                          <a:prstGeom prst="rect">
                            <a:avLst/>
                          </a:prstGeom>
                        </pic:spPr>
                      </pic:pic>
                    </a:graphicData>
                  </a:graphic>
                </wp:inline>
              </w:drawing>
            </w:r>
            <w:r>
              <w:rPr>
                <w:rFonts w:ascii="Times New Roman" w:hAnsi="Times New Roman" w:cs="Times New Roman"/>
                <w:sz w:val="21"/>
                <w:szCs w:val="21"/>
              </w:rPr>
              <w:t>92.31%</w:t>
            </w:r>
          </w:p>
        </w:tc>
      </w:tr>
      <w:tr w14:paraId="0FB30308">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6E0371B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满意</w:t>
            </w:r>
          </w:p>
        </w:tc>
        <w:tc>
          <w:tcPr>
            <w:tcW w:w="1000" w:type="dxa"/>
            <w:shd w:val="clear" w:color="auto" w:fill="FAFAFA"/>
            <w:vAlign w:val="center"/>
          </w:tcPr>
          <w:p w14:paraId="36B5829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w:t>
            </w:r>
          </w:p>
        </w:tc>
        <w:tc>
          <w:tcPr>
            <w:tcW w:w="3106" w:type="dxa"/>
            <w:shd w:val="clear" w:color="auto" w:fill="FAFAFA"/>
            <w:vAlign w:val="center"/>
          </w:tcPr>
          <w:p w14:paraId="47587DD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95250" cy="114300"/>
                  <wp:effectExtent l="0" t="0" r="11430" b="7620"/>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pic:cNvPicPr>
                        </pic:nvPicPr>
                        <pic:blipFill>
                          <a:blip r:embed="rId19"/>
                          <a:stretch>
                            <a:fillRect/>
                          </a:stretch>
                        </pic:blipFill>
                        <pic:spPr>
                          <a:xfrm>
                            <a:off x="0" y="0"/>
                            <a:ext cx="95263" cy="114316"/>
                          </a:xfrm>
                          <a:prstGeom prst="rect">
                            <a:avLst/>
                          </a:prstGeom>
                        </pic:spPr>
                      </pic:pic>
                    </a:graphicData>
                  </a:graphic>
                </wp:inline>
              </w:drawing>
            </w:r>
            <w:r>
              <w:rPr>
                <w:rFonts w:ascii="Times New Roman" w:hAnsi="Times New Roman" w:cs="Times New Roman"/>
                <w:sz w:val="21"/>
                <w:szCs w:val="21"/>
              </w:rPr>
              <w:drawing>
                <wp:inline distT="0" distB="0" distL="114300" distR="114300">
                  <wp:extent cx="1257300" cy="114300"/>
                  <wp:effectExtent l="0" t="0" r="7620" b="7620"/>
                  <wp:docPr id="100052" name="图片 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2" name="图片 100052"/>
                          <pic:cNvPicPr>
                            <a:picLocks noChangeAspect="1"/>
                          </pic:cNvPicPr>
                        </pic:nvPicPr>
                        <pic:blipFill>
                          <a:blip r:embed="rId20"/>
                          <a:stretch>
                            <a:fillRect/>
                          </a:stretch>
                        </pic:blipFill>
                        <pic:spPr>
                          <a:xfrm>
                            <a:off x="0" y="0"/>
                            <a:ext cx="1257476" cy="114316"/>
                          </a:xfrm>
                          <a:prstGeom prst="rect">
                            <a:avLst/>
                          </a:prstGeom>
                        </pic:spPr>
                      </pic:pic>
                    </a:graphicData>
                  </a:graphic>
                </wp:inline>
              </w:drawing>
            </w:r>
            <w:r>
              <w:rPr>
                <w:rFonts w:ascii="Times New Roman" w:hAnsi="Times New Roman" w:cs="Times New Roman"/>
                <w:sz w:val="21"/>
                <w:szCs w:val="21"/>
              </w:rPr>
              <w:t>7.69%</w:t>
            </w:r>
          </w:p>
        </w:tc>
      </w:tr>
      <w:tr w14:paraId="19EA0402">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5CAD0E8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一般</w:t>
            </w:r>
          </w:p>
        </w:tc>
        <w:tc>
          <w:tcPr>
            <w:tcW w:w="1000" w:type="dxa"/>
            <w:shd w:val="clear" w:color="auto" w:fill="FFFFFF"/>
            <w:vAlign w:val="center"/>
          </w:tcPr>
          <w:p w14:paraId="0FE895E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6504314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5EB2C09">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AFAFA"/>
            <w:vAlign w:val="center"/>
          </w:tcPr>
          <w:p w14:paraId="1A4FA98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不满意</w:t>
            </w:r>
          </w:p>
        </w:tc>
        <w:tc>
          <w:tcPr>
            <w:tcW w:w="1000" w:type="dxa"/>
            <w:shd w:val="clear" w:color="auto" w:fill="FAFAFA"/>
            <w:vAlign w:val="center"/>
          </w:tcPr>
          <w:p w14:paraId="57C552B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AFAFA"/>
            <w:vAlign w:val="center"/>
          </w:tcPr>
          <w:p w14:paraId="39F5710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54" name="图片 10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4" name="图片 100054"/>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0AE698E5">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FFFFF"/>
            <w:vAlign w:val="center"/>
          </w:tcPr>
          <w:p w14:paraId="2AF837D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非常不满意</w:t>
            </w:r>
          </w:p>
        </w:tc>
        <w:tc>
          <w:tcPr>
            <w:tcW w:w="1000" w:type="dxa"/>
            <w:shd w:val="clear" w:color="auto" w:fill="FFFFFF"/>
            <w:vAlign w:val="center"/>
          </w:tcPr>
          <w:p w14:paraId="1D57053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0</w:t>
            </w:r>
          </w:p>
        </w:tc>
        <w:tc>
          <w:tcPr>
            <w:tcW w:w="3106" w:type="dxa"/>
            <w:shd w:val="clear" w:color="auto" w:fill="FFFFFF"/>
            <w:vAlign w:val="center"/>
          </w:tcPr>
          <w:p w14:paraId="164A3E6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1352550" cy="114300"/>
                  <wp:effectExtent l="0" t="0" r="3810" b="762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r:embed="rId21"/>
                          <a:stretch>
                            <a:fillRect/>
                          </a:stretch>
                        </pic:blipFill>
                        <pic:spPr>
                          <a:xfrm>
                            <a:off x="0" y="0"/>
                            <a:ext cx="1352739" cy="114316"/>
                          </a:xfrm>
                          <a:prstGeom prst="rect">
                            <a:avLst/>
                          </a:prstGeom>
                        </pic:spPr>
                      </pic:pic>
                    </a:graphicData>
                  </a:graphic>
                </wp:inline>
              </w:drawing>
            </w:r>
            <w:r>
              <w:rPr>
                <w:rFonts w:ascii="Times New Roman" w:hAnsi="Times New Roman" w:cs="Times New Roman"/>
                <w:sz w:val="21"/>
                <w:szCs w:val="21"/>
              </w:rPr>
              <w:t>0%</w:t>
            </w:r>
          </w:p>
        </w:tc>
      </w:tr>
      <w:tr w14:paraId="309CE514">
        <w:tblPrEx>
          <w:tblBorders>
            <w:top w:val="single" w:color="E0E0E0" w:sz="4" w:space="0"/>
            <w:left w:val="single" w:color="E0E0E0" w:sz="4" w:space="0"/>
            <w:bottom w:val="single" w:color="E0E0E0" w:sz="4" w:space="0"/>
            <w:right w:val="single" w:color="E0E0E0" w:sz="4" w:space="0"/>
            <w:insideH w:val="single" w:color="E0E0E0" w:sz="4" w:space="0"/>
            <w:insideV w:val="single" w:color="E0E0E0" w:sz="4" w:space="0"/>
          </w:tblBorders>
          <w:tblCellMar>
            <w:top w:w="0" w:type="dxa"/>
            <w:left w:w="108" w:type="dxa"/>
            <w:bottom w:w="0" w:type="dxa"/>
            <w:right w:w="108" w:type="dxa"/>
          </w:tblCellMar>
        </w:tblPrEx>
        <w:trPr>
          <w:trHeight w:val="500" w:hRule="atLeast"/>
        </w:trPr>
        <w:tc>
          <w:tcPr>
            <w:tcW w:w="4200" w:type="dxa"/>
            <w:shd w:val="clear" w:color="auto" w:fill="F5F5F5"/>
            <w:vAlign w:val="center"/>
          </w:tcPr>
          <w:p w14:paraId="361B191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本题有效填写人次</w:t>
            </w:r>
          </w:p>
        </w:tc>
        <w:tc>
          <w:tcPr>
            <w:tcW w:w="1000" w:type="dxa"/>
            <w:shd w:val="clear" w:color="auto" w:fill="F5F5F5"/>
            <w:vAlign w:val="center"/>
          </w:tcPr>
          <w:p w14:paraId="2539767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r>
              <w:rPr>
                <w:rFonts w:ascii="Times New Roman" w:hAnsi="Times New Roman" w:cs="Times New Roman"/>
                <w:sz w:val="21"/>
                <w:szCs w:val="21"/>
              </w:rPr>
              <w:t>39</w:t>
            </w:r>
          </w:p>
        </w:tc>
        <w:tc>
          <w:tcPr>
            <w:tcW w:w="3106" w:type="dxa"/>
            <w:shd w:val="clear" w:color="auto" w:fill="F5F5F5"/>
            <w:vAlign w:val="center"/>
          </w:tcPr>
          <w:p w14:paraId="137FCF5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cs="Times New Roman"/>
                <w:sz w:val="21"/>
                <w:szCs w:val="21"/>
              </w:rPr>
            </w:pPr>
          </w:p>
        </w:tc>
      </w:tr>
    </w:tbl>
    <w:p w14:paraId="63C95A45">
      <w:pPr>
        <w:rPr>
          <w:rFonts w:hint="eastAsia"/>
          <w:lang w:eastAsia="zh-CN"/>
        </w:rPr>
      </w:pPr>
      <w:r>
        <w:rPr>
          <w:rFonts w:hint="eastAsia"/>
          <w:lang w:eastAsia="zh-CN"/>
        </w:rPr>
        <w:br w:type="page"/>
      </w:r>
    </w:p>
    <w:p w14:paraId="6E6C5696">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baseline"/>
        <w:outlineLvl w:val="2"/>
        <w:rPr>
          <w:rFonts w:hint="default" w:cs="Times New Roman"/>
          <w:b/>
          <w:kern w:val="2"/>
          <w:sz w:val="21"/>
          <w:szCs w:val="24"/>
          <w:lang w:val="en-US" w:eastAsia="zh-CN" w:bidi="ar-SA"/>
        </w:rPr>
      </w:pPr>
      <w:r>
        <w:rPr>
          <w:rFonts w:hint="eastAsia" w:ascii="Times New Roman" w:hAnsi="Times New Roman" w:cs="Times New Roman"/>
          <w:b/>
          <w:kern w:val="2"/>
          <w:sz w:val="21"/>
          <w:szCs w:val="24"/>
          <w:lang w:val="en-US" w:eastAsia="zh-CN" w:bidi="ar-SA"/>
        </w:rPr>
        <w:t>2.</w:t>
      </w:r>
      <w:r>
        <w:rPr>
          <w:rFonts w:hint="eastAsia" w:cs="Times New Roman"/>
          <w:b/>
          <w:kern w:val="2"/>
          <w:sz w:val="21"/>
          <w:szCs w:val="24"/>
          <w:lang w:val="en-US" w:eastAsia="zh-CN" w:bidi="ar-SA"/>
        </w:rPr>
        <w:t>问卷节选</w:t>
      </w:r>
    </w:p>
    <w:p w14:paraId="5420C3DE">
      <w:pPr>
        <w:ind w:left="0" w:leftChars="0" w:firstLine="0" w:firstLineChars="0"/>
      </w:pPr>
      <w:r>
        <w:drawing>
          <wp:inline distT="0" distB="0" distL="114300" distR="114300">
            <wp:extent cx="4191000" cy="6697980"/>
            <wp:effectExtent l="0" t="0" r="0" b="762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40"/>
                    <a:stretch>
                      <a:fillRect/>
                    </a:stretch>
                  </pic:blipFill>
                  <pic:spPr>
                    <a:xfrm>
                      <a:off x="0" y="0"/>
                      <a:ext cx="4191000" cy="6697980"/>
                    </a:xfrm>
                    <a:prstGeom prst="rect">
                      <a:avLst/>
                    </a:prstGeom>
                    <a:noFill/>
                    <a:ln>
                      <a:noFill/>
                    </a:ln>
                  </pic:spPr>
                </pic:pic>
              </a:graphicData>
            </a:graphic>
          </wp:inline>
        </w:drawing>
      </w:r>
      <w:r>
        <w:drawing>
          <wp:inline distT="0" distB="0" distL="114300" distR="114300">
            <wp:extent cx="4097020" cy="6248400"/>
            <wp:effectExtent l="0" t="0" r="0" b="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41"/>
                    <a:srcRect l="5507"/>
                    <a:stretch>
                      <a:fillRect/>
                    </a:stretch>
                  </pic:blipFill>
                  <pic:spPr>
                    <a:xfrm>
                      <a:off x="0" y="0"/>
                      <a:ext cx="4097020" cy="6248400"/>
                    </a:xfrm>
                    <a:prstGeom prst="rect">
                      <a:avLst/>
                    </a:prstGeom>
                    <a:noFill/>
                    <a:ln>
                      <a:noFill/>
                    </a:ln>
                  </pic:spPr>
                </pic:pic>
              </a:graphicData>
            </a:graphic>
          </wp:inline>
        </w:drawing>
      </w:r>
    </w:p>
    <w:p w14:paraId="298AD35B">
      <w:pPr>
        <w:pStyle w:val="2"/>
        <w:ind w:left="0" w:leftChars="0" w:firstLine="0" w:firstLineChars="0"/>
        <w:jc w:val="left"/>
        <w:rPr>
          <w:rFonts w:hint="eastAsia"/>
          <w:lang w:eastAsia="zh-CN"/>
        </w:rPr>
      </w:pPr>
      <w:r>
        <w:drawing>
          <wp:inline distT="0" distB="0" distL="114300" distR="114300">
            <wp:extent cx="4297680" cy="6583680"/>
            <wp:effectExtent l="0" t="0" r="0" b="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42"/>
                    <a:stretch>
                      <a:fillRect/>
                    </a:stretch>
                  </pic:blipFill>
                  <pic:spPr>
                    <a:xfrm>
                      <a:off x="0" y="0"/>
                      <a:ext cx="4297680" cy="6583680"/>
                    </a:xfrm>
                    <a:prstGeom prst="rect">
                      <a:avLst/>
                    </a:prstGeom>
                    <a:noFill/>
                    <a:ln>
                      <a:noFill/>
                    </a:ln>
                  </pic:spPr>
                </pic:pic>
              </a:graphicData>
            </a:graphic>
          </wp:inline>
        </w:drawing>
      </w:r>
      <w:r>
        <w:drawing>
          <wp:inline distT="0" distB="0" distL="114300" distR="114300">
            <wp:extent cx="4273550" cy="6187440"/>
            <wp:effectExtent l="0" t="0" r="0" b="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43"/>
                    <a:srcRect l="3305"/>
                    <a:stretch>
                      <a:fillRect/>
                    </a:stretch>
                  </pic:blipFill>
                  <pic:spPr>
                    <a:xfrm>
                      <a:off x="0" y="0"/>
                      <a:ext cx="4273550" cy="6187440"/>
                    </a:xfrm>
                    <a:prstGeom prst="rect">
                      <a:avLst/>
                    </a:prstGeom>
                    <a:noFill/>
                    <a:ln>
                      <a:noFill/>
                    </a:ln>
                  </pic:spPr>
                </pic:pic>
              </a:graphicData>
            </a:graphic>
          </wp:inline>
        </w:drawing>
      </w:r>
      <w:r>
        <w:drawing>
          <wp:inline distT="0" distB="0" distL="114300" distR="114300">
            <wp:extent cx="4267200" cy="6667500"/>
            <wp:effectExtent l="0" t="0" r="0" b="762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44"/>
                    <a:stretch>
                      <a:fillRect/>
                    </a:stretch>
                  </pic:blipFill>
                  <pic:spPr>
                    <a:xfrm>
                      <a:off x="0" y="0"/>
                      <a:ext cx="4267200" cy="6667500"/>
                    </a:xfrm>
                    <a:prstGeom prst="rect">
                      <a:avLst/>
                    </a:prstGeom>
                    <a:noFill/>
                    <a:ln>
                      <a:noFill/>
                    </a:ln>
                  </pic:spPr>
                </pic:pic>
              </a:graphicData>
            </a:graphic>
          </wp:inline>
        </w:drawing>
      </w:r>
      <w:r>
        <w:drawing>
          <wp:inline distT="0" distB="0" distL="114300" distR="114300">
            <wp:extent cx="3945890" cy="6248400"/>
            <wp:effectExtent l="0" t="0" r="0" b="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45"/>
                    <a:srcRect l="3389"/>
                    <a:stretch>
                      <a:fillRect/>
                    </a:stretch>
                  </pic:blipFill>
                  <pic:spPr>
                    <a:xfrm>
                      <a:off x="0" y="0"/>
                      <a:ext cx="3945890" cy="6248400"/>
                    </a:xfrm>
                    <a:prstGeom prst="rect">
                      <a:avLst/>
                    </a:prstGeom>
                    <a:noFill/>
                    <a:ln>
                      <a:noFill/>
                    </a:ln>
                  </pic:spPr>
                </pic:pic>
              </a:graphicData>
            </a:graphic>
          </wp:inline>
        </w:drawing>
      </w:r>
      <w:r>
        <w:drawing>
          <wp:inline distT="0" distB="0" distL="114300" distR="114300">
            <wp:extent cx="4305300" cy="6522720"/>
            <wp:effectExtent l="0" t="0" r="7620" b="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46"/>
                    <a:stretch>
                      <a:fillRect/>
                    </a:stretch>
                  </pic:blipFill>
                  <pic:spPr>
                    <a:xfrm>
                      <a:off x="0" y="0"/>
                      <a:ext cx="4305300" cy="6522720"/>
                    </a:xfrm>
                    <a:prstGeom prst="rect">
                      <a:avLst/>
                    </a:prstGeom>
                    <a:noFill/>
                    <a:ln>
                      <a:noFill/>
                    </a:ln>
                  </pic:spPr>
                </pic:pic>
              </a:graphicData>
            </a:graphic>
          </wp:inline>
        </w:drawing>
      </w:r>
      <w:r>
        <w:drawing>
          <wp:inline distT="0" distB="0" distL="114300" distR="114300">
            <wp:extent cx="4015740" cy="6164580"/>
            <wp:effectExtent l="0" t="0" r="7620" b="7620"/>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pic:cNvPicPr>
                  </pic:nvPicPr>
                  <pic:blipFill>
                    <a:blip r:embed="rId47"/>
                    <a:stretch>
                      <a:fillRect/>
                    </a:stretch>
                  </pic:blipFill>
                  <pic:spPr>
                    <a:xfrm>
                      <a:off x="0" y="0"/>
                      <a:ext cx="4015740" cy="6164580"/>
                    </a:xfrm>
                    <a:prstGeom prst="rect">
                      <a:avLst/>
                    </a:prstGeom>
                    <a:noFill/>
                    <a:ln>
                      <a:noFill/>
                    </a:ln>
                  </pic:spPr>
                </pic:pic>
              </a:graphicData>
            </a:graphic>
          </wp:inline>
        </w:drawing>
      </w:r>
      <w:r>
        <w:drawing>
          <wp:inline distT="0" distB="0" distL="114300" distR="114300">
            <wp:extent cx="4259580" cy="6659880"/>
            <wp:effectExtent l="0" t="0" r="7620" b="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48"/>
                    <a:stretch>
                      <a:fillRect/>
                    </a:stretch>
                  </pic:blipFill>
                  <pic:spPr>
                    <a:xfrm>
                      <a:off x="0" y="0"/>
                      <a:ext cx="4259580" cy="6659880"/>
                    </a:xfrm>
                    <a:prstGeom prst="rect">
                      <a:avLst/>
                    </a:prstGeom>
                    <a:noFill/>
                    <a:ln>
                      <a:noFill/>
                    </a:ln>
                  </pic:spPr>
                </pic:pic>
              </a:graphicData>
            </a:graphic>
          </wp:inline>
        </w:drawing>
      </w:r>
      <w:r>
        <w:drawing>
          <wp:inline distT="0" distB="0" distL="114300" distR="114300">
            <wp:extent cx="3970020" cy="6141720"/>
            <wp:effectExtent l="0" t="0" r="7620" b="0"/>
            <wp:docPr id="1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1"/>
                    <pic:cNvPicPr>
                      <a:picLocks noChangeAspect="1"/>
                    </pic:cNvPicPr>
                  </pic:nvPicPr>
                  <pic:blipFill>
                    <a:blip r:embed="rId49"/>
                    <a:stretch>
                      <a:fillRect/>
                    </a:stretch>
                  </pic:blipFill>
                  <pic:spPr>
                    <a:xfrm>
                      <a:off x="0" y="0"/>
                      <a:ext cx="3970020" cy="6141720"/>
                    </a:xfrm>
                    <a:prstGeom prst="rect">
                      <a:avLst/>
                    </a:prstGeom>
                    <a:noFill/>
                    <a:ln>
                      <a:noFill/>
                    </a:ln>
                  </pic:spPr>
                </pic:pic>
              </a:graphicData>
            </a:graphic>
          </wp:inline>
        </w:drawing>
      </w:r>
      <w:r>
        <w:drawing>
          <wp:inline distT="0" distB="0" distL="114300" distR="114300">
            <wp:extent cx="4259580" cy="6621780"/>
            <wp:effectExtent l="0" t="0" r="7620" b="7620"/>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50"/>
                    <a:stretch>
                      <a:fillRect/>
                    </a:stretch>
                  </pic:blipFill>
                  <pic:spPr>
                    <a:xfrm>
                      <a:off x="0" y="0"/>
                      <a:ext cx="4259580" cy="6621780"/>
                    </a:xfrm>
                    <a:prstGeom prst="rect">
                      <a:avLst/>
                    </a:prstGeom>
                    <a:noFill/>
                    <a:ln>
                      <a:noFill/>
                    </a:ln>
                  </pic:spPr>
                </pic:pic>
              </a:graphicData>
            </a:graphic>
          </wp:inline>
        </w:drawing>
      </w:r>
      <w:r>
        <w:drawing>
          <wp:inline distT="0" distB="0" distL="114300" distR="114300">
            <wp:extent cx="3954780" cy="6240780"/>
            <wp:effectExtent l="0" t="0" r="7620" b="762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51"/>
                    <a:stretch>
                      <a:fillRect/>
                    </a:stretch>
                  </pic:blipFill>
                  <pic:spPr>
                    <a:xfrm>
                      <a:off x="0" y="0"/>
                      <a:ext cx="3954780" cy="6240780"/>
                    </a:xfrm>
                    <a:prstGeom prst="rect">
                      <a:avLst/>
                    </a:prstGeom>
                    <a:noFill/>
                    <a:ln>
                      <a:noFill/>
                    </a:ln>
                  </pic:spPr>
                </pic:pic>
              </a:graphicData>
            </a:graphic>
          </wp:inline>
        </w:drawing>
      </w:r>
      <w:r>
        <w:drawing>
          <wp:inline distT="0" distB="0" distL="114300" distR="114300">
            <wp:extent cx="4221480" cy="6659880"/>
            <wp:effectExtent l="0" t="0" r="0" b="0"/>
            <wp:docPr id="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pic:cNvPicPr>
                      <a:picLocks noChangeAspect="1"/>
                    </pic:cNvPicPr>
                  </pic:nvPicPr>
                  <pic:blipFill>
                    <a:blip r:embed="rId52"/>
                    <a:stretch>
                      <a:fillRect/>
                    </a:stretch>
                  </pic:blipFill>
                  <pic:spPr>
                    <a:xfrm>
                      <a:off x="0" y="0"/>
                      <a:ext cx="4221480" cy="6659880"/>
                    </a:xfrm>
                    <a:prstGeom prst="rect">
                      <a:avLst/>
                    </a:prstGeom>
                    <a:noFill/>
                    <a:ln>
                      <a:noFill/>
                    </a:ln>
                  </pic:spPr>
                </pic:pic>
              </a:graphicData>
            </a:graphic>
          </wp:inline>
        </w:drawing>
      </w:r>
      <w:r>
        <w:drawing>
          <wp:inline distT="0" distB="0" distL="114300" distR="114300">
            <wp:extent cx="3886200" cy="6210300"/>
            <wp:effectExtent l="0" t="0" r="0" b="7620"/>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pic:cNvPicPr>
                      <a:picLocks noChangeAspect="1"/>
                    </pic:cNvPicPr>
                  </pic:nvPicPr>
                  <pic:blipFill>
                    <a:blip r:embed="rId53"/>
                    <a:stretch>
                      <a:fillRect/>
                    </a:stretch>
                  </pic:blipFill>
                  <pic:spPr>
                    <a:xfrm>
                      <a:off x="0" y="0"/>
                      <a:ext cx="3886200" cy="6210300"/>
                    </a:xfrm>
                    <a:prstGeom prst="rect">
                      <a:avLst/>
                    </a:prstGeom>
                    <a:noFill/>
                    <a:ln>
                      <a:noFill/>
                    </a:ln>
                  </pic:spPr>
                </pic:pic>
              </a:graphicData>
            </a:graphic>
          </wp:inline>
        </w:drawing>
      </w:r>
      <w:r>
        <w:drawing>
          <wp:inline distT="0" distB="0" distL="114300" distR="114300">
            <wp:extent cx="4274820" cy="6644640"/>
            <wp:effectExtent l="0" t="0" r="7620" b="0"/>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pic:cNvPicPr>
                      <a:picLocks noChangeAspect="1"/>
                    </pic:cNvPicPr>
                  </pic:nvPicPr>
                  <pic:blipFill>
                    <a:blip r:embed="rId54"/>
                    <a:stretch>
                      <a:fillRect/>
                    </a:stretch>
                  </pic:blipFill>
                  <pic:spPr>
                    <a:xfrm>
                      <a:off x="0" y="0"/>
                      <a:ext cx="4274820" cy="6644640"/>
                    </a:xfrm>
                    <a:prstGeom prst="rect">
                      <a:avLst/>
                    </a:prstGeom>
                    <a:noFill/>
                    <a:ln>
                      <a:noFill/>
                    </a:ln>
                  </pic:spPr>
                </pic:pic>
              </a:graphicData>
            </a:graphic>
          </wp:inline>
        </w:drawing>
      </w:r>
      <w:r>
        <w:drawing>
          <wp:inline distT="0" distB="0" distL="114300" distR="114300">
            <wp:extent cx="3863340" cy="6202680"/>
            <wp:effectExtent l="0" t="0" r="7620" b="0"/>
            <wp:docPr id="2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7"/>
                    <pic:cNvPicPr>
                      <a:picLocks noChangeAspect="1"/>
                    </pic:cNvPicPr>
                  </pic:nvPicPr>
                  <pic:blipFill>
                    <a:blip r:embed="rId55"/>
                    <a:stretch>
                      <a:fillRect/>
                    </a:stretch>
                  </pic:blipFill>
                  <pic:spPr>
                    <a:xfrm>
                      <a:off x="0" y="0"/>
                      <a:ext cx="3863340" cy="6202680"/>
                    </a:xfrm>
                    <a:prstGeom prst="rect">
                      <a:avLst/>
                    </a:prstGeom>
                    <a:noFill/>
                    <a:ln>
                      <a:noFill/>
                    </a:ln>
                  </pic:spPr>
                </pic:pic>
              </a:graphicData>
            </a:graphic>
          </wp:inline>
        </w:drawing>
      </w:r>
      <w:r>
        <w:drawing>
          <wp:inline distT="0" distB="0" distL="114300" distR="114300">
            <wp:extent cx="4343400" cy="6568440"/>
            <wp:effectExtent l="0" t="0" r="0" b="0"/>
            <wp:docPr id="2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8"/>
                    <pic:cNvPicPr>
                      <a:picLocks noChangeAspect="1"/>
                    </pic:cNvPicPr>
                  </pic:nvPicPr>
                  <pic:blipFill>
                    <a:blip r:embed="rId56"/>
                    <a:stretch>
                      <a:fillRect/>
                    </a:stretch>
                  </pic:blipFill>
                  <pic:spPr>
                    <a:xfrm>
                      <a:off x="0" y="0"/>
                      <a:ext cx="4343400" cy="6568440"/>
                    </a:xfrm>
                    <a:prstGeom prst="rect">
                      <a:avLst/>
                    </a:prstGeom>
                    <a:noFill/>
                    <a:ln>
                      <a:noFill/>
                    </a:ln>
                  </pic:spPr>
                </pic:pic>
              </a:graphicData>
            </a:graphic>
          </wp:inline>
        </w:drawing>
      </w:r>
      <w:r>
        <w:drawing>
          <wp:inline distT="0" distB="0" distL="114300" distR="114300">
            <wp:extent cx="3787140" cy="6278880"/>
            <wp:effectExtent l="0" t="0" r="7620" b="0"/>
            <wp:docPr id="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
                    <pic:cNvPicPr>
                      <a:picLocks noChangeAspect="1"/>
                    </pic:cNvPicPr>
                  </pic:nvPicPr>
                  <pic:blipFill>
                    <a:blip r:embed="rId57"/>
                    <a:stretch>
                      <a:fillRect/>
                    </a:stretch>
                  </pic:blipFill>
                  <pic:spPr>
                    <a:xfrm>
                      <a:off x="0" y="0"/>
                      <a:ext cx="3787140" cy="6278880"/>
                    </a:xfrm>
                    <a:prstGeom prst="rect">
                      <a:avLst/>
                    </a:prstGeom>
                    <a:noFill/>
                    <a:ln>
                      <a:noFill/>
                    </a:ln>
                  </pic:spPr>
                </pic:pic>
              </a:graphicData>
            </a:graphic>
          </wp:inline>
        </w:drawing>
      </w:r>
      <w:r>
        <w:drawing>
          <wp:inline distT="0" distB="0" distL="114300" distR="114300">
            <wp:extent cx="4305300" cy="6545580"/>
            <wp:effectExtent l="0" t="0" r="7620" b="7620"/>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58"/>
                    <a:stretch>
                      <a:fillRect/>
                    </a:stretch>
                  </pic:blipFill>
                  <pic:spPr>
                    <a:xfrm>
                      <a:off x="0" y="0"/>
                      <a:ext cx="4305300" cy="6545580"/>
                    </a:xfrm>
                    <a:prstGeom prst="rect">
                      <a:avLst/>
                    </a:prstGeom>
                    <a:noFill/>
                    <a:ln>
                      <a:noFill/>
                    </a:ln>
                  </pic:spPr>
                </pic:pic>
              </a:graphicData>
            </a:graphic>
          </wp:inline>
        </w:drawing>
      </w:r>
      <w:r>
        <w:drawing>
          <wp:inline distT="0" distB="0" distL="114300" distR="114300">
            <wp:extent cx="3825240" cy="6225540"/>
            <wp:effectExtent l="0" t="0" r="0" b="7620"/>
            <wp:docPr id="2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
                    <pic:cNvPicPr>
                      <a:picLocks noChangeAspect="1"/>
                    </pic:cNvPicPr>
                  </pic:nvPicPr>
                  <pic:blipFill>
                    <a:blip r:embed="rId59"/>
                    <a:stretch>
                      <a:fillRect/>
                    </a:stretch>
                  </pic:blipFill>
                  <pic:spPr>
                    <a:xfrm>
                      <a:off x="0" y="0"/>
                      <a:ext cx="3825240" cy="6225540"/>
                    </a:xfrm>
                    <a:prstGeom prst="rect">
                      <a:avLst/>
                    </a:prstGeom>
                    <a:noFill/>
                    <a:ln>
                      <a:noFill/>
                    </a:ln>
                  </pic:spPr>
                </pic:pic>
              </a:graphicData>
            </a:graphic>
          </wp:inline>
        </w:drawing>
      </w: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7301B">
    <w:pPr>
      <w:pStyle w:val="8"/>
      <w:jc w:val="right"/>
      <w:rPr>
        <w:rFonts w:eastAsia="楷体"/>
        <w:sz w:val="24"/>
        <w:szCs w:val="28"/>
      </w:rPr>
    </w:pPr>
  </w:p>
  <w:p w14:paraId="5255FFF0">
    <w:pPr>
      <w:pStyle w:val="8"/>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65818">
    <w:pPr>
      <w:pStyle w:val="8"/>
      <w:jc w:val="right"/>
      <w:rPr>
        <w:rFonts w:eastAsia="楷体"/>
        <w:sz w:val="24"/>
        <w:szCs w:val="28"/>
      </w:rPr>
    </w:pPr>
  </w:p>
  <w:p w14:paraId="78E7BF6C">
    <w:pPr>
      <w:pStyle w:val="8"/>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9DE74">
    <w:pPr>
      <w:pStyle w:val="8"/>
      <w:jc w:val="right"/>
      <w:rPr>
        <w:rFonts w:eastAsia="楷体"/>
        <w:sz w:val="24"/>
        <w:szCs w:val="28"/>
      </w:rPr>
    </w:pPr>
  </w:p>
  <w:p w14:paraId="534D5E07">
    <w:pPr>
      <w:pStyle w:val="8"/>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DA0B7">
    <w:pPr>
      <w:pStyle w:val="8"/>
      <w:jc w:val="right"/>
      <w:rPr>
        <w:rFonts w:eastAsia="楷体"/>
        <w:sz w:val="24"/>
        <w:szCs w:val="28"/>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A4238">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F2A4238">
                    <w:pPr>
                      <w:pStyle w:val="8"/>
                    </w:pPr>
                    <w:r>
                      <w:fldChar w:fldCharType="begin"/>
                    </w:r>
                    <w:r>
                      <w:instrText xml:space="preserve"> PAGE  \* MERGEFORMAT </w:instrText>
                    </w:r>
                    <w:r>
                      <w:fldChar w:fldCharType="separate"/>
                    </w:r>
                    <w:r>
                      <w:t>1</w:t>
                    </w:r>
                    <w:r>
                      <w:fldChar w:fldCharType="end"/>
                    </w:r>
                  </w:p>
                </w:txbxContent>
              </v:textbox>
            </v:shape>
          </w:pict>
        </mc:Fallback>
      </mc:AlternateContent>
    </w:r>
  </w:p>
  <w:p w14:paraId="3EE2CCE3">
    <w:pPr>
      <w:pStyle w:val="8"/>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E00B3">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1AA72"/>
    <w:multiLevelType w:val="multilevel"/>
    <w:tmpl w:val="63E1AA72"/>
    <w:lvl w:ilvl="0" w:tentative="0">
      <w:start w:val="1"/>
      <w:numFmt w:val="decimal"/>
      <w:suff w:val="nothing"/>
      <w:lvlText w:val="%1、"/>
      <w:lvlJc w:val="left"/>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pStyle w:val="6"/>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35FC7E11"/>
    <w:rsid w:val="00EF5DB1"/>
    <w:rsid w:val="0121688F"/>
    <w:rsid w:val="03600A1C"/>
    <w:rsid w:val="0730192B"/>
    <w:rsid w:val="08186F43"/>
    <w:rsid w:val="0CC1274D"/>
    <w:rsid w:val="0FD960F6"/>
    <w:rsid w:val="15FB542C"/>
    <w:rsid w:val="17DC5A2D"/>
    <w:rsid w:val="1BB03C10"/>
    <w:rsid w:val="1C20544F"/>
    <w:rsid w:val="2009196E"/>
    <w:rsid w:val="2B657E3D"/>
    <w:rsid w:val="2E8B665B"/>
    <w:rsid w:val="30761005"/>
    <w:rsid w:val="31614C46"/>
    <w:rsid w:val="31AC630C"/>
    <w:rsid w:val="35A54B56"/>
    <w:rsid w:val="35FC7E11"/>
    <w:rsid w:val="40310D41"/>
    <w:rsid w:val="42983D54"/>
    <w:rsid w:val="43372106"/>
    <w:rsid w:val="454E132D"/>
    <w:rsid w:val="494B64DF"/>
    <w:rsid w:val="4DA1413B"/>
    <w:rsid w:val="513D11AF"/>
    <w:rsid w:val="549A1E7E"/>
    <w:rsid w:val="58C35CE8"/>
    <w:rsid w:val="58F31C74"/>
    <w:rsid w:val="5AD349CB"/>
    <w:rsid w:val="5C0E7447"/>
    <w:rsid w:val="5FA938B5"/>
    <w:rsid w:val="60DB67BC"/>
    <w:rsid w:val="65D40BF1"/>
    <w:rsid w:val="6678319C"/>
    <w:rsid w:val="683E3FD1"/>
    <w:rsid w:val="6A226A1D"/>
    <w:rsid w:val="6D960512"/>
    <w:rsid w:val="6F9C22CD"/>
    <w:rsid w:val="71537461"/>
    <w:rsid w:val="73B33A08"/>
    <w:rsid w:val="7434754D"/>
    <w:rsid w:val="79164340"/>
    <w:rsid w:val="79191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2" w:firstLineChars="200"/>
      <w:jc w:val="both"/>
    </w:pPr>
    <w:rPr>
      <w:rFonts w:ascii="Times New Roman" w:hAnsi="Times New Roman" w:eastAsia="仿宋_GB2312" w:cs="Times New Roman"/>
      <w:kern w:val="2"/>
      <w:sz w:val="32"/>
      <w:szCs w:val="22"/>
      <w:lang w:val="en-US" w:eastAsia="zh-CN" w:bidi="ar-SA"/>
    </w:rPr>
  </w:style>
  <w:style w:type="paragraph" w:styleId="3">
    <w:name w:val="heading 1"/>
    <w:basedOn w:val="1"/>
    <w:next w:val="1"/>
    <w:qFormat/>
    <w:uiPriority w:val="9"/>
    <w:pPr>
      <w:keepNext/>
      <w:keepLines/>
      <w:spacing w:line="360" w:lineRule="auto"/>
      <w:outlineLvl w:val="0"/>
    </w:pPr>
    <w:rPr>
      <w:rFonts w:eastAsia="黑体"/>
      <w:b/>
      <w:bCs/>
      <w:kern w:val="44"/>
      <w:szCs w:val="44"/>
    </w:rPr>
  </w:style>
  <w:style w:type="paragraph" w:styleId="4">
    <w:name w:val="heading 2"/>
    <w:basedOn w:val="1"/>
    <w:next w:val="1"/>
    <w:qFormat/>
    <w:uiPriority w:val="9"/>
    <w:pPr>
      <w:keepNext/>
      <w:keepLines/>
      <w:spacing w:line="360" w:lineRule="auto"/>
      <w:outlineLvl w:val="1"/>
    </w:pPr>
    <w:rPr>
      <w:rFonts w:ascii="Cambria" w:hAnsi="Cambria" w:eastAsia="楷体" w:cs="Times New Roman"/>
      <w:b/>
      <w:bCs/>
      <w:szCs w:val="32"/>
    </w:rPr>
  </w:style>
  <w:style w:type="paragraph" w:styleId="5">
    <w:name w:val="heading 3"/>
    <w:basedOn w:val="1"/>
    <w:next w:val="1"/>
    <w:unhideWhenUsed/>
    <w:qFormat/>
    <w:uiPriority w:val="9"/>
    <w:pPr>
      <w:keepNext/>
      <w:keepLines/>
      <w:spacing w:beforeLines="0" w:beforeAutospacing="0" w:afterLines="0" w:afterAutospacing="0" w:line="360" w:lineRule="auto"/>
      <w:outlineLvl w:val="2"/>
    </w:pPr>
    <w:rPr>
      <w:b/>
    </w:rPr>
  </w:style>
  <w:style w:type="paragraph" w:styleId="6">
    <w:name w:val="heading 4"/>
    <w:basedOn w:val="1"/>
    <w:next w:val="1"/>
    <w:qFormat/>
    <w:uiPriority w:val="99"/>
    <w:pPr>
      <w:keepNext/>
      <w:keepLines/>
      <w:numPr>
        <w:ilvl w:val="3"/>
        <w:numId w:val="1"/>
      </w:numPr>
      <w:spacing w:before="280" w:after="290" w:line="376" w:lineRule="auto"/>
      <w:ind w:firstLine="200"/>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Heading3"/>
    <w:basedOn w:val="1"/>
    <w:next w:val="1"/>
    <w:qFormat/>
    <w:uiPriority w:val="0"/>
    <w:pPr>
      <w:ind w:firstLine="200" w:firstLineChars="200"/>
      <w:textAlignment w:val="baseline"/>
    </w:pPr>
    <w:rPr>
      <w:rFonts w:eastAsia="仿宋"/>
      <w:b/>
      <w:sz w:val="21"/>
    </w:rPr>
  </w:style>
  <w:style w:type="paragraph" w:styleId="7">
    <w:name w:val="annotation text"/>
    <w:basedOn w:val="1"/>
    <w:qFormat/>
    <w:uiPriority w:val="0"/>
    <w:pPr>
      <w:jc w:val="left"/>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834"/>
      </w:tabs>
      <w:spacing w:line="360" w:lineRule="auto"/>
    </w:pPr>
    <w:rPr>
      <w:rFonts w:ascii="黑体" w:hAnsi="黑体" w:eastAsia="黑体" w:cs="SimSun-Identity-H"/>
      <w:b/>
      <w:kern w:val="0"/>
      <w:szCs w:val="32"/>
    </w:rPr>
  </w:style>
  <w:style w:type="paragraph" w:styleId="11">
    <w:name w:val="toc 2"/>
    <w:basedOn w:val="1"/>
    <w:next w:val="1"/>
    <w:unhideWhenUsed/>
    <w:qFormat/>
    <w:uiPriority w:val="39"/>
    <w:pPr>
      <w:ind w:left="420" w:leftChars="200" w:firstLine="0" w:firstLineChars="0"/>
    </w:pPr>
    <w:rPr>
      <w:rFonts w:eastAsia="楷体"/>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footer" Target="footer1.xml"/><Relationship Id="rId59" Type="http://schemas.openxmlformats.org/officeDocument/2006/relationships/image" Target="media/image49.png"/><Relationship Id="rId58" Type="http://schemas.openxmlformats.org/officeDocument/2006/relationships/image" Target="media/image48.png"/><Relationship Id="rId57" Type="http://schemas.openxmlformats.org/officeDocument/2006/relationships/image" Target="media/image47.png"/><Relationship Id="rId56" Type="http://schemas.openxmlformats.org/officeDocument/2006/relationships/image" Target="media/image46.png"/><Relationship Id="rId55" Type="http://schemas.openxmlformats.org/officeDocument/2006/relationships/image" Target="media/image45.png"/><Relationship Id="rId54" Type="http://schemas.openxmlformats.org/officeDocument/2006/relationships/image" Target="media/image44.png"/><Relationship Id="rId53" Type="http://schemas.openxmlformats.org/officeDocument/2006/relationships/image" Target="media/image43.png"/><Relationship Id="rId52" Type="http://schemas.openxmlformats.org/officeDocument/2006/relationships/image" Target="media/image42.png"/><Relationship Id="rId51" Type="http://schemas.openxmlformats.org/officeDocument/2006/relationships/image" Target="media/image41.png"/><Relationship Id="rId50" Type="http://schemas.openxmlformats.org/officeDocument/2006/relationships/image" Target="media/image40.png"/><Relationship Id="rId5" Type="http://schemas.openxmlformats.org/officeDocument/2006/relationships/header" Target="header1.xml"/><Relationship Id="rId49" Type="http://schemas.openxmlformats.org/officeDocument/2006/relationships/image" Target="media/image39.png"/><Relationship Id="rId48" Type="http://schemas.openxmlformats.org/officeDocument/2006/relationships/image" Target="media/image38.png"/><Relationship Id="rId47" Type="http://schemas.openxmlformats.org/officeDocument/2006/relationships/image" Target="media/image37.png"/><Relationship Id="rId46" Type="http://schemas.openxmlformats.org/officeDocument/2006/relationships/image" Target="media/image36.png"/><Relationship Id="rId45" Type="http://schemas.openxmlformats.org/officeDocument/2006/relationships/image" Target="media/image35.png"/><Relationship Id="rId44" Type="http://schemas.openxmlformats.org/officeDocument/2006/relationships/image" Target="media/image34.png"/><Relationship Id="rId43" Type="http://schemas.openxmlformats.org/officeDocument/2006/relationships/image" Target="media/image33.png"/><Relationship Id="rId42" Type="http://schemas.openxmlformats.org/officeDocument/2006/relationships/image" Target="media/image32.png"/><Relationship Id="rId41" Type="http://schemas.openxmlformats.org/officeDocument/2006/relationships/image" Target="media/image31.png"/><Relationship Id="rId40" Type="http://schemas.openxmlformats.org/officeDocument/2006/relationships/image" Target="media/image30.png"/><Relationship Id="rId4" Type="http://schemas.openxmlformats.org/officeDocument/2006/relationships/endnotes" Target="endnotes.xml"/><Relationship Id="rId39" Type="http://schemas.openxmlformats.org/officeDocument/2006/relationships/image" Target="media/image29.png"/><Relationship Id="rId38" Type="http://schemas.openxmlformats.org/officeDocument/2006/relationships/image" Target="media/image28.png"/><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footnotes" Target="footnotes.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12586</Words>
  <Characters>13714</Characters>
  <Lines>0</Lines>
  <Paragraphs>0</Paragraphs>
  <TotalTime>19</TotalTime>
  <ScaleCrop>false</ScaleCrop>
  <LinksUpToDate>false</LinksUpToDate>
  <CharactersWithSpaces>13888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2024-09-02T09:05:00Z</dcterms:created>
  <dc:creator>微信用户</dc:creator>
  <cp:lastModifiedBy>勤奋妞</cp:lastModifiedBy>
  <dcterms:modified xsi:type="dcterms:W3CDTF">2024-09-24T03:14:49Z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FB734DCCD72F4E67B655378FC97047C6_11</vt:lpwstr>
  </property>
</Properties>
</file>