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6"/>
          <w:szCs w:val="36"/>
          <w:lang w:eastAsia="zh-CN"/>
        </w:rPr>
        <w:t>辰溪县林业局</w:t>
      </w:r>
      <w:r>
        <w:rPr>
          <w:rFonts w:hint="eastAsia" w:asciiTheme="minorEastAsia" w:hAnsiTheme="minorEastAsia" w:eastAsiaTheme="minorEastAsia" w:cstheme="minorEastAsia"/>
          <w:sz w:val="36"/>
          <w:szCs w:val="36"/>
          <w:lang w:val="en-US" w:eastAsia="zh-CN"/>
        </w:rPr>
        <w:t>2020年度</w:t>
      </w:r>
      <w:r>
        <w:rPr>
          <w:rFonts w:hint="eastAsia" w:asciiTheme="minorEastAsia" w:hAnsiTheme="minorEastAsia" w:eastAsiaTheme="minorEastAsia" w:cstheme="minorEastAsia"/>
          <w:sz w:val="36"/>
          <w:szCs w:val="36"/>
        </w:rPr>
        <w:t>部门整体支出绩效评价报告</w:t>
      </w:r>
    </w:p>
    <w:p>
      <w:pPr>
        <w:spacing w:line="360" w:lineRule="auto"/>
        <w:jc w:val="center"/>
        <w:rPr>
          <w:rFonts w:hint="eastAsia" w:asciiTheme="minorEastAsia" w:hAnsiTheme="minorEastAsia" w:eastAsiaTheme="minorEastAsia" w:cstheme="minorEastAsia"/>
          <w:sz w:val="32"/>
          <w:szCs w:val="32"/>
        </w:rPr>
      </w:pPr>
    </w:p>
    <w:p>
      <w:pPr>
        <w:pStyle w:val="5"/>
        <w:widowControl/>
        <w:numPr>
          <w:ilvl w:val="0"/>
          <w:numId w:val="1"/>
        </w:numPr>
        <w:spacing w:line="360" w:lineRule="auto"/>
        <w:ind w:left="630" w:leftChars="0" w:firstLine="0" w:firstLineChars="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eastAsia="zh-CN"/>
        </w:rPr>
        <w:t>辰溪县林业局</w:t>
      </w:r>
      <w:r>
        <w:rPr>
          <w:rFonts w:hint="eastAsia" w:asciiTheme="minorEastAsia" w:hAnsiTheme="minorEastAsia" w:eastAsiaTheme="minorEastAsia" w:cstheme="minorEastAsia"/>
          <w:sz w:val="32"/>
          <w:szCs w:val="32"/>
        </w:rPr>
        <w:t>基本情况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（一）部门基本情况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辰溪县林业局是县人民政府工作部门，为正科级，由县自然资源局统一领导和管理。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（一）主要职责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1、负责全县林业和草原及其生态保护修复的监督管理。拟订林业和草原及其生态保护修复的政策、规划、标准并组织实施，按规定起草相关地方性法规、规章草案。组织开展森林、草原、湿地、荒漠和陆生野生动植物资源动态监测与评价，统一发布相关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2、组织、协调、指导和监督全县林业和草原生态保护修复及造林绿化工作。组织实施林业和草原重点生态保护修复工程，指导、监督各类公益林和商品林的培育，指导、监督全民义务植树、城乡绿化工作，组织指导林木花卉工作。指导林业和草原有害生物防治、检疫工作。承担林业和草原应对气候变化的相关工作。承担县绿化委员会的具体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3、负责森林、草原、湿地资源的监督管理。组织编制并监督执行全县森林采伐限额。负责林地管理，拟订林地保护利用规划并组织实施，指导公益林区划界定和保护管理工作，按权限负责管理国有森林资源。负责草原禁牧、草畜平衡和草原生态修复治理工作，监督管理草原的开发利用。负责湿地生态保护修复工作，拟订湿地保护规划和相关标准，监督管理湿地的开发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4、负责监督管理石漠化防治工作。组织开展荒漠调查，组织拟订防沙治沙、石漠化防治及沙化土地封禁保护区建设规划，拟订相关标准，监督管理沙化土地的开发利用，组织、指导建设项目对土地沙化影响的审核，组织沙化灾害预测预报和应急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5、负责陆生野生动植物资源监督管理。组织开展陆生野生动植物资源调查，拟订及调整县级重点保护的陆生野生动物、植物名录，指导陆生野生动植物的救护繁育、栖息地恢复发展、疫源疫病监测，监督管理陆生野生动植物猎捕或采集、驯养繁殖或培植、经营利用，按分工监督管理野生动植物进出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6、负责监督管理各类自然保护地。拟订各类自然保护地规划和相关标准。负责国家公园设立、规划、建设和特许经营等工作，负责省、市政府委托或县政府直接行使所有权的国家公园等自然保护地的自然资源资产管理和国土空间用途管制。提出新建、调整各类自然保护地的审核建议并按程序报批，组织审核世界自然遗产的申报，会同有关部门审核自然与文化双重遗产的申报。负责生物多样性保护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7、负责推进林业和草原改革相关工作，拟订集体林权制度、国有林场、草原等重大改革意见并监督实施。拟订农村林业发展、维护林业经营者合法权益的政策措施，指导农村林地承包经营工作。开展退耕（牧）还林还草，负责天然林保护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8、拟订林业和草原资源优化配置及木材利用政策，拟订相关林业产业标准并监督实施，组织、指导林产品质量监督，指导生态扶贫相关工作。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9、指导国有林场基本建设和发展，组织林木种子、草种种质资源普查，组织建立种质资源库，负责良种选育推广，管理林木种苗、草种生产经营行为，监管林木种苗、草种质量。监督管理林业和草原生物种质资源、转基因生物安全、植物新品种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10、指导全县森林公安工作，监督管理森林公安队伍，指导全县林业重大违法案件的查处，负责相关行政执法监管工作，指导林区社会治安治理工作。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11、负责落实综合防灾减灾规划相关要求，组织编制森林和草原火灾防治规划和防护标准并指导实施，指导开展防火巡护、火源管理、防火设施建设等工作。组织指导国有林场林区和草原开展宣传教育、监测预警、督促检查等防火工作。必要时，可以提请县应急管理局，以县应急指挥机构名义，部署相关防治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12、监督管理林业和草原资金和国有资产，提出县级林业和草原预算内投资、财政性资金安排建议，按县政府规定权限，审核县级规划内和年度计划内投资项目。参与拟订林业和草原经济调节政策，组织实施林业和草原生态补偿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13、负责林业和草原科技、教育和外事工作，指导全县林业和草原人才队伍建设，组织实施林业和草原国际交流与合作事务，承担湿地、防治荒漠化、濒危野生动植物等国际公约履约工作。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14、完成县委和县政府交办的其他任务。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15、加大生态系统保护力度，实施重要生态系统保护和修复工程，加强森林、草原、湿地监督管理的统筹协调，大力推进国土绿化，保障国家生态安全。加快建立以国家公园为主体的自然保护地体系，统一推进全县各类自然保护地的清理规范和归并整合，构建统一规范高效的国家公园体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（二）机构设置</w:t>
      </w:r>
    </w:p>
    <w:p>
      <w:pPr>
        <w:spacing w:line="360" w:lineRule="auto"/>
        <w:ind w:firstLine="540" w:firstLineChars="200"/>
        <w:rPr>
          <w:rFonts w:hint="eastAsia" w:asciiTheme="minorEastAsia" w:hAnsiTheme="minorEastAsia" w:eastAsiaTheme="minorEastAsia" w:cstheme="minorEastAsia"/>
          <w:b w:val="0"/>
          <w:bCs/>
          <w:color w:val="000000" w:themeColor="text1"/>
          <w:sz w:val="27"/>
          <w:szCs w:val="27"/>
          <w:highlight w:val="none"/>
          <w14:textFill>
            <w14:solidFill>
              <w14:schemeClr w14:val="tx1"/>
            </w14:solidFill>
          </w14:textFill>
        </w:rPr>
      </w:pPr>
      <w:r>
        <w:rPr>
          <w:rFonts w:hint="eastAsia" w:asciiTheme="minorEastAsia" w:hAnsiTheme="minorEastAsia" w:eastAsiaTheme="minorEastAsia" w:cstheme="minorEastAsia"/>
          <w:b w:val="0"/>
          <w:bCs/>
          <w:color w:val="000000" w:themeColor="text1"/>
          <w:sz w:val="27"/>
          <w:szCs w:val="27"/>
          <w:highlight w:val="none"/>
          <w14:textFill>
            <w14:solidFill>
              <w14:schemeClr w14:val="tx1"/>
            </w14:solidFill>
          </w14:textFill>
        </w:rPr>
        <w:t>局机关内设办公室、计财股、林政股、人事股、野生动植物保护股、行政审批服务股、造林股等7个职能股室；下辖公益林管理站、林业产业管理站、调纠办、林调队、林地管理办公室、林业综合执法大队、林权管理服务中心、仙人岩国有林场、国有苗圃、23个乡镇林业站等10个二级机构及火马冲贮木场1个企业。</w:t>
      </w:r>
      <w:r>
        <w:rPr>
          <w:rFonts w:hint="eastAsia" w:asciiTheme="minorEastAsia" w:hAnsiTheme="minorEastAsia" w:eastAsiaTheme="minorEastAsia" w:cstheme="minorEastAsia"/>
          <w:b w:val="0"/>
          <w:bCs/>
          <w:color w:val="000000" w:themeColor="text1"/>
          <w:sz w:val="27"/>
          <w:szCs w:val="27"/>
          <w:highlight w:val="none"/>
          <w:lang w:eastAsia="zh-CN"/>
          <w14:textFill>
            <w14:solidFill>
              <w14:schemeClr w14:val="tx1"/>
            </w14:solidFill>
          </w14:textFill>
        </w:rPr>
        <w:t>局机关</w:t>
      </w:r>
      <w:r>
        <w:rPr>
          <w:rFonts w:hint="eastAsia" w:asciiTheme="minorEastAsia" w:hAnsiTheme="minorEastAsia" w:eastAsiaTheme="minorEastAsia" w:cstheme="minorEastAsia"/>
          <w:b w:val="0"/>
          <w:bCs/>
          <w:color w:val="000000" w:themeColor="text1"/>
          <w:sz w:val="27"/>
          <w:szCs w:val="27"/>
          <w:highlight w:val="none"/>
          <w14:textFill>
            <w14:solidFill>
              <w14:schemeClr w14:val="tx1"/>
            </w14:solidFill>
          </w14:textFill>
        </w:rPr>
        <w:t xml:space="preserve">现有在编人数  </w:t>
      </w:r>
      <w:r>
        <w:rPr>
          <w:rFonts w:hint="eastAsia" w:asciiTheme="minorEastAsia" w:hAnsiTheme="minorEastAsia" w:eastAsiaTheme="minorEastAsia" w:cstheme="minorEastAsia"/>
          <w:b w:val="0"/>
          <w:bCs/>
          <w:color w:val="000000" w:themeColor="text1"/>
          <w:sz w:val="27"/>
          <w:szCs w:val="27"/>
          <w:highlight w:val="none"/>
          <w:lang w:val="en-US" w:eastAsia="zh-CN"/>
          <w14:textFill>
            <w14:solidFill>
              <w14:schemeClr w14:val="tx1"/>
            </w14:solidFill>
          </w14:textFill>
        </w:rPr>
        <w:t>148</w:t>
      </w:r>
      <w:r>
        <w:rPr>
          <w:rFonts w:hint="eastAsia" w:asciiTheme="minorEastAsia" w:hAnsiTheme="minorEastAsia" w:eastAsiaTheme="minorEastAsia" w:cstheme="minorEastAsia"/>
          <w:b w:val="0"/>
          <w:bCs/>
          <w:color w:val="000000" w:themeColor="text1"/>
          <w:sz w:val="27"/>
          <w:szCs w:val="27"/>
          <w:highlight w:val="none"/>
          <w14:textFill>
            <w14:solidFill>
              <w14:schemeClr w14:val="tx1"/>
            </w14:solidFill>
          </w14:textFill>
        </w:rPr>
        <w:t xml:space="preserve">人，其中：依照公务员管理  21人，事业编制 </w:t>
      </w:r>
      <w:r>
        <w:rPr>
          <w:rFonts w:hint="eastAsia" w:asciiTheme="minorEastAsia" w:hAnsiTheme="minorEastAsia" w:eastAsiaTheme="minorEastAsia" w:cstheme="minorEastAsia"/>
          <w:b w:val="0"/>
          <w:bCs/>
          <w:color w:val="000000" w:themeColor="text1"/>
          <w:sz w:val="27"/>
          <w:szCs w:val="27"/>
          <w:highlight w:val="none"/>
          <w:lang w:val="en-US" w:eastAsia="zh-CN"/>
          <w14:textFill>
            <w14:solidFill>
              <w14:schemeClr w14:val="tx1"/>
            </w14:solidFill>
          </w14:textFill>
        </w:rPr>
        <w:t>141</w:t>
      </w:r>
      <w:r>
        <w:rPr>
          <w:rFonts w:hint="eastAsia" w:asciiTheme="minorEastAsia" w:hAnsiTheme="minorEastAsia" w:eastAsiaTheme="minorEastAsia" w:cstheme="minorEastAsia"/>
          <w:b w:val="0"/>
          <w:bCs/>
          <w:color w:val="000000" w:themeColor="text1"/>
          <w:sz w:val="27"/>
          <w:szCs w:val="27"/>
          <w:highlight w:val="none"/>
          <w14:textFill>
            <w14:solidFill>
              <w14:schemeClr w14:val="tx1"/>
            </w14:solidFill>
          </w14:textFill>
        </w:rPr>
        <w:t>人。退休人员1</w:t>
      </w:r>
      <w:r>
        <w:rPr>
          <w:rFonts w:hint="eastAsia" w:asciiTheme="minorEastAsia" w:hAnsiTheme="minorEastAsia" w:eastAsiaTheme="minorEastAsia" w:cstheme="minorEastAsia"/>
          <w:b w:val="0"/>
          <w:bCs/>
          <w:color w:val="000000" w:themeColor="text1"/>
          <w:sz w:val="27"/>
          <w:szCs w:val="27"/>
          <w:highlight w:val="none"/>
          <w:lang w:val="en-US" w:eastAsia="zh-CN"/>
          <w14:textFill>
            <w14:solidFill>
              <w14:schemeClr w14:val="tx1"/>
            </w14:solidFill>
          </w14:textFill>
        </w:rPr>
        <w:t>40</w:t>
      </w:r>
      <w:r>
        <w:rPr>
          <w:rFonts w:hint="eastAsia" w:asciiTheme="minorEastAsia" w:hAnsiTheme="minorEastAsia" w:eastAsiaTheme="minorEastAsia" w:cstheme="minorEastAsia"/>
          <w:b w:val="0"/>
          <w:bCs/>
          <w:color w:val="000000" w:themeColor="text1"/>
          <w:sz w:val="27"/>
          <w:szCs w:val="27"/>
          <w:highlight w:val="none"/>
          <w14:textFill>
            <w14:solidFill>
              <w14:schemeClr w14:val="tx1"/>
            </w14:solidFill>
          </w14:textFill>
        </w:rPr>
        <w:t>人。</w:t>
      </w:r>
    </w:p>
    <w:p>
      <w:pPr>
        <w:spacing w:line="360" w:lineRule="auto"/>
        <w:ind w:firstLine="540" w:firstLineChars="200"/>
        <w:rPr>
          <w:rFonts w:hint="eastAsia" w:asciiTheme="minorEastAsia" w:hAnsiTheme="minorEastAsia" w:eastAsiaTheme="minorEastAsia" w:cstheme="minorEastAsia"/>
          <w:b w:val="0"/>
          <w:bCs/>
          <w:color w:val="000000" w:themeColor="text1"/>
          <w:sz w:val="27"/>
          <w:szCs w:val="27"/>
          <w:highlight w:val="none"/>
          <w14:textFill>
            <w14:solidFill>
              <w14:schemeClr w14:val="tx1"/>
            </w14:solidFill>
          </w14:textFill>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二、重点工作计划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根据林业相关政策和省市林业工作的要求，结合我县林业工作实际，20</w:t>
      </w:r>
      <w:r>
        <w:rPr>
          <w:rFonts w:hint="eastAsia" w:asciiTheme="minorEastAsia" w:hAnsiTheme="minorEastAsia" w:eastAsiaTheme="minorEastAsia" w:cstheme="minorEastAsia"/>
          <w:i w:val="0"/>
          <w:iCs w:val="0"/>
          <w:caps w:val="0"/>
          <w:color w:val="3D3D3D"/>
          <w:spacing w:val="0"/>
          <w:sz w:val="27"/>
          <w:szCs w:val="27"/>
          <w:shd w:val="clear" w:fill="FFFFFF"/>
          <w:lang w:val="en-US" w:eastAsia="zh-CN"/>
        </w:rPr>
        <w:t>20</w:t>
      </w:r>
      <w:r>
        <w:rPr>
          <w:rFonts w:hint="eastAsia" w:asciiTheme="minorEastAsia" w:hAnsiTheme="minorEastAsia" w:eastAsiaTheme="minorEastAsia" w:cstheme="minorEastAsia"/>
          <w:i w:val="0"/>
          <w:iCs w:val="0"/>
          <w:caps w:val="0"/>
          <w:color w:val="3D3D3D"/>
          <w:spacing w:val="0"/>
          <w:sz w:val="27"/>
          <w:szCs w:val="27"/>
          <w:shd w:val="clear" w:fill="FFFFFF"/>
        </w:rPr>
        <w:t>年我县将重点抓好以下工作：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一）、加强森林资源保护管理工作，切实落实森林资源保护目标管理责任制。年初由县人民政府与各乡镇签订森林资源保护管理目标责任状：做好明年的森林资源保护与管理，加强林木采伐的设计与管理，进一步加强森林病虫害防治野生动植物保护工作，加强重点林地（退耕还林地、生态公益林地、天保林）的管护工作，做好征占用林地的审核审批，做好防治盗伐、滥伐林木及非法征占用林地的案件查处，加强森林防火工，严防重大森林火灾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（二）、大力开展造林绿化工作，扎实完成省市下达的各项工作任务。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一是以林相改造为重点扎实推进生态廊道建设。根据《湖南省人民政府办公厅关于加快推进生态廊道建设的意见》和《怀化市创建国家森林城市的实施方案》，结合我县实际，对生态廊道范围内，特别是对国、省道及高速公路和县级公路两旁的绿化实施提质改造。二是以重点项目为依托全面抓好人工造林。三是以“秀美村庄”示范村建设为抓手加快推进乡村绿化。20</w:t>
      </w:r>
      <w:r>
        <w:rPr>
          <w:rFonts w:hint="eastAsia" w:asciiTheme="minorEastAsia" w:hAnsiTheme="minorEastAsia" w:eastAsiaTheme="minorEastAsia" w:cstheme="minorEastAsia"/>
          <w:i w:val="0"/>
          <w:iCs w:val="0"/>
          <w:caps w:val="0"/>
          <w:color w:val="3D3D3D"/>
          <w:spacing w:val="0"/>
          <w:sz w:val="27"/>
          <w:szCs w:val="27"/>
          <w:shd w:val="clear" w:fill="FFFFFF"/>
          <w:lang w:val="en-US" w:eastAsia="zh-CN"/>
        </w:rPr>
        <w:t>20</w:t>
      </w:r>
      <w:r>
        <w:rPr>
          <w:rFonts w:hint="eastAsia" w:asciiTheme="minorEastAsia" w:hAnsiTheme="minorEastAsia" w:eastAsiaTheme="minorEastAsia" w:cstheme="minorEastAsia"/>
          <w:i w:val="0"/>
          <w:iCs w:val="0"/>
          <w:caps w:val="0"/>
          <w:color w:val="3D3D3D"/>
          <w:spacing w:val="0"/>
          <w:sz w:val="27"/>
          <w:szCs w:val="27"/>
          <w:shd w:val="clear" w:fill="FFFFFF"/>
        </w:rPr>
        <w:t>年，省市进一步推进“秀美村庄”建设，不断绿化美化农村人居环境，要求着力抓好乡村公共绿地建设和村旁、宅旁、路旁、水旁等“四旁”造林绿化工作，下达我县22个“秀美村庄”示范村的绿化建设任务，四是以“植树节”为契机认真开展全民义务植树。2018年义务植树活动，我局提前规划，及时组织实施，通过领导亲自示范、机关单位带头，大力宣传，带动全县人民广泛参与植树造林。五是加快仙人界森林公园建设。一方面加快仙人界省级森林公园的基础建设，从高、新、特出发，营造品牌，吸引四方来客；积极推进森林公园的总体规划通过省政府审批，将公园建设及创建国家级森林公园工作稳步推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（二）部门整体支出规模、使用方向和主要内容、涉及范围等。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i w:val="0"/>
          <w:iCs w:val="0"/>
          <w:caps w:val="0"/>
          <w:color w:val="3D3D3D"/>
          <w:spacing w:val="0"/>
          <w:sz w:val="27"/>
          <w:szCs w:val="27"/>
          <w:shd w:val="clear" w:fill="FFFFFF"/>
        </w:rPr>
        <w:t>部门整体支出</w:t>
      </w:r>
      <w:r>
        <w:rPr>
          <w:rFonts w:hint="eastAsia" w:asciiTheme="minorEastAsia" w:hAnsiTheme="minorEastAsia" w:eastAsiaTheme="minorEastAsia" w:cstheme="minorEastAsia"/>
          <w:i w:val="0"/>
          <w:iCs w:val="0"/>
          <w:caps w:val="0"/>
          <w:color w:val="3D3D3D"/>
          <w:spacing w:val="0"/>
          <w:sz w:val="27"/>
          <w:szCs w:val="27"/>
          <w:shd w:val="clear" w:fill="FFFFFF"/>
          <w:lang w:val="en-US" w:eastAsia="zh-CN"/>
        </w:rPr>
        <w:t>2262.69</w:t>
      </w:r>
      <w:r>
        <w:rPr>
          <w:rFonts w:hint="eastAsia" w:asciiTheme="minorEastAsia" w:hAnsiTheme="minorEastAsia" w:eastAsiaTheme="minorEastAsia" w:cstheme="minorEastAsia"/>
          <w:i w:val="0"/>
          <w:iCs w:val="0"/>
          <w:caps w:val="0"/>
          <w:color w:val="3D3D3D"/>
          <w:spacing w:val="0"/>
          <w:sz w:val="27"/>
          <w:szCs w:val="27"/>
          <w:shd w:val="clear" w:fill="FFFFFF"/>
        </w:rPr>
        <w:t>万元，全部为基本支出。其中人员经费支出</w:t>
      </w:r>
      <w:r>
        <w:rPr>
          <w:rFonts w:hint="eastAsia" w:asciiTheme="minorEastAsia" w:hAnsiTheme="minorEastAsia" w:eastAsiaTheme="minorEastAsia" w:cstheme="minorEastAsia"/>
          <w:i w:val="0"/>
          <w:iCs w:val="0"/>
          <w:caps w:val="0"/>
          <w:color w:val="3D3D3D"/>
          <w:spacing w:val="0"/>
          <w:sz w:val="27"/>
          <w:szCs w:val="27"/>
          <w:shd w:val="clear" w:fill="FFFFFF"/>
          <w:lang w:val="en-US" w:eastAsia="zh-CN"/>
        </w:rPr>
        <w:t>2132.8</w:t>
      </w:r>
      <w:r>
        <w:rPr>
          <w:rFonts w:hint="eastAsia" w:asciiTheme="minorEastAsia" w:hAnsiTheme="minorEastAsia" w:eastAsiaTheme="minorEastAsia" w:cstheme="minorEastAsia"/>
          <w:i w:val="0"/>
          <w:iCs w:val="0"/>
          <w:caps w:val="0"/>
          <w:color w:val="3D3D3D"/>
          <w:spacing w:val="0"/>
          <w:sz w:val="27"/>
          <w:szCs w:val="27"/>
          <w:shd w:val="clear" w:fill="FFFFFF"/>
        </w:rPr>
        <w:t>万元，占总支出的</w:t>
      </w:r>
      <w:r>
        <w:rPr>
          <w:rFonts w:hint="eastAsia" w:asciiTheme="minorEastAsia" w:hAnsiTheme="minorEastAsia" w:eastAsiaTheme="minorEastAsia" w:cstheme="minorEastAsia"/>
          <w:i w:val="0"/>
          <w:iCs w:val="0"/>
          <w:caps w:val="0"/>
          <w:color w:val="3D3D3D"/>
          <w:spacing w:val="0"/>
          <w:sz w:val="27"/>
          <w:szCs w:val="27"/>
          <w:shd w:val="clear" w:fill="FFFFFF"/>
          <w:lang w:val="en-US" w:eastAsia="zh-CN"/>
        </w:rPr>
        <w:t>94.26</w:t>
      </w:r>
      <w:r>
        <w:rPr>
          <w:rFonts w:hint="eastAsia" w:asciiTheme="minorEastAsia" w:hAnsiTheme="minorEastAsia" w:eastAsiaTheme="minorEastAsia" w:cstheme="minorEastAsia"/>
          <w:i w:val="0"/>
          <w:iCs w:val="0"/>
          <w:caps w:val="0"/>
          <w:color w:val="3D3D3D"/>
          <w:spacing w:val="0"/>
          <w:sz w:val="27"/>
          <w:szCs w:val="27"/>
          <w:shd w:val="clear" w:fill="FFFFFF"/>
        </w:rPr>
        <w:t>%；公用经费支出</w:t>
      </w:r>
      <w:r>
        <w:rPr>
          <w:rFonts w:hint="eastAsia" w:asciiTheme="minorEastAsia" w:hAnsiTheme="minorEastAsia" w:eastAsiaTheme="minorEastAsia" w:cstheme="minorEastAsia"/>
          <w:i w:val="0"/>
          <w:iCs w:val="0"/>
          <w:caps w:val="0"/>
          <w:color w:val="3D3D3D"/>
          <w:spacing w:val="0"/>
          <w:sz w:val="27"/>
          <w:szCs w:val="27"/>
          <w:shd w:val="clear" w:fill="FFFFFF"/>
          <w:lang w:val="en-US" w:eastAsia="zh-CN"/>
        </w:rPr>
        <w:t>129.89</w:t>
      </w:r>
      <w:r>
        <w:rPr>
          <w:rFonts w:hint="eastAsia" w:asciiTheme="minorEastAsia" w:hAnsiTheme="minorEastAsia" w:eastAsiaTheme="minorEastAsia" w:cstheme="minorEastAsia"/>
          <w:i w:val="0"/>
          <w:iCs w:val="0"/>
          <w:caps w:val="0"/>
          <w:color w:val="3D3D3D"/>
          <w:spacing w:val="0"/>
          <w:sz w:val="27"/>
          <w:szCs w:val="27"/>
          <w:shd w:val="clear" w:fill="FFFFFF"/>
        </w:rPr>
        <w:t>万元，占总支出的</w:t>
      </w:r>
      <w:r>
        <w:rPr>
          <w:rFonts w:hint="eastAsia" w:asciiTheme="minorEastAsia" w:hAnsiTheme="minorEastAsia" w:eastAsiaTheme="minorEastAsia" w:cstheme="minorEastAsia"/>
          <w:i w:val="0"/>
          <w:iCs w:val="0"/>
          <w:caps w:val="0"/>
          <w:color w:val="3D3D3D"/>
          <w:spacing w:val="0"/>
          <w:sz w:val="27"/>
          <w:szCs w:val="27"/>
          <w:shd w:val="clear" w:fill="FFFFFF"/>
          <w:lang w:val="en-US" w:eastAsia="zh-CN"/>
        </w:rPr>
        <w:t>57.44</w:t>
      </w:r>
      <w:r>
        <w:rPr>
          <w:rFonts w:hint="eastAsia" w:asciiTheme="minorEastAsia" w:hAnsiTheme="minorEastAsia" w:eastAsiaTheme="minorEastAsia" w:cstheme="minorEastAsia"/>
          <w:i w:val="0"/>
          <w:iCs w:val="0"/>
          <w:caps w:val="0"/>
          <w:color w:val="3D3D3D"/>
          <w:spacing w:val="0"/>
          <w:sz w:val="27"/>
          <w:szCs w:val="27"/>
          <w:shd w:val="clear" w:fill="FFFFFF"/>
        </w:rPr>
        <w:t>%.</w:t>
      </w:r>
    </w:p>
    <w:p>
      <w:pPr>
        <w:pStyle w:val="6"/>
        <w:spacing w:line="360" w:lineRule="auto"/>
        <w:ind w:firstLine="540" w:firstLineChars="200"/>
        <w:rPr>
          <w:rFonts w:hint="eastAsia" w:asciiTheme="minorEastAsia" w:hAnsiTheme="minorEastAsia" w:eastAsiaTheme="minorEastAsia" w:cstheme="minorEastAsia"/>
          <w:sz w:val="27"/>
          <w:szCs w:val="27"/>
        </w:rPr>
      </w:pPr>
      <w:r>
        <w:rPr>
          <w:rFonts w:hint="eastAsia" w:asciiTheme="minorEastAsia" w:hAnsiTheme="minorEastAsia" w:eastAsiaTheme="minorEastAsia" w:cstheme="minorEastAsia"/>
          <w:sz w:val="27"/>
          <w:szCs w:val="27"/>
          <w:lang w:val="en-US" w:eastAsia="zh-CN"/>
        </w:rPr>
        <w:t>2</w:t>
      </w:r>
      <w:r>
        <w:rPr>
          <w:rFonts w:hint="eastAsia" w:asciiTheme="minorEastAsia" w:hAnsiTheme="minorEastAsia" w:eastAsiaTheme="minorEastAsia" w:cstheme="minorEastAsia"/>
          <w:sz w:val="27"/>
          <w:szCs w:val="27"/>
        </w:rPr>
        <w:t>020年度财政拨款基本支出</w:t>
      </w:r>
      <w:r>
        <w:rPr>
          <w:rFonts w:hint="eastAsia" w:asciiTheme="minorEastAsia" w:hAnsiTheme="minorEastAsia" w:eastAsiaTheme="minorEastAsia" w:cstheme="minorEastAsia"/>
          <w:sz w:val="27"/>
          <w:szCs w:val="27"/>
          <w:lang w:val="en-US" w:eastAsia="zh-CN"/>
        </w:rPr>
        <w:t>2262.69</w:t>
      </w:r>
      <w:r>
        <w:rPr>
          <w:rFonts w:hint="eastAsia" w:asciiTheme="minorEastAsia" w:hAnsiTheme="minorEastAsia" w:eastAsiaTheme="minorEastAsia" w:cstheme="minorEastAsia"/>
          <w:sz w:val="27"/>
          <w:szCs w:val="27"/>
        </w:rPr>
        <w:t>万元，其中：人员经费</w:t>
      </w:r>
      <w:r>
        <w:rPr>
          <w:rFonts w:hint="eastAsia" w:asciiTheme="minorEastAsia" w:hAnsiTheme="minorEastAsia" w:eastAsiaTheme="minorEastAsia" w:cstheme="minorEastAsia"/>
          <w:sz w:val="27"/>
          <w:szCs w:val="27"/>
          <w:lang w:val="en-US" w:eastAsia="zh-CN"/>
        </w:rPr>
        <w:t>2132.8</w:t>
      </w:r>
      <w:r>
        <w:rPr>
          <w:rFonts w:hint="eastAsia" w:asciiTheme="minorEastAsia" w:hAnsiTheme="minorEastAsia" w:eastAsiaTheme="minorEastAsia" w:cstheme="minorEastAsia"/>
          <w:sz w:val="27"/>
          <w:szCs w:val="27"/>
        </w:rPr>
        <w:t>万元，占基本支出的</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lang w:val="en-US" w:eastAsia="zh-CN"/>
        </w:rPr>
        <w:t>94.26</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rPr>
        <w:t>%,主要包括基本工资</w:t>
      </w:r>
      <w:r>
        <w:rPr>
          <w:rFonts w:hint="eastAsia" w:asciiTheme="minorEastAsia" w:hAnsiTheme="minorEastAsia" w:eastAsiaTheme="minorEastAsia" w:cstheme="minorEastAsia"/>
          <w:sz w:val="27"/>
          <w:szCs w:val="27"/>
          <w:lang w:val="en-US" w:eastAsia="zh-CN"/>
        </w:rPr>
        <w:t>1080.45万元</w:t>
      </w:r>
      <w:r>
        <w:rPr>
          <w:rFonts w:hint="eastAsia" w:asciiTheme="minorEastAsia" w:hAnsiTheme="minorEastAsia" w:eastAsiaTheme="minorEastAsia" w:cstheme="minorEastAsia"/>
          <w:sz w:val="27"/>
          <w:szCs w:val="27"/>
        </w:rPr>
        <w:t>、津贴补贴</w:t>
      </w:r>
      <w:r>
        <w:rPr>
          <w:rFonts w:hint="eastAsia" w:asciiTheme="minorEastAsia" w:hAnsiTheme="minorEastAsia" w:eastAsiaTheme="minorEastAsia" w:cstheme="minorEastAsia"/>
          <w:sz w:val="27"/>
          <w:szCs w:val="27"/>
          <w:lang w:val="en-US" w:eastAsia="zh-CN"/>
        </w:rPr>
        <w:t>611.11万元</w:t>
      </w:r>
      <w:r>
        <w:rPr>
          <w:rFonts w:hint="eastAsia" w:asciiTheme="minorEastAsia" w:hAnsiTheme="minorEastAsia" w:eastAsiaTheme="minorEastAsia" w:cstheme="minorEastAsia"/>
          <w:sz w:val="27"/>
          <w:szCs w:val="27"/>
        </w:rPr>
        <w:t>、</w:t>
      </w:r>
      <w:r>
        <w:rPr>
          <w:rFonts w:hint="eastAsia" w:asciiTheme="minorEastAsia" w:hAnsiTheme="minorEastAsia" w:eastAsiaTheme="minorEastAsia" w:cstheme="minorEastAsia"/>
          <w:sz w:val="27"/>
          <w:szCs w:val="27"/>
          <w:lang w:eastAsia="zh-CN"/>
        </w:rPr>
        <w:t>绩效工资</w:t>
      </w:r>
      <w:r>
        <w:rPr>
          <w:rFonts w:hint="eastAsia" w:asciiTheme="minorEastAsia" w:hAnsiTheme="minorEastAsia" w:eastAsiaTheme="minorEastAsia" w:cstheme="minorEastAsia"/>
          <w:sz w:val="27"/>
          <w:szCs w:val="27"/>
          <w:lang w:val="en-US" w:eastAsia="zh-CN"/>
        </w:rPr>
        <w:t>76.04万元、机关事业单位基本养老保险缴费177.14万元、职工基本医疗保险缴费82.6万元、其他社会保障缴费30.91万元、住房公积金57.44万元、抚恤金8.71万元、生活补助8.4万元</w:t>
      </w:r>
      <w:r>
        <w:rPr>
          <w:rFonts w:hint="eastAsia" w:asciiTheme="minorEastAsia" w:hAnsiTheme="minorEastAsia" w:eastAsiaTheme="minorEastAsia" w:cstheme="minorEastAsia"/>
          <w:sz w:val="27"/>
          <w:szCs w:val="27"/>
        </w:rPr>
        <w:t>；公用经费</w:t>
      </w:r>
      <w:r>
        <w:rPr>
          <w:rFonts w:hint="eastAsia" w:asciiTheme="minorEastAsia" w:hAnsiTheme="minorEastAsia" w:eastAsiaTheme="minorEastAsia" w:cstheme="minorEastAsia"/>
          <w:sz w:val="27"/>
          <w:szCs w:val="27"/>
          <w:lang w:val="en-US" w:eastAsia="zh-CN"/>
        </w:rPr>
        <w:t>129.89</w:t>
      </w:r>
      <w:r>
        <w:rPr>
          <w:rFonts w:hint="eastAsia" w:asciiTheme="minorEastAsia" w:hAnsiTheme="minorEastAsia" w:eastAsiaTheme="minorEastAsia" w:cstheme="minorEastAsia"/>
          <w:sz w:val="27"/>
          <w:szCs w:val="27"/>
        </w:rPr>
        <w:t>万元，占基本支出的</w:t>
      </w:r>
      <w:r>
        <w:rPr>
          <w:rFonts w:hint="eastAsia" w:asciiTheme="minorEastAsia" w:hAnsiTheme="minorEastAsia" w:eastAsiaTheme="minorEastAsia" w:cstheme="minorEastAsia"/>
          <w:sz w:val="27"/>
          <w:szCs w:val="27"/>
          <w:lang w:val="en-US" w:eastAsia="zh-CN"/>
        </w:rPr>
        <w:t>5.74</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rPr>
        <w:t>%，主要包括办公费</w:t>
      </w:r>
      <w:r>
        <w:rPr>
          <w:rFonts w:hint="eastAsia" w:asciiTheme="minorEastAsia" w:hAnsiTheme="minorEastAsia" w:eastAsiaTheme="minorEastAsia" w:cstheme="minorEastAsia"/>
          <w:sz w:val="27"/>
          <w:szCs w:val="27"/>
          <w:lang w:val="en-US" w:eastAsia="zh-CN"/>
        </w:rPr>
        <w:t>9.11万元</w:t>
      </w:r>
      <w:r>
        <w:rPr>
          <w:rFonts w:hint="eastAsia" w:asciiTheme="minorEastAsia" w:hAnsiTheme="minorEastAsia" w:eastAsiaTheme="minorEastAsia" w:cstheme="minorEastAsia"/>
          <w:sz w:val="27"/>
          <w:szCs w:val="27"/>
        </w:rPr>
        <w:t>、印刷费</w:t>
      </w:r>
      <w:r>
        <w:rPr>
          <w:rFonts w:hint="eastAsia" w:asciiTheme="minorEastAsia" w:hAnsiTheme="minorEastAsia" w:eastAsiaTheme="minorEastAsia" w:cstheme="minorEastAsia"/>
          <w:sz w:val="27"/>
          <w:szCs w:val="27"/>
          <w:lang w:val="en-US" w:eastAsia="zh-CN"/>
        </w:rPr>
        <w:t>7.74万元</w:t>
      </w:r>
      <w:r>
        <w:rPr>
          <w:rFonts w:hint="eastAsia" w:asciiTheme="minorEastAsia" w:hAnsiTheme="minorEastAsia" w:eastAsiaTheme="minorEastAsia" w:cstheme="minorEastAsia"/>
          <w:sz w:val="27"/>
          <w:szCs w:val="27"/>
        </w:rPr>
        <w:t>、咨询费</w:t>
      </w:r>
      <w:r>
        <w:rPr>
          <w:rFonts w:hint="eastAsia" w:asciiTheme="minorEastAsia" w:hAnsiTheme="minorEastAsia" w:eastAsiaTheme="minorEastAsia" w:cstheme="minorEastAsia"/>
          <w:sz w:val="27"/>
          <w:szCs w:val="27"/>
          <w:lang w:val="en-US" w:eastAsia="zh-CN"/>
        </w:rPr>
        <w:t>2万元</w:t>
      </w:r>
      <w:r>
        <w:rPr>
          <w:rFonts w:hint="eastAsia" w:asciiTheme="minorEastAsia" w:hAnsiTheme="minorEastAsia" w:eastAsiaTheme="minorEastAsia" w:cstheme="minorEastAsia"/>
          <w:sz w:val="27"/>
          <w:szCs w:val="27"/>
        </w:rPr>
        <w:t>、</w:t>
      </w:r>
      <w:r>
        <w:rPr>
          <w:rFonts w:hint="eastAsia" w:asciiTheme="minorEastAsia" w:hAnsiTheme="minorEastAsia" w:eastAsiaTheme="minorEastAsia" w:cstheme="minorEastAsia"/>
          <w:sz w:val="27"/>
          <w:szCs w:val="27"/>
          <w:lang w:eastAsia="zh-CN"/>
        </w:rPr>
        <w:t>水费</w:t>
      </w:r>
      <w:r>
        <w:rPr>
          <w:rFonts w:hint="eastAsia" w:asciiTheme="minorEastAsia" w:hAnsiTheme="minorEastAsia" w:eastAsiaTheme="minorEastAsia" w:cstheme="minorEastAsia"/>
          <w:sz w:val="27"/>
          <w:szCs w:val="27"/>
          <w:lang w:val="en-US" w:eastAsia="zh-CN"/>
        </w:rPr>
        <w:t>0.43万元、电费4.03万元、邮电费3.22万元、物业管理费7.8万元、差旅费10.53万元、维修费4.47万元、会议费1.54万元、培训费0.81万元、公务接待费7.76万元、工会经费28万元、公务用车运行维护费13.04万元、其他交通费6.59万元、办公设备购置13.68万元、专用设备购置4.57万元</w:t>
      </w:r>
      <w:r>
        <w:rPr>
          <w:rFonts w:hint="eastAsia" w:asciiTheme="minorEastAsia" w:hAnsiTheme="minorEastAsia" w:eastAsiaTheme="minorEastAsia" w:cstheme="minorEastAsia"/>
          <w:sz w:val="27"/>
          <w:szCs w:val="27"/>
        </w:rPr>
        <w:t>。</w:t>
      </w:r>
    </w:p>
    <w:p>
      <w:pPr>
        <w:pStyle w:val="6"/>
        <w:spacing w:line="360" w:lineRule="auto"/>
        <w:ind w:firstLine="540" w:firstLineChars="200"/>
        <w:rPr>
          <w:rFonts w:hint="eastAsia" w:asciiTheme="minorEastAsia" w:hAnsiTheme="minorEastAsia" w:eastAsiaTheme="minorEastAsia" w:cstheme="minorEastAsia"/>
          <w:sz w:val="27"/>
          <w:szCs w:val="27"/>
        </w:rPr>
      </w:pPr>
      <w:r>
        <w:rPr>
          <w:rFonts w:hint="eastAsia" w:asciiTheme="minorEastAsia" w:hAnsiTheme="minorEastAsia" w:eastAsiaTheme="minorEastAsia" w:cstheme="minorEastAsia"/>
          <w:sz w:val="27"/>
          <w:szCs w:val="27"/>
        </w:rPr>
        <w:t>2020年度“三公”经费财政拨款支出决算中，公务接待费支出决算</w:t>
      </w:r>
      <w:r>
        <w:rPr>
          <w:rFonts w:hint="eastAsia" w:asciiTheme="minorEastAsia" w:hAnsiTheme="minorEastAsia" w:eastAsiaTheme="minorEastAsia" w:cstheme="minorEastAsia"/>
          <w:sz w:val="27"/>
          <w:szCs w:val="27"/>
          <w:lang w:val="en-US" w:eastAsia="zh-CN"/>
        </w:rPr>
        <w:t>7.76</w:t>
      </w:r>
      <w:r>
        <w:rPr>
          <w:rFonts w:hint="eastAsia" w:asciiTheme="minorEastAsia" w:hAnsiTheme="minorEastAsia" w:eastAsiaTheme="minorEastAsia" w:cstheme="minorEastAsia"/>
          <w:sz w:val="27"/>
          <w:szCs w:val="27"/>
        </w:rPr>
        <w:t>万元，占</w:t>
      </w:r>
      <w:r>
        <w:rPr>
          <w:rFonts w:hint="eastAsia" w:asciiTheme="minorEastAsia" w:hAnsiTheme="minorEastAsia" w:eastAsiaTheme="minorEastAsia" w:cstheme="minorEastAsia"/>
          <w:sz w:val="27"/>
          <w:szCs w:val="27"/>
          <w:lang w:val="en-US" w:eastAsia="zh-CN"/>
        </w:rPr>
        <w:t>37.31</w:t>
      </w:r>
      <w:r>
        <w:rPr>
          <w:rFonts w:hint="eastAsia" w:asciiTheme="minorEastAsia" w:hAnsiTheme="minorEastAsia" w:eastAsiaTheme="minorEastAsia" w:cstheme="minorEastAsia"/>
          <w:sz w:val="27"/>
          <w:szCs w:val="27"/>
        </w:rPr>
        <w:t>%,因公出国（境）费支出决算</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lang w:val="en-US" w:eastAsia="zh-CN"/>
        </w:rPr>
        <w:t>0</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rPr>
        <w:t>万元，占</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lang w:val="en-US" w:eastAsia="zh-CN"/>
        </w:rPr>
        <w:t>0</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rPr>
        <w:t>%,公务用车购置费及运行维护费支出决算</w:t>
      </w:r>
      <w:r>
        <w:rPr>
          <w:rFonts w:hint="eastAsia" w:asciiTheme="minorEastAsia" w:hAnsiTheme="minorEastAsia" w:eastAsiaTheme="minorEastAsia" w:cstheme="minorEastAsia"/>
          <w:sz w:val="27"/>
          <w:szCs w:val="27"/>
          <w:lang w:val="en-US" w:eastAsia="zh-CN"/>
        </w:rPr>
        <w:t>13.04</w:t>
      </w:r>
      <w:r>
        <w:rPr>
          <w:rFonts w:hint="eastAsia" w:asciiTheme="minorEastAsia" w:hAnsiTheme="minorEastAsia" w:eastAsiaTheme="minorEastAsia" w:cstheme="minorEastAsia"/>
          <w:sz w:val="27"/>
          <w:szCs w:val="27"/>
        </w:rPr>
        <w:t>万元，占</w:t>
      </w:r>
      <w:r>
        <w:rPr>
          <w:rFonts w:hint="eastAsia" w:asciiTheme="minorEastAsia" w:hAnsiTheme="minorEastAsia" w:eastAsiaTheme="minorEastAsia" w:cstheme="minorEastAsia"/>
          <w:sz w:val="27"/>
          <w:szCs w:val="27"/>
          <w:lang w:val="en-US" w:eastAsia="zh-CN"/>
        </w:rPr>
        <w:t>62.69</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rPr>
        <w:t>%。其中：</w:t>
      </w:r>
    </w:p>
    <w:p>
      <w:pPr>
        <w:pStyle w:val="6"/>
        <w:spacing w:line="360" w:lineRule="auto"/>
        <w:ind w:firstLine="540" w:firstLineChars="200"/>
        <w:rPr>
          <w:rFonts w:hint="eastAsia" w:asciiTheme="minorEastAsia" w:hAnsiTheme="minorEastAsia" w:eastAsiaTheme="minorEastAsia" w:cstheme="minorEastAsia"/>
          <w:b/>
          <w:sz w:val="27"/>
          <w:szCs w:val="27"/>
        </w:rPr>
      </w:pPr>
      <w:r>
        <w:rPr>
          <w:rFonts w:hint="eastAsia" w:asciiTheme="minorEastAsia" w:hAnsiTheme="minorEastAsia" w:eastAsiaTheme="minorEastAsia" w:cstheme="minorEastAsia"/>
          <w:sz w:val="27"/>
          <w:szCs w:val="27"/>
        </w:rPr>
        <w:t>1、因公出国（境）费支出决算为</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lang w:val="en-US" w:eastAsia="zh-CN"/>
        </w:rPr>
        <w:t>0</w:t>
      </w:r>
      <w:r>
        <w:rPr>
          <w:rFonts w:hint="eastAsia" w:asciiTheme="minorEastAsia" w:hAnsiTheme="minorEastAsia" w:eastAsiaTheme="minorEastAsia" w:cstheme="minorEastAsia"/>
          <w:sz w:val="27"/>
          <w:szCs w:val="27"/>
        </w:rPr>
        <w:t>万元，全年安排因公出国（境）团组</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lang w:val="en-US" w:eastAsia="zh-CN"/>
        </w:rPr>
        <w:t>0</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rPr>
        <w:t>个，累计</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lang w:val="en-US" w:eastAsia="zh-CN"/>
        </w:rPr>
        <w:t>0</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rPr>
        <w:t>人次,开支内容包括：</w:t>
      </w:r>
    </w:p>
    <w:p>
      <w:pPr>
        <w:pStyle w:val="6"/>
        <w:spacing w:line="360" w:lineRule="auto"/>
        <w:ind w:firstLine="675" w:firstLineChars="250"/>
        <w:rPr>
          <w:rFonts w:hint="eastAsia" w:asciiTheme="minorEastAsia" w:hAnsiTheme="minorEastAsia" w:eastAsiaTheme="minorEastAsia" w:cstheme="minorEastAsia"/>
          <w:sz w:val="27"/>
          <w:szCs w:val="27"/>
        </w:rPr>
      </w:pPr>
      <w:r>
        <w:rPr>
          <w:rFonts w:hint="eastAsia" w:asciiTheme="minorEastAsia" w:hAnsiTheme="minorEastAsia" w:eastAsiaTheme="minorEastAsia" w:cstheme="minorEastAsia"/>
          <w:sz w:val="27"/>
          <w:szCs w:val="27"/>
        </w:rPr>
        <w:t>2、公务接待费支出决算为</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lang w:val="en-US" w:eastAsia="zh-CN"/>
        </w:rPr>
        <w:t>7.76</w:t>
      </w:r>
      <w:r>
        <w:rPr>
          <w:rFonts w:hint="eastAsia" w:asciiTheme="minorEastAsia" w:hAnsiTheme="minorEastAsia" w:eastAsiaTheme="minorEastAsia" w:cstheme="minorEastAsia"/>
          <w:sz w:val="27"/>
          <w:szCs w:val="27"/>
        </w:rPr>
        <w:t>万元，全年共接待来访团组</w:t>
      </w:r>
      <w:r>
        <w:rPr>
          <w:rFonts w:hint="eastAsia" w:asciiTheme="minorEastAsia" w:hAnsiTheme="minorEastAsia" w:eastAsiaTheme="minorEastAsia" w:cstheme="minorEastAsia"/>
          <w:sz w:val="27"/>
          <w:szCs w:val="27"/>
          <w:lang w:val="en-US" w:eastAsia="zh-CN"/>
        </w:rPr>
        <w:t>162</w:t>
      </w:r>
      <w:r>
        <w:rPr>
          <w:rFonts w:hint="eastAsia" w:asciiTheme="minorEastAsia" w:hAnsiTheme="minorEastAsia" w:eastAsiaTheme="minorEastAsia" w:cstheme="minorEastAsia"/>
          <w:sz w:val="27"/>
          <w:szCs w:val="27"/>
        </w:rPr>
        <w:t>个、来宾</w:t>
      </w:r>
      <w:r>
        <w:rPr>
          <w:rFonts w:hint="eastAsia" w:asciiTheme="minorEastAsia" w:hAnsiTheme="minorEastAsia" w:eastAsiaTheme="minorEastAsia" w:cstheme="minorEastAsia"/>
          <w:sz w:val="27"/>
          <w:szCs w:val="27"/>
          <w:lang w:val="en-US" w:eastAsia="zh-CN"/>
        </w:rPr>
        <w:t>785</w:t>
      </w:r>
      <w:r>
        <w:rPr>
          <w:rFonts w:hint="eastAsia" w:asciiTheme="minorEastAsia" w:hAnsiTheme="minorEastAsia" w:eastAsiaTheme="minorEastAsia" w:cstheme="minorEastAsia"/>
          <w:sz w:val="27"/>
          <w:szCs w:val="27"/>
        </w:rPr>
        <w:t>人次，主要是</w:t>
      </w:r>
      <w:r>
        <w:rPr>
          <w:rFonts w:hint="eastAsia" w:asciiTheme="minorEastAsia" w:hAnsiTheme="minorEastAsia" w:eastAsiaTheme="minorEastAsia" w:cstheme="minorEastAsia"/>
          <w:sz w:val="27"/>
          <w:szCs w:val="27"/>
          <w:lang w:eastAsia="zh-CN"/>
        </w:rPr>
        <w:t>国家、省级、市级工作组来我县专项资金及项目的检查、验收</w:t>
      </w:r>
      <w:r>
        <w:rPr>
          <w:rFonts w:hint="eastAsia" w:asciiTheme="minorEastAsia" w:hAnsiTheme="minorEastAsia" w:eastAsiaTheme="minorEastAsia" w:cstheme="minorEastAsia"/>
          <w:sz w:val="27"/>
          <w:szCs w:val="27"/>
        </w:rPr>
        <w:t>发生的接待支出。</w:t>
      </w:r>
    </w:p>
    <w:p>
      <w:pPr>
        <w:spacing w:line="360" w:lineRule="auto"/>
        <w:ind w:firstLine="675" w:firstLineChars="250"/>
        <w:rPr>
          <w:rFonts w:hint="eastAsia" w:asciiTheme="minorEastAsia" w:hAnsiTheme="minorEastAsia" w:eastAsiaTheme="minorEastAsia" w:cstheme="minorEastAsia"/>
          <w:color w:val="000000"/>
          <w:kern w:val="0"/>
          <w:sz w:val="27"/>
          <w:szCs w:val="27"/>
        </w:rPr>
      </w:pPr>
      <w:r>
        <w:rPr>
          <w:rFonts w:hint="eastAsia" w:asciiTheme="minorEastAsia" w:hAnsiTheme="minorEastAsia" w:eastAsiaTheme="minorEastAsia" w:cstheme="minorEastAsia"/>
          <w:sz w:val="27"/>
          <w:szCs w:val="27"/>
        </w:rPr>
        <w:t>3、公务用车购置费及运行维护费支出决算为</w:t>
      </w:r>
      <w:r>
        <w:rPr>
          <w:rFonts w:hint="eastAsia" w:asciiTheme="minorEastAsia" w:hAnsiTheme="minorEastAsia" w:eastAsiaTheme="minorEastAsia" w:cstheme="minorEastAsia"/>
          <w:sz w:val="27"/>
          <w:szCs w:val="27"/>
          <w:lang w:val="en-US" w:eastAsia="zh-CN"/>
        </w:rPr>
        <w:t>13.04</w:t>
      </w:r>
      <w:r>
        <w:rPr>
          <w:rFonts w:hint="eastAsia" w:asciiTheme="minorEastAsia" w:hAnsiTheme="minorEastAsia" w:eastAsiaTheme="minorEastAsia" w:cstheme="minorEastAsia"/>
          <w:sz w:val="27"/>
          <w:szCs w:val="27"/>
        </w:rPr>
        <w:t>万元，其中：公务用车购置费</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lang w:val="en-US" w:eastAsia="zh-CN"/>
        </w:rPr>
        <w:t>0</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rPr>
        <w:t>万元，</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rPr>
        <w:t>（单位本级或某二级机构）更新公务用车</w:t>
      </w:r>
      <w:r>
        <w:rPr>
          <w:rFonts w:hint="eastAsia" w:asciiTheme="minorEastAsia" w:hAnsiTheme="minorEastAsia" w:eastAsiaTheme="minorEastAsia" w:cstheme="minorEastAsia"/>
          <w:sz w:val="27"/>
          <w:szCs w:val="27"/>
          <w:lang w:val="en-US" w:eastAsia="zh-CN"/>
        </w:rPr>
        <w:t>0</w:t>
      </w:r>
      <w:r>
        <w:rPr>
          <w:rFonts w:hint="eastAsia" w:asciiTheme="minorEastAsia" w:hAnsiTheme="minorEastAsia" w:eastAsiaTheme="minorEastAsia" w:cstheme="minorEastAsia"/>
          <w:sz w:val="27"/>
          <w:szCs w:val="27"/>
        </w:rPr>
        <w:t>辆</w:t>
      </w:r>
      <w:r>
        <w:rPr>
          <w:rFonts w:hint="eastAsia" w:asciiTheme="minorEastAsia" w:hAnsiTheme="minorEastAsia" w:eastAsiaTheme="minorEastAsia" w:cstheme="minorEastAsia"/>
          <w:color w:val="000000" w:themeColor="text1"/>
          <w:sz w:val="27"/>
          <w:szCs w:val="27"/>
          <w14:textFill>
            <w14:solidFill>
              <w14:schemeClr w14:val="tx1"/>
            </w14:solidFill>
          </w14:textFill>
        </w:rPr>
        <w:t>。</w:t>
      </w:r>
      <w:r>
        <w:rPr>
          <w:rFonts w:hint="eastAsia" w:asciiTheme="minorEastAsia" w:hAnsiTheme="minorEastAsia" w:eastAsiaTheme="minorEastAsia" w:cstheme="minorEastAsia"/>
          <w:sz w:val="27"/>
          <w:szCs w:val="27"/>
        </w:rPr>
        <w:t>公务用车运行维护费</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lang w:val="en-US" w:eastAsia="zh-CN"/>
        </w:rPr>
        <w:t>13.04</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rPr>
        <w:t>万元，主要是</w:t>
      </w:r>
      <w:r>
        <w:rPr>
          <w:rFonts w:hint="eastAsia" w:asciiTheme="minorEastAsia" w:hAnsiTheme="minorEastAsia" w:eastAsiaTheme="minorEastAsia" w:cstheme="minorEastAsia"/>
          <w:sz w:val="27"/>
          <w:szCs w:val="27"/>
          <w:lang w:eastAsia="zh-CN"/>
        </w:rPr>
        <w:t>扶贫下乡、专项资金检查、验收用车维护费</w:t>
      </w:r>
      <w:r>
        <w:rPr>
          <w:rFonts w:hint="eastAsia" w:asciiTheme="minorEastAsia" w:hAnsiTheme="minorEastAsia" w:eastAsiaTheme="minorEastAsia" w:cstheme="minorEastAsia"/>
          <w:sz w:val="27"/>
          <w:szCs w:val="27"/>
        </w:rPr>
        <w:t>支出，截止2020年12月31日，我单位开支财政拨款的公务用车保有量为</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lang w:val="en-US" w:eastAsia="zh-CN"/>
        </w:rPr>
        <w:t>2</w:t>
      </w:r>
      <w:r>
        <w:rPr>
          <w:rFonts w:hint="eastAsia" w:asciiTheme="minorEastAsia" w:hAnsiTheme="minorEastAsia" w:eastAsiaTheme="minorEastAsia" w:cstheme="minorEastAsia"/>
          <w:sz w:val="27"/>
          <w:szCs w:val="27"/>
          <w:lang w:eastAsia="zh-CN"/>
        </w:rPr>
        <w:t xml:space="preserve"> </w:t>
      </w:r>
      <w:r>
        <w:rPr>
          <w:rFonts w:hint="eastAsia" w:asciiTheme="minorEastAsia" w:hAnsiTheme="minorEastAsia" w:eastAsiaTheme="minorEastAsia" w:cstheme="minorEastAsia"/>
          <w:sz w:val="27"/>
          <w:szCs w:val="27"/>
        </w:rPr>
        <w:t>辆。</w:t>
      </w:r>
    </w:p>
    <w:p>
      <w:pPr>
        <w:pStyle w:val="5"/>
        <w:widowControl/>
        <w:spacing w:line="360" w:lineRule="auto"/>
        <w:ind w:left="640" w:firstLine="0" w:firstLineChars="0"/>
        <w:rPr>
          <w:rFonts w:hint="eastAsia" w:asciiTheme="minorEastAsia" w:hAnsiTheme="minorEastAsia" w:eastAsiaTheme="minorEastAsia" w:cstheme="minorEastAsia"/>
          <w:sz w:val="32"/>
          <w:szCs w:val="32"/>
        </w:rPr>
      </w:pPr>
    </w:p>
    <w:p>
      <w:pPr>
        <w:pStyle w:val="5"/>
        <w:widowControl/>
        <w:spacing w:line="360" w:lineRule="auto"/>
        <w:ind w:left="640" w:firstLine="0" w:firstLineChars="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项目支出情况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1、专项资金（包括财政资金、自筹资金等）安排落实、总投入等情况分析。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（1）森林病虫害防治计划总投资</w:t>
      </w:r>
      <w:r>
        <w:rPr>
          <w:rFonts w:hint="eastAsia" w:asciiTheme="minorEastAsia" w:hAnsiTheme="minorEastAsia" w:eastAsiaTheme="minorEastAsia" w:cstheme="minorEastAsia"/>
          <w:i w:val="0"/>
          <w:iCs w:val="0"/>
          <w:caps w:val="0"/>
          <w:color w:val="3D3D3D"/>
          <w:spacing w:val="0"/>
          <w:sz w:val="27"/>
          <w:szCs w:val="27"/>
          <w:shd w:val="clear" w:fill="FFFFFF"/>
          <w:lang w:val="en-US" w:eastAsia="zh-CN"/>
        </w:rPr>
        <w:t>3</w:t>
      </w:r>
      <w:r>
        <w:rPr>
          <w:rFonts w:hint="eastAsia" w:asciiTheme="minorEastAsia" w:hAnsiTheme="minorEastAsia" w:eastAsiaTheme="minorEastAsia" w:cstheme="minorEastAsia"/>
          <w:i w:val="0"/>
          <w:iCs w:val="0"/>
          <w:caps w:val="0"/>
          <w:color w:val="3D3D3D"/>
          <w:spacing w:val="0"/>
          <w:sz w:val="27"/>
          <w:szCs w:val="27"/>
          <w:shd w:val="clear" w:fill="FFFFFF"/>
        </w:rPr>
        <w:t>0万元，到位资金</w:t>
      </w:r>
      <w:r>
        <w:rPr>
          <w:rFonts w:hint="eastAsia" w:asciiTheme="minorEastAsia" w:hAnsiTheme="minorEastAsia" w:eastAsiaTheme="minorEastAsia" w:cstheme="minorEastAsia"/>
          <w:i w:val="0"/>
          <w:iCs w:val="0"/>
          <w:caps w:val="0"/>
          <w:color w:val="3D3D3D"/>
          <w:spacing w:val="0"/>
          <w:sz w:val="27"/>
          <w:szCs w:val="27"/>
          <w:shd w:val="clear" w:fill="FFFFFF"/>
          <w:lang w:val="en-US" w:eastAsia="zh-CN"/>
        </w:rPr>
        <w:t>3</w:t>
      </w:r>
      <w:r>
        <w:rPr>
          <w:rFonts w:hint="eastAsia" w:asciiTheme="minorEastAsia" w:hAnsiTheme="minorEastAsia" w:eastAsiaTheme="minorEastAsia" w:cstheme="minorEastAsia"/>
          <w:i w:val="0"/>
          <w:iCs w:val="0"/>
          <w:caps w:val="0"/>
          <w:color w:val="3D3D3D"/>
          <w:spacing w:val="0"/>
          <w:sz w:val="27"/>
          <w:szCs w:val="27"/>
          <w:shd w:val="clear" w:fill="FFFFFF"/>
        </w:rPr>
        <w:t>0万元，已拨付县林业局。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2、专项资金（主要指财政资金）实际使用情况分析。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森林病虫害防治完成全县林业有害生物预测预报59.1万亩、20</w:t>
      </w:r>
      <w:r>
        <w:rPr>
          <w:rFonts w:hint="eastAsia" w:asciiTheme="minorEastAsia" w:hAnsiTheme="minorEastAsia" w:eastAsiaTheme="minorEastAsia" w:cstheme="minorEastAsia"/>
          <w:i w:val="0"/>
          <w:iCs w:val="0"/>
          <w:caps w:val="0"/>
          <w:color w:val="3D3D3D"/>
          <w:spacing w:val="0"/>
          <w:sz w:val="27"/>
          <w:szCs w:val="27"/>
          <w:shd w:val="clear" w:fill="FFFFFF"/>
          <w:lang w:val="en-US" w:eastAsia="zh-CN"/>
        </w:rPr>
        <w:t>20</w:t>
      </w:r>
      <w:r>
        <w:rPr>
          <w:rFonts w:hint="eastAsia" w:asciiTheme="minorEastAsia" w:hAnsiTheme="minorEastAsia" w:eastAsiaTheme="minorEastAsia" w:cstheme="minorEastAsia"/>
          <w:i w:val="0"/>
          <w:iCs w:val="0"/>
          <w:caps w:val="0"/>
          <w:color w:val="3D3D3D"/>
          <w:spacing w:val="0"/>
          <w:sz w:val="27"/>
          <w:szCs w:val="27"/>
          <w:shd w:val="clear" w:fill="FFFFFF"/>
        </w:rPr>
        <w:t>年林业有害生物防治</w:t>
      </w:r>
      <w:r>
        <w:rPr>
          <w:rFonts w:hint="eastAsia" w:asciiTheme="minorEastAsia" w:hAnsiTheme="minorEastAsia" w:eastAsiaTheme="minorEastAsia" w:cstheme="minorEastAsia"/>
          <w:i w:val="0"/>
          <w:iCs w:val="0"/>
          <w:caps w:val="0"/>
          <w:color w:val="3D3D3D"/>
          <w:spacing w:val="0"/>
          <w:sz w:val="27"/>
          <w:szCs w:val="27"/>
          <w:shd w:val="clear" w:fill="FFFFFF"/>
          <w:lang w:val="en-US" w:eastAsia="zh-CN"/>
        </w:rPr>
        <w:t>2.45</w:t>
      </w:r>
      <w:r>
        <w:rPr>
          <w:rFonts w:hint="eastAsia" w:asciiTheme="minorEastAsia" w:hAnsiTheme="minorEastAsia" w:eastAsiaTheme="minorEastAsia" w:cstheme="minorEastAsia"/>
          <w:i w:val="0"/>
          <w:iCs w:val="0"/>
          <w:caps w:val="0"/>
          <w:color w:val="3D3D3D"/>
          <w:spacing w:val="0"/>
          <w:sz w:val="27"/>
          <w:szCs w:val="27"/>
          <w:shd w:val="clear" w:fill="FFFFFF"/>
        </w:rPr>
        <w:t>万亩，资金主要用于药剂药械的购买及防治人员的劳务费支出等。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3、专项资金管理情况分析，主要包括管理制度、办法的制订及执行情况。为提高财政资金使用效益，我们明确项目资金专账管理、单独核算。县财政志门负责预算评审、报账审批、资金拨付，做到了专人、专户、专账、专审的四专管理。严格按照施工工序，项目竣工后县林业局、县财政联合组织验收，验收合格后方可凭相关票据办理报账事宜，确保财政资金挥发效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lang w:val="en-US" w:eastAsia="zh-CN"/>
        </w:rPr>
        <w:t>4、</w:t>
      </w:r>
      <w:r>
        <w:rPr>
          <w:rFonts w:hint="eastAsia" w:asciiTheme="minorEastAsia" w:hAnsiTheme="minorEastAsia" w:eastAsiaTheme="minorEastAsia" w:cstheme="minorEastAsia"/>
          <w:i w:val="0"/>
          <w:iCs w:val="0"/>
          <w:caps w:val="0"/>
          <w:color w:val="3D3D3D"/>
          <w:spacing w:val="0"/>
          <w:sz w:val="27"/>
          <w:szCs w:val="27"/>
          <w:shd w:val="clear" w:fill="FFFFFF"/>
        </w:rPr>
        <w:t>部门专项组织实施情况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lang w:eastAsia="zh-CN"/>
        </w:rPr>
        <w:t>（</w:t>
      </w:r>
      <w:r>
        <w:rPr>
          <w:rFonts w:hint="eastAsia" w:asciiTheme="minorEastAsia" w:hAnsiTheme="minorEastAsia" w:eastAsiaTheme="minorEastAsia" w:cstheme="minorEastAsia"/>
          <w:i w:val="0"/>
          <w:iCs w:val="0"/>
          <w:caps w:val="0"/>
          <w:color w:val="3D3D3D"/>
          <w:spacing w:val="0"/>
          <w:sz w:val="27"/>
          <w:szCs w:val="27"/>
          <w:shd w:val="clear" w:fill="FFFFFF"/>
          <w:lang w:val="en-US" w:eastAsia="zh-CN"/>
        </w:rPr>
        <w:t>1</w:t>
      </w:r>
      <w:r>
        <w:rPr>
          <w:rFonts w:hint="eastAsia" w:asciiTheme="minorEastAsia" w:hAnsiTheme="minorEastAsia" w:eastAsiaTheme="minorEastAsia" w:cstheme="minorEastAsia"/>
          <w:i w:val="0"/>
          <w:iCs w:val="0"/>
          <w:caps w:val="0"/>
          <w:color w:val="3D3D3D"/>
          <w:spacing w:val="0"/>
          <w:sz w:val="27"/>
          <w:szCs w:val="27"/>
          <w:shd w:val="clear" w:fill="FFFFFF"/>
          <w:lang w:eastAsia="zh-CN"/>
        </w:rPr>
        <w:t>）</w:t>
      </w:r>
      <w:r>
        <w:rPr>
          <w:rFonts w:hint="eastAsia" w:asciiTheme="minorEastAsia" w:hAnsiTheme="minorEastAsia" w:eastAsiaTheme="minorEastAsia" w:cstheme="minorEastAsia"/>
          <w:i w:val="0"/>
          <w:iCs w:val="0"/>
          <w:caps w:val="0"/>
          <w:color w:val="3D3D3D"/>
          <w:spacing w:val="0"/>
          <w:sz w:val="27"/>
          <w:szCs w:val="27"/>
          <w:shd w:val="clear" w:fill="FFFFFF"/>
        </w:rPr>
        <w:t>专项组织情况分析，主要包括项目招投标、调整、竣工验收等情况。森林病虫害防治项目县林业局森保股根据林业有害生物预测预报制定林业有害生物防治总体方案，通过县领导及县财政审核通过实施，防治工程通过县财政跟踪问效及防后验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i w:val="0"/>
          <w:iCs w:val="0"/>
          <w:caps w:val="0"/>
          <w:color w:val="3D3D3D"/>
          <w:spacing w:val="0"/>
          <w:sz w:val="27"/>
          <w:szCs w:val="27"/>
          <w:shd w:val="clear" w:fill="FFFFFF"/>
          <w:lang w:eastAsia="zh-CN"/>
        </w:rPr>
        <w:t>（</w:t>
      </w:r>
      <w:r>
        <w:rPr>
          <w:rFonts w:hint="eastAsia" w:asciiTheme="minorEastAsia" w:hAnsiTheme="minorEastAsia" w:eastAsiaTheme="minorEastAsia" w:cstheme="minorEastAsia"/>
          <w:i w:val="0"/>
          <w:iCs w:val="0"/>
          <w:caps w:val="0"/>
          <w:color w:val="3D3D3D"/>
          <w:spacing w:val="0"/>
          <w:sz w:val="27"/>
          <w:szCs w:val="27"/>
          <w:shd w:val="clear" w:fill="FFFFFF"/>
          <w:lang w:val="en-US" w:eastAsia="zh-CN"/>
        </w:rPr>
        <w:t>2</w:t>
      </w:r>
      <w:r>
        <w:rPr>
          <w:rFonts w:hint="eastAsia" w:asciiTheme="minorEastAsia" w:hAnsiTheme="minorEastAsia" w:eastAsiaTheme="minorEastAsia" w:cstheme="minorEastAsia"/>
          <w:i w:val="0"/>
          <w:iCs w:val="0"/>
          <w:caps w:val="0"/>
          <w:color w:val="3D3D3D"/>
          <w:spacing w:val="0"/>
          <w:sz w:val="27"/>
          <w:szCs w:val="27"/>
          <w:shd w:val="clear" w:fill="FFFFFF"/>
          <w:lang w:eastAsia="zh-CN"/>
        </w:rPr>
        <w:t>）</w:t>
      </w:r>
      <w:r>
        <w:rPr>
          <w:rFonts w:hint="eastAsia" w:asciiTheme="minorEastAsia" w:hAnsiTheme="minorEastAsia" w:eastAsiaTheme="minorEastAsia" w:cstheme="minorEastAsia"/>
          <w:i w:val="0"/>
          <w:iCs w:val="0"/>
          <w:caps w:val="0"/>
          <w:color w:val="3D3D3D"/>
          <w:spacing w:val="0"/>
          <w:sz w:val="27"/>
          <w:szCs w:val="27"/>
          <w:shd w:val="clear" w:fill="FFFFFF"/>
        </w:rPr>
        <w:t>专项管理情况分析，主要包括项目管理制度建设、日常检查监督管理等情况。森林病虫害防治项目防治施工过程中森防技术人员现场指导，严格按照林业有害生物防治的技术规程进行，发现问题及时整改，确保防治安全及效果。</w:t>
      </w:r>
    </w:p>
    <w:p>
      <w:pPr>
        <w:pStyle w:val="5"/>
        <w:widowControl/>
        <w:numPr>
          <w:ilvl w:val="0"/>
          <w:numId w:val="0"/>
        </w:numPr>
        <w:spacing w:line="360" w:lineRule="auto"/>
        <w:ind w:left="640" w:leftChars="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eastAsia="zh-CN"/>
        </w:rPr>
        <w:t>三、</w:t>
      </w:r>
      <w:r>
        <w:rPr>
          <w:rFonts w:hint="eastAsia" w:asciiTheme="minorEastAsia" w:hAnsiTheme="minorEastAsia" w:eastAsiaTheme="minorEastAsia" w:cstheme="minorEastAsia"/>
          <w:sz w:val="32"/>
          <w:szCs w:val="32"/>
        </w:rPr>
        <w:t>政府性基金预算支出情况</w:t>
      </w:r>
    </w:p>
    <w:p>
      <w:pPr>
        <w:pStyle w:val="5"/>
        <w:widowControl/>
        <w:numPr>
          <w:ilvl w:val="0"/>
          <w:numId w:val="0"/>
        </w:numPr>
        <w:spacing w:line="360" w:lineRule="auto"/>
        <w:ind w:left="640" w:leftChars="0"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eastAsia="zh-CN"/>
        </w:rPr>
        <w:t>无</w:t>
      </w:r>
    </w:p>
    <w:p>
      <w:pPr>
        <w:pStyle w:val="5"/>
        <w:widowControl/>
        <w:spacing w:line="360" w:lineRule="auto"/>
        <w:ind w:left="640" w:firstLine="0" w:firstLineChars="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四、国有资本经营预算支出情况</w:t>
      </w:r>
    </w:p>
    <w:p>
      <w:pPr>
        <w:pStyle w:val="5"/>
        <w:widowControl/>
        <w:spacing w:line="360" w:lineRule="auto"/>
        <w:ind w:left="640" w:firstLine="640" w:firstLineChars="200"/>
        <w:jc w:val="left"/>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无</w:t>
      </w:r>
    </w:p>
    <w:p>
      <w:pPr>
        <w:pStyle w:val="5"/>
        <w:widowControl/>
        <w:spacing w:line="360" w:lineRule="auto"/>
        <w:ind w:left="640" w:firstLine="0" w:firstLineChars="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五、社会保险基金预算支出情况</w:t>
      </w:r>
    </w:p>
    <w:p>
      <w:pPr>
        <w:pStyle w:val="5"/>
        <w:widowControl/>
        <w:spacing w:line="360" w:lineRule="auto"/>
        <w:ind w:left="640" w:firstLine="640" w:firstLineChars="200"/>
        <w:jc w:val="left"/>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无</w:t>
      </w:r>
    </w:p>
    <w:p>
      <w:pPr>
        <w:widowControl/>
        <w:spacing w:line="360" w:lineRule="auto"/>
        <w:ind w:firstLine="645"/>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六、部门整体支出绩效情况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我局部门整体支出绩效得分为9</w:t>
      </w:r>
      <w:r>
        <w:rPr>
          <w:rFonts w:hint="eastAsia" w:asciiTheme="minorEastAsia" w:hAnsiTheme="minorEastAsia" w:eastAsiaTheme="minorEastAsia" w:cstheme="minorEastAsia"/>
          <w:i w:val="0"/>
          <w:iCs w:val="0"/>
          <w:caps w:val="0"/>
          <w:color w:val="3D3D3D"/>
          <w:spacing w:val="0"/>
          <w:sz w:val="27"/>
          <w:szCs w:val="27"/>
          <w:shd w:val="clear" w:fill="FFFFFF"/>
          <w:lang w:val="en-US" w:eastAsia="zh-CN"/>
        </w:rPr>
        <w:t>7</w:t>
      </w:r>
      <w:r>
        <w:rPr>
          <w:rFonts w:hint="eastAsia" w:asciiTheme="minorEastAsia" w:hAnsiTheme="minorEastAsia" w:eastAsiaTheme="minorEastAsia" w:cstheme="minorEastAsia"/>
          <w:i w:val="0"/>
          <w:iCs w:val="0"/>
          <w:caps w:val="0"/>
          <w:color w:val="3D3D3D"/>
          <w:spacing w:val="0"/>
          <w:sz w:val="27"/>
          <w:szCs w:val="27"/>
          <w:shd w:val="clear" w:fill="FFFFFF"/>
        </w:rPr>
        <w:t>分。扣分在：</w:t>
      </w:r>
      <w:r>
        <w:rPr>
          <w:rFonts w:hint="eastAsia" w:asciiTheme="minorEastAsia" w:hAnsiTheme="minorEastAsia" w:eastAsiaTheme="minorEastAsia" w:cstheme="minorEastAsia"/>
          <w:i w:val="0"/>
          <w:iCs w:val="0"/>
          <w:caps w:val="0"/>
          <w:color w:val="3D3D3D"/>
          <w:spacing w:val="0"/>
          <w:sz w:val="27"/>
          <w:szCs w:val="27"/>
          <w:shd w:val="clear" w:fill="FFFFFF"/>
          <w:lang w:eastAsia="zh-CN"/>
        </w:rPr>
        <w:t>在职人员控制率扣</w:t>
      </w:r>
      <w:r>
        <w:rPr>
          <w:rFonts w:hint="eastAsia" w:asciiTheme="minorEastAsia" w:hAnsiTheme="minorEastAsia" w:eastAsiaTheme="minorEastAsia" w:cstheme="minorEastAsia"/>
          <w:i w:val="0"/>
          <w:iCs w:val="0"/>
          <w:caps w:val="0"/>
          <w:color w:val="3D3D3D"/>
          <w:spacing w:val="0"/>
          <w:sz w:val="27"/>
          <w:szCs w:val="27"/>
          <w:shd w:val="clear" w:fill="FFFFFF"/>
          <w:lang w:val="en-US" w:eastAsia="zh-CN"/>
        </w:rPr>
        <w:t>2分，支付进度率扣</w:t>
      </w:r>
      <w:r>
        <w:rPr>
          <w:rFonts w:hint="eastAsia" w:asciiTheme="minorEastAsia" w:hAnsiTheme="minorEastAsia" w:eastAsiaTheme="minorEastAsia" w:cstheme="minorEastAsia"/>
          <w:i w:val="0"/>
          <w:iCs w:val="0"/>
          <w:caps w:val="0"/>
          <w:color w:val="3D3D3D"/>
          <w:spacing w:val="0"/>
          <w:sz w:val="27"/>
          <w:szCs w:val="27"/>
          <w:shd w:val="clear" w:fill="FFFFFF"/>
        </w:rPr>
        <w:t>1分。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1、森林资源变化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森林资源的变化主要体现在森林资源活立木蓄积量的增长。生态公益林区的树木都在生长，因植物年生长量体现在木材的生长量，故主要计算森林生产活立木的价值。根据全国主要树种标准序列立木林价和湖南省林分净生长量标准，林木成熟期20年，亩平均蓄积达到15立方米，出材10立方米，每立方米价值800元，经济效益达8000元左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2、社会效益</w:t>
      </w:r>
    </w:p>
    <w:p>
      <w:pPr>
        <w:keepNext w:val="0"/>
        <w:keepLines w:val="0"/>
        <w:widowControl/>
        <w:suppressLineNumbers w:val="0"/>
        <w:spacing w:line="360" w:lineRule="auto"/>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000000"/>
          <w:spacing w:val="0"/>
          <w:kern w:val="0"/>
          <w:sz w:val="27"/>
          <w:szCs w:val="27"/>
          <w:shd w:val="clear" w:fill="FFFFFF"/>
          <w:lang w:val="en-US" w:eastAsia="zh-CN" w:bidi="ar"/>
        </w:rPr>
        <w:t>    社会效益主要体现在：森林是旅游休养的最佳场所 ；森林是非常重要的教学、科研基地；森林是文艺创作的源泉；森林是爱国主义教育的基地。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促进旅游发展，提高林农收入。“山水之美，古来共谈”(南朝陶景宏)。在传统中国社会，山水美就是“自然美”，就是理想美。因此，自然景观美，不仅是促发旅游动机的主要动因，而且是旅游审美活动的主要对象。茂密的森林可以满足人们精神需求、陶冶情操、提高健康水平,是精神文明建设的重要组成部分,如现下比较流行的回归大自然的生态旅游热.此外,林业也为社会提供大量的就业岗位.林业的发展同时也能增加山区农民收入,为农民提供致富的途径,促进“三农”问题的解决，比如说可为1万余亩农田稳产、高产提供保障条件。促进林业增产、林农增收，进行森林管护可为林农提供2.25万余个用工日的就业机会。项目实施以来，改善我县树种结构单一的境况，对促进农村经济繁荣，社会经济发展及社会稳定具有重要的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3、生态效益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①森林在维护生态平衡和国土安全中处于其它任何生态系统都无可替代的主体地位，生态安全是国土安全的前提。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②森林能提高大气质量：一是能有效地减缓温室效应；二是主要的氧源；三是可减少氧层的耗损；四是可净化空气；五是有调节温度的功能是森林能有效保护生物多样性。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③森林与物种多样性、生态系统多样性、遗传多样性息息相关,地球上有一半以上的生物在森林中栖息繁衍。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④森林可防止水土流失，土壤对降水有极强的吸收和渗透作用森林土壤的稳渗速率一般在200mm/h,比世界上最大的降雨60mm/h还要大得多.森林的枯枝落叶层不仅可以吸收2—5mm的降水,还可以保护土壤免遭雨滴的冲击。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⑤森林可防止地力衰退，森林的根系能固持土壤,涵养水源,保持水土,吸收利用盐分；枯枝落叶可增加有机质、腐殖质,能有效地改善土壤结构,提高土壤肥力。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⑥森林能缓解水资源危机，是“绿色水库”。森林及其土壤像“海绵”一样可吸收大量的降水,并阻止和减轻洪水灾害。森林可以促进水分循环和影响大气环流,增加降水,起“空中水库”的作用。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⑦森林能消除噪声污染。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⑧能有效遏止沙漠化，林网超过10％,沙地植被盖度超过0.3,沙暴的危害就会减少到最小限度.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4、可持续影响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林业生态项目的实施，既保护了辰溪县的生态环境，又增加了林农的收入，同时还产生了一定的社会效益。林区稳定，林农安心；持续发挥生态作用显著；对增加森林覆盖率、提高活立木蓄积、涵养水源、净化空气、对生态环境的保护将起到积极的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5、满意度指标完成情况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林业项目的实施，营造了林区良好的生态环境及稳定的社会环境，我县林业生态、经济和社会明显增强，在很大程度上做到了让群众满意，让他们安心为绿美辰溪的建设积极努力。各方面的满意度均为100%。</w:t>
      </w:r>
    </w:p>
    <w:p>
      <w:pPr>
        <w:pStyle w:val="5"/>
        <w:widowControl/>
        <w:numPr>
          <w:ilvl w:val="0"/>
          <w:numId w:val="2"/>
        </w:numPr>
        <w:spacing w:line="360" w:lineRule="auto"/>
        <w:ind w:left="640" w:firstLine="0" w:firstLineChars="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存在的问题及原因分析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0" w:right="0" w:firstLine="42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公用经费、专项工作经费缺口大，财政预算严重不足。但工作任务仍然繁重，不仅承担着全县林业生态建设和保护的重任，近年，还承担着生态立县、三边绿化、秀美村庄建设、裸露山地治理等多项工作任务，专项资金保障压力大，而财政每年预算安排的公用经费只能保证行政运行和缴纳五险两金，专项业务工作经费较少，不利于全县林业各项工作的推进与开展。</w:t>
      </w:r>
    </w:p>
    <w:p>
      <w:pPr>
        <w:pStyle w:val="5"/>
        <w:widowControl/>
        <w:numPr>
          <w:ilvl w:val="0"/>
          <w:numId w:val="0"/>
        </w:numPr>
        <w:spacing w:line="360" w:lineRule="auto"/>
        <w:ind w:left="640" w:leftChars="0"/>
        <w:jc w:val="left"/>
        <w:rPr>
          <w:rFonts w:hint="eastAsia" w:asciiTheme="minorEastAsia" w:hAnsiTheme="minorEastAsia" w:eastAsiaTheme="minorEastAsia" w:cstheme="minorEastAsia"/>
          <w:sz w:val="32"/>
          <w:szCs w:val="32"/>
        </w:rPr>
      </w:pP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left="640" w:leftChars="0" w:right="0" w:firstLine="0" w:firstLineChars="0"/>
        <w:jc w:val="both"/>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下一步改进措施</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uto"/>
        <w:ind w:right="0" w:rightChars="0" w:firstLine="540" w:firstLineChars="200"/>
        <w:jc w:val="both"/>
        <w:rPr>
          <w:rFonts w:hint="eastAsia" w:asciiTheme="minorEastAsia" w:hAnsiTheme="minorEastAsia" w:eastAsiaTheme="minorEastAsia" w:cstheme="minorEastAsia"/>
          <w:i w:val="0"/>
          <w:iCs w:val="0"/>
          <w:caps w:val="0"/>
          <w:color w:val="3D3D3D"/>
          <w:spacing w:val="0"/>
          <w:sz w:val="27"/>
          <w:szCs w:val="27"/>
        </w:rPr>
      </w:pPr>
      <w:r>
        <w:rPr>
          <w:rFonts w:hint="eastAsia" w:asciiTheme="minorEastAsia" w:hAnsiTheme="minorEastAsia" w:eastAsiaTheme="minorEastAsia" w:cstheme="minorEastAsia"/>
          <w:i w:val="0"/>
          <w:iCs w:val="0"/>
          <w:caps w:val="0"/>
          <w:color w:val="3D3D3D"/>
          <w:spacing w:val="0"/>
          <w:sz w:val="27"/>
          <w:szCs w:val="27"/>
          <w:shd w:val="clear" w:fill="FFFFFF"/>
        </w:rPr>
        <w:t>我单位行政事业性收费逐步取消和降标，严重影响非税收入返还弥补我局公用经费不足。1、2014年财政部财税</w:t>
      </w:r>
      <w:r>
        <w:rPr>
          <w:rFonts w:hint="eastAsia" w:asciiTheme="minorEastAsia" w:hAnsiTheme="minorEastAsia" w:eastAsiaTheme="minorEastAsia" w:cstheme="minorEastAsia"/>
          <w:i w:val="0"/>
          <w:iCs w:val="0"/>
          <w:caps w:val="0"/>
          <w:color w:val="3D3D3D"/>
          <w:spacing w:val="0"/>
          <w:sz w:val="24"/>
          <w:szCs w:val="24"/>
          <w:shd w:val="clear" w:fill="FFFFFF"/>
        </w:rPr>
        <w:t>〔2014〕</w:t>
      </w:r>
      <w:r>
        <w:rPr>
          <w:rFonts w:hint="eastAsia" w:asciiTheme="minorEastAsia" w:hAnsiTheme="minorEastAsia" w:eastAsiaTheme="minorEastAsia" w:cstheme="minorEastAsia"/>
          <w:i w:val="0"/>
          <w:iCs w:val="0"/>
          <w:caps w:val="0"/>
          <w:color w:val="3D3D3D"/>
          <w:spacing w:val="0"/>
          <w:sz w:val="27"/>
          <w:szCs w:val="27"/>
          <w:shd w:val="clear" w:fill="FFFFFF"/>
        </w:rPr>
        <w:t>101号免征收国内森林植物检疫费、林权证工本费、林权勘测费。2、2016年湘发改价服</w:t>
      </w:r>
      <w:r>
        <w:rPr>
          <w:rFonts w:hint="eastAsia" w:asciiTheme="minorEastAsia" w:hAnsiTheme="minorEastAsia" w:eastAsiaTheme="minorEastAsia" w:cstheme="minorEastAsia"/>
          <w:i w:val="0"/>
          <w:iCs w:val="0"/>
          <w:caps w:val="0"/>
          <w:color w:val="3D3D3D"/>
          <w:spacing w:val="0"/>
          <w:sz w:val="24"/>
          <w:szCs w:val="24"/>
          <w:shd w:val="clear" w:fill="FFFFFF"/>
        </w:rPr>
        <w:t>〔2016〕</w:t>
      </w:r>
      <w:r>
        <w:rPr>
          <w:rFonts w:hint="eastAsia" w:asciiTheme="minorEastAsia" w:hAnsiTheme="minorEastAsia" w:eastAsiaTheme="minorEastAsia" w:cstheme="minorEastAsia"/>
          <w:i w:val="0"/>
          <w:iCs w:val="0"/>
          <w:caps w:val="0"/>
          <w:color w:val="3D3D3D"/>
          <w:spacing w:val="0"/>
          <w:sz w:val="27"/>
          <w:szCs w:val="27"/>
          <w:shd w:val="clear" w:fill="FFFFFF"/>
        </w:rPr>
        <w:t>144号降标30%的森林资源调查、林业技术鉴定、造林规划设计及验收。3、2016年财政部财税</w:t>
      </w:r>
      <w:r>
        <w:rPr>
          <w:rFonts w:hint="eastAsia" w:asciiTheme="minorEastAsia" w:hAnsiTheme="minorEastAsia" w:eastAsiaTheme="minorEastAsia" w:cstheme="minorEastAsia"/>
          <w:i w:val="0"/>
          <w:iCs w:val="0"/>
          <w:caps w:val="0"/>
          <w:color w:val="3D3D3D"/>
          <w:spacing w:val="0"/>
          <w:sz w:val="24"/>
          <w:szCs w:val="24"/>
          <w:shd w:val="clear" w:fill="FFFFFF"/>
        </w:rPr>
        <w:t>〔2016〕</w:t>
      </w:r>
      <w:r>
        <w:rPr>
          <w:rFonts w:hint="eastAsia" w:asciiTheme="minorEastAsia" w:hAnsiTheme="minorEastAsia" w:eastAsiaTheme="minorEastAsia" w:cstheme="minorEastAsia"/>
          <w:i w:val="0"/>
          <w:iCs w:val="0"/>
          <w:caps w:val="0"/>
          <w:color w:val="3D3D3D"/>
          <w:spacing w:val="0"/>
          <w:sz w:val="27"/>
          <w:szCs w:val="27"/>
          <w:shd w:val="clear" w:fill="FFFFFF"/>
        </w:rPr>
        <w:t>11号文件第二条规定：将育林基金征收标准降为零，因此，我局正常的行政运转面临着前所未有的困难，全县林业管理的各项专项工作更是缺乏经费保障，无法推进，我们建议：增加财政预算拨款。一是提高人员公用经费预算，二是增加林业专项工作经费的预算。</w:t>
      </w:r>
    </w:p>
    <w:p>
      <w:pPr>
        <w:widowControl/>
        <w:spacing w:line="360" w:lineRule="auto"/>
        <w:ind w:firstLine="640" w:firstLineChars="200"/>
        <w:jc w:val="left"/>
        <w:rPr>
          <w:rFonts w:hint="eastAsia" w:asciiTheme="minorEastAsia" w:hAnsiTheme="minorEastAsia" w:eastAsiaTheme="minorEastAsia" w:cstheme="minorEastAsia"/>
          <w:sz w:val="32"/>
          <w:szCs w:val="32"/>
        </w:rPr>
      </w:pPr>
    </w:p>
    <w:p>
      <w:pPr>
        <w:widowControl/>
        <w:spacing w:line="360" w:lineRule="auto"/>
        <w:ind w:firstLine="645"/>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九、其他需要说明的情况</w:t>
      </w:r>
    </w:p>
    <w:p>
      <w:pPr>
        <w:widowControl/>
        <w:spacing w:line="360" w:lineRule="auto"/>
        <w:ind w:firstLine="645"/>
        <w:jc w:val="left"/>
        <w:rPr>
          <w:rFonts w:hint="eastAsia" w:asciiTheme="minorEastAsia" w:hAnsiTheme="minorEastAsia" w:eastAsiaTheme="minorEastAsia" w:cstheme="minorEastAsia"/>
          <w:sz w:val="32"/>
          <w:szCs w:val="32"/>
        </w:rPr>
      </w:pPr>
    </w:p>
    <w:p>
      <w:pPr>
        <w:widowControl/>
        <w:spacing w:line="360" w:lineRule="auto"/>
        <w:ind w:firstLine="645"/>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报告应包括以下附件：</w:t>
      </w:r>
    </w:p>
    <w:p>
      <w:pPr>
        <w:widowControl/>
        <w:spacing w:line="360" w:lineRule="auto"/>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1、部门整体支出绩效评价基础数据表</w:t>
      </w:r>
    </w:p>
    <w:p>
      <w:pPr>
        <w:widowControl/>
        <w:spacing w:line="360" w:lineRule="auto"/>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2、部门整体支出绩效自评表</w:t>
      </w:r>
    </w:p>
    <w:p>
      <w:pPr>
        <w:widowControl/>
        <w:spacing w:line="360" w:lineRule="auto"/>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3、项目支出绩效自评表（每个一级项目支出一张表）</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38A5B3"/>
    <w:multiLevelType w:val="singleLevel"/>
    <w:tmpl w:val="9138A5B3"/>
    <w:lvl w:ilvl="0" w:tentative="0">
      <w:start w:val="7"/>
      <w:numFmt w:val="chineseCounting"/>
      <w:suff w:val="nothing"/>
      <w:lvlText w:val="%1、"/>
      <w:lvlJc w:val="left"/>
      <w:rPr>
        <w:rFonts w:hint="eastAsia"/>
      </w:rPr>
    </w:lvl>
  </w:abstractNum>
  <w:abstractNum w:abstractNumId="1">
    <w:nsid w:val="EDFE5A8A"/>
    <w:multiLevelType w:val="singleLevel"/>
    <w:tmpl w:val="EDFE5A8A"/>
    <w:lvl w:ilvl="0" w:tentative="0">
      <w:start w:val="1"/>
      <w:numFmt w:val="chineseCounting"/>
      <w:suff w:val="nothing"/>
      <w:lvlText w:val="%1、"/>
      <w:lvlJc w:val="left"/>
      <w:pPr>
        <w:ind w:left="-1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54347D"/>
    <w:rsid w:val="1E5434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List Paragraph"/>
    <w:basedOn w:val="1"/>
    <w:qFormat/>
    <w:uiPriority w:val="99"/>
    <w:pPr>
      <w:ind w:firstLine="420" w:firstLineChars="200"/>
    </w:pPr>
    <w:rPr>
      <w:rFonts w:ascii="Calibri" w:hAnsi="Calibri"/>
      <w:szCs w:val="22"/>
    </w:rPr>
  </w:style>
  <w:style w:type="paragraph" w:customStyle="1" w:styleId="6">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2021-09-03T12:24:00Z</dcterms:created>
  <dc:creator>辰酉翔</dc:creator>
  <cp:lastModifiedBy>辰酉翔</cp:lastModifiedBy>
  <dcterms:modified xsi:type="dcterms:W3CDTF">2021-09-03T12:25:05Z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5634065BBFB144B9A76CC175795447E2</vt:lpwstr>
  </property>
</Properties>
</file>