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辰溪县林业局2020年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部门整体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支出绩效评价基础数据表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</w:rPr>
        <w:t>填报单位：</w:t>
      </w:r>
      <w:r>
        <w:rPr>
          <w:rFonts w:hint="eastAsia" w:asciiTheme="minorEastAsia" w:hAnsiTheme="minorEastAsia" w:eastAsiaTheme="minorEastAsia" w:cstheme="minorEastAsia"/>
          <w:lang w:eastAsia="zh-CN"/>
        </w:rPr>
        <w:t>辰溪县林业局</w:t>
      </w:r>
    </w:p>
    <w:tbl>
      <w:tblPr>
        <w:tblStyle w:val="2"/>
        <w:tblW w:w="103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7"/>
        <w:gridCol w:w="2181"/>
        <w:gridCol w:w="2292"/>
        <w:gridCol w:w="2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35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财政供养人员情况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编制数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2020年实际在职人数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597" w:type="dxa"/>
            <w:vMerge w:val="continue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141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148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104.96%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经费控制情况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2019年决算数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2020年预算数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2020年决算数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三公经费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29.65万元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43万元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20.80万元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1、公务用车购置和维护经费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20.75万元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13.04万元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其中：公车购置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公车运行维护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20.75万元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13.04万元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2、出国经费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3、公务接待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8.91万元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8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7.76万元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项目支出：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121.93万元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30万元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1、业务工作专项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121.93万元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30万元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30万元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2、运行维护专项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… …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公用经费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264.27万元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292.1万元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129.89万元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其中：办公经费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30万元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9.11万元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水费、电费、差旅费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14.8万元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14.99万元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会议费、培训费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3.8万元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2.35万元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政府采购金额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部门整体支出预算调整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说明：“项目支出”需要填报除专项资金和基本支出以外的所有项目情况，包括业务工作项目、运行维护项目等；“公用经费”填报基本支出中的一般商品和服务支出。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75133"/>
    <w:rsid w:val="4F87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2021-09-03T12:28:00Z</dcterms:created>
  <dc:creator>辰酉翔</dc:creator>
  <cp:lastModifiedBy>辰酉翔</cp:lastModifiedBy>
  <dcterms:modified xsi:type="dcterms:W3CDTF">2021-09-03T12:29:38Z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A50A274113F64582B2A540F46222A82D</vt:lpwstr>
  </property>
</Properties>
</file>