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360" w:lineRule="auto"/>
        <w:jc w:val="center"/>
        <w:rPr>
          <w:rFonts w:hint="eastAsia" w:asciiTheme="minorEastAsia" w:hAnsiTheme="minorEastAsia" w:eastAsiaTheme="minorEastAsia" w:cstheme="minorEastAsia"/>
          <w:bCs/>
          <w:sz w:val="36"/>
          <w:szCs w:val="36"/>
          <w:lang w:val="en-US" w:eastAsia="zh-CN"/>
        </w:rPr>
      </w:pPr>
      <w:r>
        <w:rPr>
          <w:rFonts w:hint="eastAsia" w:asciiTheme="minorEastAsia" w:hAnsiTheme="minorEastAsia" w:eastAsiaTheme="minorEastAsia" w:cstheme="minorEastAsia"/>
          <w:bCs/>
          <w:sz w:val="36"/>
          <w:szCs w:val="36"/>
          <w:lang w:val="en-US" w:eastAsia="zh-CN"/>
        </w:rPr>
        <w:t>辰溪县林业局2020年度</w:t>
      </w:r>
      <w:r>
        <w:rPr>
          <w:rFonts w:hint="eastAsia" w:asciiTheme="minorEastAsia" w:hAnsiTheme="minorEastAsia" w:eastAsiaTheme="minorEastAsia" w:cstheme="minorEastAsia"/>
          <w:bCs/>
          <w:sz w:val="36"/>
          <w:szCs w:val="36"/>
        </w:rPr>
        <w:t>部门整体支出绩效</w:t>
      </w:r>
      <w:r>
        <w:rPr>
          <w:rFonts w:hint="eastAsia" w:asciiTheme="minorEastAsia" w:hAnsiTheme="minorEastAsia" w:eastAsiaTheme="minorEastAsia" w:cstheme="minorEastAsia"/>
          <w:bCs/>
          <w:sz w:val="36"/>
          <w:szCs w:val="36"/>
          <w:lang w:val="en-US" w:eastAsia="zh-CN"/>
        </w:rPr>
        <w:t>自</w:t>
      </w:r>
      <w:r>
        <w:rPr>
          <w:rFonts w:hint="eastAsia" w:asciiTheme="minorEastAsia" w:hAnsiTheme="minorEastAsia" w:eastAsiaTheme="minorEastAsia" w:cstheme="minorEastAsia"/>
          <w:bCs/>
          <w:sz w:val="36"/>
          <w:szCs w:val="36"/>
        </w:rPr>
        <w:t>评</w:t>
      </w:r>
      <w:r>
        <w:rPr>
          <w:rFonts w:hint="eastAsia" w:asciiTheme="minorEastAsia" w:hAnsiTheme="minorEastAsia" w:eastAsiaTheme="minorEastAsia" w:cstheme="minorEastAsia"/>
          <w:bCs/>
          <w:sz w:val="36"/>
          <w:szCs w:val="36"/>
          <w:lang w:val="en-US" w:eastAsia="zh-CN"/>
        </w:rPr>
        <w:t>表</w:t>
      </w:r>
    </w:p>
    <w:tbl>
      <w:tblPr>
        <w:tblStyle w:val="2"/>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一级</w:t>
            </w:r>
            <w:r>
              <w:rPr>
                <w:rFonts w:hint="eastAsia" w:asciiTheme="minorEastAsia" w:hAnsiTheme="minorEastAsia" w:eastAsiaTheme="minorEastAsia" w:cstheme="minorEastAsia"/>
                <w:b/>
                <w:bCs/>
                <w:szCs w:val="21"/>
              </w:rPr>
              <w:br w:type="textWrapping"/>
            </w:r>
            <w:r>
              <w:rPr>
                <w:rFonts w:hint="eastAsia" w:asciiTheme="minorEastAsia" w:hAnsiTheme="minorEastAsia" w:eastAsiaTheme="minorEastAsia" w:cstheme="minorEastAsia"/>
                <w:b/>
                <w:bCs/>
                <w:szCs w:val="21"/>
              </w:rPr>
              <w:t>指标</w:t>
            </w:r>
          </w:p>
        </w:tc>
        <w:tc>
          <w:tcPr>
            <w:tcW w:w="866" w:type="dxa"/>
            <w:tcMar>
              <w:top w:w="10" w:type="dxa"/>
              <w:left w:w="10" w:type="dxa"/>
              <w:bottom w:w="0" w:type="dxa"/>
              <w:right w:w="10" w:type="dxa"/>
            </w:tcMar>
            <w:vAlign w:val="center"/>
          </w:tcPr>
          <w:p>
            <w:pPr>
              <w:spacing w:line="360" w:lineRule="auto"/>
              <w:ind w:right="-174" w:rightChars="-83"/>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二级</w:t>
            </w:r>
          </w:p>
          <w:p>
            <w:pPr>
              <w:spacing w:line="360" w:lineRule="auto"/>
              <w:ind w:right="-174" w:rightChars="-83"/>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指标</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三级</w:t>
            </w:r>
          </w:p>
          <w:p>
            <w:pPr>
              <w:spacing w:line="360" w:lineRule="auto"/>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指标</w:t>
            </w:r>
          </w:p>
        </w:tc>
        <w:tc>
          <w:tcPr>
            <w:tcW w:w="2908" w:type="dxa"/>
            <w:tcMar>
              <w:top w:w="10" w:type="dxa"/>
              <w:left w:w="10" w:type="dxa"/>
              <w:bottom w:w="0" w:type="dxa"/>
              <w:right w:w="10" w:type="dxa"/>
            </w:tcMar>
            <w:vAlign w:val="center"/>
          </w:tcPr>
          <w:p>
            <w:pPr>
              <w:spacing w:line="360" w:lineRule="auto"/>
              <w:ind w:left="105" w:leftChars="50" w:right="105" w:rightChars="50"/>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评分及标准</w:t>
            </w:r>
          </w:p>
        </w:tc>
        <w:tc>
          <w:tcPr>
            <w:tcW w:w="4252" w:type="dxa"/>
            <w:tcMar>
              <w:top w:w="10" w:type="dxa"/>
              <w:left w:w="10" w:type="dxa"/>
              <w:bottom w:w="0" w:type="dxa"/>
              <w:right w:w="10" w:type="dxa"/>
            </w:tcMar>
            <w:vAlign w:val="center"/>
          </w:tcPr>
          <w:p>
            <w:pPr>
              <w:spacing w:line="360" w:lineRule="auto"/>
              <w:ind w:left="105" w:leftChars="50" w:right="105" w:rightChars="50"/>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指标说明</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投   入 （20分）</w:t>
            </w:r>
          </w:p>
        </w:tc>
        <w:tc>
          <w:tcPr>
            <w:tcW w:w="866" w:type="dxa"/>
            <w:vMerge w:val="restart"/>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目标</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设定  （14分）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绩效目标</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合理性 （6分）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每项指标评价要点加2分。</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①是否符合国家法律法规、国民经济和社会发展总体规划2分②是否符合部门“三定”方案确定的职责2分③是否符合部门制定的中长期实施规划2分</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6</w:t>
            </w:r>
          </w:p>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绩效指标</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明确性 （8分）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每项指标评价要点加2分。</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①是否将部门整体的绩效目标细化分解为具体的工作任务2分；</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②是否通过清晰、可衡量的指标值予以体现。    ③是否与部门年度的任务数或计划数相对应2分；</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④是否与本年度部门预算资金相匹配2分。</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restart"/>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配置</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在职人员</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控制率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以100%为标准，在职人员控制率≤100%，计2分；每超过一个百分点扣0.5分，扣完为止。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在职人员控制率=（在职人员数/编制数）×100%。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在职人员数：部门实际在职人数，以财政部确定的部门决算编制口径为准。</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编制数：机构编制部门核定批复的部门的人员编制数。</w:t>
            </w:r>
          </w:p>
        </w:tc>
        <w:tc>
          <w:tcPr>
            <w:tcW w:w="938" w:type="dxa"/>
            <w:vAlign w:val="center"/>
          </w:tcPr>
          <w:p>
            <w:pPr>
              <w:spacing w:line="360" w:lineRule="auto"/>
              <w:ind w:left="105" w:leftChars="50" w:right="105" w:rightChars="50"/>
              <w:jc w:val="center"/>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“三公经费”</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变动率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“三公经费”变动率为0，计5分；“三公经费”＞0，每超过一个百分点扣1分，扣完为止。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“三公经费”变动率=[（本年度“三公经费”总额-上年度“三公经费”总额）/上年度“三公经费”总额]×100%。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“三公经费”：年度预算安排的因公出国（境）费、公务车辆购置及运行费和公务招待费。</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重点支出</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安排率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“重点支出安排率” ＞50%，计2分，每下降一个百分点扣0.5分，扣完为止。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重点支出安排率=（重点预算支出/预算总支出）×100%。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重点预算支出：部门年度预算安排的，与本部门履职和发展密切相关、具有明显社会和经济影响、党委政府关心或社会比较关注的预算支出支出总额。</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预算总支出：部门年度预算安排的预算支出支出总额。</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过</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程</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（40分）</w:t>
            </w:r>
          </w:p>
        </w:tc>
        <w:tc>
          <w:tcPr>
            <w:tcW w:w="866" w:type="dxa"/>
            <w:vMerge w:val="restart"/>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执行 （26分）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执行率 （5分）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100%计满分，每低于1%扣1分，扣完为止。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预算执行率=（预算执行数/预算数）×100%。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预算执行数：部门本年度实际完成的预算数。</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预算数：财政部门批复的本年度部门预算数。</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调整率 （3分）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100%计满分，每下降5%扣1分，扣完为止。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预算调整率=（预算调整数/预算数）×100%。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支付</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进度率 （3分）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100%计满分，每低于5%扣1分，扣完为止。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支付进度率=（实际支付进度/既定支付进度）×100%。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实际支付进度：部门在某一时点的支出预算执行总数与年度支出预算数的比率。</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60" w:lineRule="auto"/>
              <w:ind w:left="105" w:leftChars="50" w:right="105" w:rightChars="50"/>
              <w:jc w:val="center"/>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结转</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结余率 （3分）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0%计满分，每超过5%扣1分，扣完为止。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结转结余率=结转结余总额/支出预算数×100%。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结转结余总额：部门本年度的结转资金与结余资金之和（以决算数为准）。</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结转结余</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变动率 （3分）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0%计满分，每超过5%扣1分，扣完为止。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结转结余变动率=[（本年度累计结转结余资金总额-上年度累计结转结余资金总额）/上年度累计结转结余资金总额]×100%。</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公用经费</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控制率 （3分）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100%以下（含）计满分，每超出1%扣1分，扣完为止。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公用经费控制率=（实际支出公用经费总额/预算安排公用经费总额）×100%。</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过</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程  （40分）</w:t>
            </w:r>
          </w:p>
        </w:tc>
        <w:tc>
          <w:tcPr>
            <w:tcW w:w="866" w:type="dxa"/>
            <w:vMerge w:val="restart"/>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执行 （26分）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“三公经费”控制率（3分）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100%以下（含）计满分，每超出1%扣1分，扣完为止。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“三公经费”控制率=（“三公经费”实际支出数/“三公经费”预算安排数）×100%。</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政府采购</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执行率 （3分）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100%计满分，每超过（降低）5%扣1分，扣完为止。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政府采购执行率=（实际政府采购金额/政府采购预算数）×100%；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 xml:space="preserve">政府采购预算：采购机关根据事业发展计划和行政任务编制的、并经过规定程序批准的年度政府采购计划。 </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restart"/>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管理  （8分）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管理制度</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健全性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1.有内部财务管理制度，会计核算制度等管理制度，0.5分；2.有本部门厉行节约制度，0.5分；3.相关管理制度合法、合规、完整，0.5分；4.相关管理制度得到有效执行，0.5分。</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①是否已制定或具有预算资金管理办法、内部财务管理制度、会计核算制度等管理制度；</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②相关管理制度是否合法、合规、完整；</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③相关管理制度是否得到有效执行。</w:t>
            </w:r>
          </w:p>
        </w:tc>
        <w:tc>
          <w:tcPr>
            <w:tcW w:w="938" w:type="dxa"/>
            <w:vAlign w:val="center"/>
          </w:tcPr>
          <w:p>
            <w:pPr>
              <w:spacing w:line="360" w:lineRule="auto"/>
              <w:ind w:left="105" w:leftChars="50" w:right="105" w:rightChars="50"/>
              <w:jc w:val="center"/>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资金使用</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合规性 （2分）</w:t>
            </w:r>
          </w:p>
        </w:tc>
        <w:tc>
          <w:tcPr>
            <w:tcW w:w="2908" w:type="dxa"/>
            <w:tcMar>
              <w:top w:w="10" w:type="dxa"/>
              <w:left w:w="10" w:type="dxa"/>
              <w:bottom w:w="0" w:type="dxa"/>
              <w:right w:w="10" w:type="dxa"/>
            </w:tcMar>
            <w:vAlign w:val="center"/>
          </w:tcPr>
          <w:p>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支出符合国家财经法规和财务管理制度规定以及有关专项资金管理办法的规定；2.资金拨付有完整的审批程序和手续；3.项目支出按规定经过评估论证；4.支出符合部门预算批复的用途；5.资金使用无截留、挤占、挪用、虚列支出等情况。</w:t>
            </w:r>
          </w:p>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以上情况每出现一例不符合要求的扣0.5分，扣完为止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①是否符合国家财经法规和财务管理制度规定以及有关预算支出管理办法的规定；</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②资金的拨付是否有完整的审批程序和手续；</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③预算支出的重大开支是否经过评估论证；</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④是否符合部门预算批复的用途；</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⑤是否存在截留、挤占、挪用、虚列支出等情况。</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预决算信</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息公开性（2分）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部门预算、执行、决算、监督、绩效等管理相关的信息未公开，每一项扣0.5分，扣完为止。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①是否按规定内容公开预决算信息；</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②是否按规定时限公开预决算信息。</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预决算信息是指与部门预算、执行、决算、监督、绩效等管理相关的信息。</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过</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程  （40分）</w:t>
            </w:r>
          </w:p>
        </w:tc>
        <w:tc>
          <w:tcPr>
            <w:tcW w:w="866" w:type="dxa"/>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预算</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管理   （8分）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基础信息</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完善性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部门基础信息是否完善，缺一项扣0.5分，扣完为止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①基础数据信息和会计信息资料是否真实；</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②基础数据信息和会计信息资料是否完整；</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③基础数据信息和会计信息资料是否准确。</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restart"/>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资产</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管理  （6分）</w:t>
            </w:r>
          </w:p>
          <w:p>
            <w:pPr>
              <w:spacing w:line="360" w:lineRule="auto"/>
              <w:jc w:val="center"/>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管理制度</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健全性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部门有加强资产管理、规范资产管理行为而制定的管理制度的计1分；有效执行相关文件的计1分。反之不计分。</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①是否已制定或具有资产管理制度；           ②相关资金管理制度是否合法、合规、完整；</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③相关资产管理制度是否得到有效执行。</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866" w:type="dxa"/>
            <w:vMerge w:val="continue"/>
            <w:vAlign w:val="center"/>
          </w:tcPr>
          <w:p>
            <w:pPr>
              <w:spacing w:line="360" w:lineRule="auto"/>
              <w:jc w:val="center"/>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资产管理</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安全性 （2分）</w:t>
            </w:r>
          </w:p>
        </w:tc>
        <w:tc>
          <w:tcPr>
            <w:tcW w:w="2908" w:type="dxa"/>
            <w:tcMar>
              <w:top w:w="10" w:type="dxa"/>
              <w:left w:w="10" w:type="dxa"/>
              <w:bottom w:w="0" w:type="dxa"/>
              <w:right w:w="10" w:type="dxa"/>
            </w:tcMar>
            <w:vAlign w:val="center"/>
          </w:tcPr>
          <w:p>
            <w:pPr>
              <w:tabs>
                <w:tab w:val="left" w:pos="761"/>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部门的资产是否保存完整、使用合规、配置合理、处置规范、收入及时足额上缴计满分，每一项不达标扣0.5分，扣完为止。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评价要点：</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①资产保存是否完整；</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②资产配置是否合理；</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③资产处置是否规范；</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④资产账务管理是否合规，是否帐实相符；</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⑤资产是否有偿使用及处置收入及时足额上缴。</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固定资产</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利用率 （2分）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100%计满分，每降低5%扣1分，扣完为止。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固定资产利用率=（实际在用固定资产总额/所有固定资产总额）×100%。</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产出（20分）</w:t>
            </w:r>
          </w:p>
        </w:tc>
        <w:tc>
          <w:tcPr>
            <w:tcW w:w="866"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职责</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履行 （20分）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实际</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完成率 （5分）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100%计满分，每超过1%扣1分，扣完为止。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实际完成率=（实际完成工作数/计划工作数）×100%。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实际完成工作数：一定时期（年度或规划期）内部门实际完成工作任务的数量。</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计划工作数：部门整体绩效目标确定的一定时期（年度或规划期）内预计完成工作任务的数量。</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产</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出</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（20分）</w:t>
            </w:r>
          </w:p>
        </w:tc>
        <w:tc>
          <w:tcPr>
            <w:tcW w:w="866" w:type="dxa"/>
            <w:vMerge w:val="restart"/>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职责</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履行 （20分）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完成</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及时率 （5分）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100%以下（含）计满分，每超出1%扣1分，扣完为止。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完成及时率=（及时完成实际工作数/计划工作数）×100%。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及时完成实际工作数：部门按照整体绩效目标确定的时限实际完成的工作任务数量。</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质量</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达标率 （5分）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100%计满分，每超过1%扣1分，扣完为止。</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质量达标率=（质量达标实际工作数/计划工作数）×100%。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质量达标实际工作数：一定时期（年度或规划期）内部门实际完成工作数中达到部门绩效目标要求（绩效标准值）的工作任务数量。</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重点工作</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办结率 （5分）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根据绩效办2019年对各部门为民办实事和部门重点工程与重点工作考核分数折算。该项得分=（绩效办对应部分考核得分）</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重点工作办结率=（重点工作实际完成数/交办或下达数）×100%。</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重点工作是指党委、政府、人大、相关部门交办或下达的工作任务。</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效</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果</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（20分）</w:t>
            </w:r>
          </w:p>
        </w:tc>
        <w:tc>
          <w:tcPr>
            <w:tcW w:w="866" w:type="dxa"/>
            <w:vMerge w:val="restart"/>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履职</w:t>
            </w:r>
            <w:r>
              <w:rPr>
                <w:rFonts w:hint="eastAsia" w:asciiTheme="minorEastAsia" w:hAnsiTheme="minorEastAsia" w:eastAsiaTheme="minorEastAsia" w:cstheme="minorEastAsia"/>
                <w:szCs w:val="21"/>
              </w:rPr>
              <w:br w:type="textWrapping"/>
            </w:r>
            <w:r>
              <w:rPr>
                <w:rFonts w:hint="eastAsia" w:asciiTheme="minorEastAsia" w:hAnsiTheme="minorEastAsia" w:eastAsiaTheme="minorEastAsia" w:cstheme="minorEastAsia"/>
                <w:szCs w:val="21"/>
              </w:rPr>
              <w:t>效益 （20分）</w:t>
            </w: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经济效益（5分）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社会效益（5分）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部门履行职责对社会发展所带来的直接或间接影响。</w:t>
            </w:r>
          </w:p>
        </w:tc>
        <w:tc>
          <w:tcPr>
            <w:tcW w:w="4252" w:type="dxa"/>
            <w:vMerge w:val="continue"/>
            <w:vAlign w:val="center"/>
          </w:tcPr>
          <w:p>
            <w:pPr>
              <w:spacing w:line="360" w:lineRule="auto"/>
              <w:ind w:left="105" w:leftChars="50" w:right="105" w:rightChars="50"/>
              <w:rPr>
                <w:rFonts w:hint="eastAsia" w:asciiTheme="minorEastAsia" w:hAnsiTheme="minorEastAsia" w:eastAsiaTheme="minorEastAsia" w:cstheme="minorEastAsia"/>
                <w:szCs w:val="21"/>
              </w:rPr>
            </w:pP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生态效益（5分）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部门履行职责对生态环境所带来的直接或间接影响。</w:t>
            </w:r>
          </w:p>
        </w:tc>
        <w:tc>
          <w:tcPr>
            <w:tcW w:w="4252" w:type="dxa"/>
            <w:vMerge w:val="continue"/>
            <w:vAlign w:val="center"/>
          </w:tcPr>
          <w:p>
            <w:pPr>
              <w:spacing w:line="360" w:lineRule="auto"/>
              <w:ind w:left="105" w:leftChars="50" w:right="105" w:rightChars="50"/>
              <w:rPr>
                <w:rFonts w:hint="eastAsia" w:asciiTheme="minorEastAsia" w:hAnsiTheme="minorEastAsia" w:eastAsiaTheme="minorEastAsia" w:cstheme="minorEastAsia"/>
                <w:szCs w:val="21"/>
              </w:rPr>
            </w:pP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60" w:lineRule="auto"/>
              <w:rPr>
                <w:rFonts w:hint="eastAsia" w:asciiTheme="minorEastAsia" w:hAnsiTheme="minorEastAsia" w:eastAsiaTheme="minorEastAsia" w:cstheme="minorEastAsia"/>
                <w:szCs w:val="21"/>
              </w:rPr>
            </w:pPr>
          </w:p>
        </w:tc>
        <w:tc>
          <w:tcPr>
            <w:tcW w:w="866" w:type="dxa"/>
            <w:vMerge w:val="continue"/>
            <w:vAlign w:val="center"/>
          </w:tcPr>
          <w:p>
            <w:pPr>
              <w:spacing w:line="360" w:lineRule="auto"/>
              <w:rPr>
                <w:rFonts w:hint="eastAsia" w:asciiTheme="minorEastAsia" w:hAnsiTheme="minorEastAsia" w:eastAsiaTheme="minorEastAsia" w:cstheme="minorEastAsia"/>
                <w:szCs w:val="21"/>
              </w:rPr>
            </w:pPr>
          </w:p>
        </w:tc>
        <w:tc>
          <w:tcPr>
            <w:tcW w:w="951" w:type="dxa"/>
            <w:tcMar>
              <w:top w:w="10" w:type="dxa"/>
              <w:left w:w="10" w:type="dxa"/>
              <w:bottom w:w="0" w:type="dxa"/>
              <w:right w:w="10" w:type="dxa"/>
            </w:tcMar>
            <w:vAlign w:val="center"/>
          </w:tcPr>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社会公众</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或服务对</w:t>
            </w:r>
          </w:p>
          <w:p>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象满意度（5分）</w:t>
            </w:r>
          </w:p>
        </w:tc>
        <w:tc>
          <w:tcPr>
            <w:tcW w:w="2908" w:type="dxa"/>
            <w:tcMar>
              <w:top w:w="10" w:type="dxa"/>
              <w:left w:w="10" w:type="dxa"/>
              <w:bottom w:w="0" w:type="dxa"/>
              <w:right w:w="10" w:type="dxa"/>
            </w:tcMar>
            <w:vAlign w:val="center"/>
          </w:tcPr>
          <w:p>
            <w:pPr>
              <w:tabs>
                <w:tab w:val="left" w:pos="2604"/>
              </w:tabs>
              <w:spacing w:line="360" w:lineRule="auto"/>
              <w:ind w:left="105" w:leftChars="50" w:right="105" w:rightChars="50" w:firstLine="96" w:firstLineChars="4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60" w:lineRule="auto"/>
              <w:ind w:left="105" w:leftChars="50" w:right="105" w:rightChars="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社会公众或服务对象是指部门履行职责而影响到的部门、群体或个人。一般采取社会调查的方式。</w:t>
            </w:r>
          </w:p>
        </w:tc>
        <w:tc>
          <w:tcPr>
            <w:tcW w:w="938" w:type="dxa"/>
            <w:vAlign w:val="center"/>
          </w:tcPr>
          <w:p>
            <w:pPr>
              <w:spacing w:line="360" w:lineRule="auto"/>
              <w:ind w:left="105" w:leftChars="50" w:right="105" w:rightChars="50"/>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60" w:lineRule="auto"/>
              <w:ind w:left="105" w:leftChars="50" w:right="105" w:rightChars="50"/>
              <w:jc w:val="center"/>
              <w:rPr>
                <w:rFonts w:hint="eastAsia" w:asciiTheme="minorEastAsia" w:hAnsiTheme="minorEastAsia" w:eastAsiaTheme="minorEastAsia" w:cstheme="minorEastAsia"/>
                <w:szCs w:val="21"/>
              </w:rPr>
            </w:pPr>
          </w:p>
        </w:tc>
        <w:tc>
          <w:tcPr>
            <w:tcW w:w="938" w:type="dxa"/>
            <w:vAlign w:val="center"/>
          </w:tcPr>
          <w:p>
            <w:pPr>
              <w:spacing w:line="360" w:lineRule="auto"/>
              <w:ind w:left="105" w:leftChars="50" w:right="105" w:rightChars="50"/>
              <w:jc w:val="center"/>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99.5</w:t>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717FB"/>
    <w:rsid w:val="5A7717FB"/>
    <w:rsid w:val="5A82042F"/>
    <w:rsid w:val="78B67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2021-09-03T12:26:00Z</dcterms:created>
  <dc:creator>辰酉翔</dc:creator>
  <cp:lastModifiedBy>辰酉翔</cp:lastModifiedBy>
  <dcterms:modified xsi:type="dcterms:W3CDTF">2021-09-09T08:12:37Z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1174CCF645C34E37BF5B8E8E00C2B474</vt:lpwstr>
  </property>
</Properties>
</file>