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560" w:lineRule="atLeast"/>
        <w:jc w:val="center"/>
        <w:rPr>
          <w:rFonts w:ascii="宋体" w:hAnsi="宋体" w:eastAsia="宋体" w:cs="宋体"/>
          <w:b/>
          <w:kern w:val="0"/>
          <w:sz w:val="44"/>
          <w:szCs w:val="44"/>
        </w:rPr>
      </w:pPr>
      <w:r>
        <w:rPr>
          <w:rFonts w:hint="eastAsia" w:ascii="宋体" w:hAnsi="宋体" w:eastAsia="宋体" w:cs="宋体"/>
          <w:b/>
          <w:kern w:val="0"/>
          <w:sz w:val="44"/>
          <w:szCs w:val="44"/>
        </w:rPr>
        <w:t>湖南省202</w:t>
      </w:r>
      <w:r>
        <w:rPr>
          <w:rFonts w:hint="eastAsia" w:ascii="宋体" w:hAnsi="宋体" w:eastAsia="宋体" w:cs="宋体"/>
          <w:b/>
          <w:kern w:val="0"/>
          <w:sz w:val="44"/>
          <w:szCs w:val="44"/>
          <w:lang w:val="en-US" w:eastAsia="zh-CN"/>
        </w:rPr>
        <w:t>1</w:t>
      </w:r>
      <w:r>
        <w:rPr>
          <w:rFonts w:hint="eastAsia" w:ascii="宋体" w:hAnsi="宋体" w:eastAsia="宋体" w:cs="宋体"/>
          <w:b/>
          <w:kern w:val="0"/>
          <w:sz w:val="44"/>
          <w:szCs w:val="44"/>
        </w:rPr>
        <w:t>年度部门整体支出</w:t>
      </w:r>
    </w:p>
    <w:p>
      <w:pPr>
        <w:adjustRightInd w:val="0"/>
        <w:snapToGrid w:val="0"/>
        <w:spacing w:line="560" w:lineRule="atLeast"/>
        <w:jc w:val="center"/>
        <w:rPr>
          <w:rFonts w:ascii="宋体" w:hAnsi="宋体" w:eastAsia="宋体" w:cs="宋体"/>
          <w:b/>
          <w:kern w:val="0"/>
          <w:sz w:val="44"/>
          <w:szCs w:val="44"/>
        </w:rPr>
      </w:pPr>
      <w:r>
        <w:rPr>
          <w:rFonts w:hint="eastAsia" w:ascii="宋体" w:hAnsi="宋体" w:eastAsia="宋体" w:cs="宋体"/>
          <w:b/>
          <w:kern w:val="0"/>
          <w:sz w:val="44"/>
          <w:szCs w:val="44"/>
        </w:rPr>
        <w:t>绩效评价报告</w:t>
      </w:r>
    </w:p>
    <w:p>
      <w:pPr>
        <w:jc w:val="center"/>
        <w:rPr>
          <w:rFonts w:hint="default" w:ascii="Times New Roman" w:hAnsi="Times New Roman" w:eastAsia="Times New Roman"/>
          <w:sz w:val="36"/>
          <w:szCs w:val="24"/>
        </w:rPr>
      </w:pPr>
      <w:r>
        <w:rPr>
          <w:rFonts w:hint="eastAsia" w:ascii="华文中宋" w:hAnsi="华文中宋" w:eastAsia="华文中宋"/>
          <w:sz w:val="36"/>
          <w:szCs w:val="24"/>
        </w:rPr>
        <w:t>（</w:t>
      </w:r>
      <w:r>
        <w:rPr>
          <w:rFonts w:hint="eastAsia" w:ascii="方正小标宋简体" w:hAnsi="方正小标宋简体" w:eastAsia="方正小标宋简体"/>
          <w:b/>
          <w:sz w:val="40"/>
          <w:szCs w:val="24"/>
        </w:rPr>
        <w:t>辰溪县黄溪口镇人民政府</w:t>
      </w:r>
      <w:r>
        <w:rPr>
          <w:rFonts w:hint="eastAsia" w:ascii="华文中宋" w:hAnsi="华文中宋" w:eastAsia="华文中宋"/>
          <w:sz w:val="36"/>
          <w:szCs w:val="24"/>
        </w:rPr>
        <w:t>）</w:t>
      </w:r>
    </w:p>
    <w:p>
      <w:pPr>
        <w:ind w:firstLine="640"/>
        <w:rPr>
          <w:rFonts w:hint="default" w:ascii="Times New Roman" w:hAnsi="Times New Roman" w:eastAsia="Times New Roman"/>
          <w:sz w:val="32"/>
          <w:szCs w:val="24"/>
        </w:rPr>
      </w:pPr>
    </w:p>
    <w:p>
      <w:pPr>
        <w:spacing w:line="520" w:lineRule="exact"/>
        <w:ind w:firstLine="640"/>
        <w:rPr>
          <w:rFonts w:hint="default" w:ascii="Times New Roman" w:hAnsi="Times New Roman" w:eastAsia="Times New Roman"/>
          <w:b/>
          <w:bCs/>
          <w:sz w:val="32"/>
          <w:szCs w:val="24"/>
        </w:rPr>
      </w:pPr>
      <w:r>
        <w:rPr>
          <w:rFonts w:hint="eastAsia" w:ascii="黑体" w:hAnsi="黑体" w:eastAsia="黑体"/>
          <w:b/>
          <w:bCs/>
          <w:sz w:val="32"/>
          <w:szCs w:val="24"/>
        </w:rPr>
        <w:t>一、部门（单位）情况</w:t>
      </w:r>
    </w:p>
    <w:p>
      <w:pPr>
        <w:spacing w:line="520" w:lineRule="exact"/>
        <w:ind w:firstLine="643"/>
        <w:rPr>
          <w:rFonts w:hint="eastAsia" w:asciiTheme="majorEastAsia" w:hAnsiTheme="majorEastAsia" w:eastAsiaTheme="majorEastAsia" w:cstheme="majorEastAsia"/>
          <w:b/>
          <w:sz w:val="32"/>
          <w:szCs w:val="24"/>
        </w:rPr>
      </w:pPr>
      <w:r>
        <w:rPr>
          <w:rFonts w:hint="eastAsia" w:asciiTheme="majorEastAsia" w:hAnsiTheme="majorEastAsia" w:eastAsiaTheme="majorEastAsia" w:cstheme="majorEastAsia"/>
          <w:b/>
          <w:sz w:val="32"/>
          <w:szCs w:val="24"/>
        </w:rPr>
        <w:t>（一）基本情况。</w:t>
      </w:r>
    </w:p>
    <w:p>
      <w:pPr>
        <w:spacing w:line="520" w:lineRule="exact"/>
        <w:ind w:firstLine="640"/>
        <w:rPr>
          <w:rFonts w:hint="eastAsia" w:asciiTheme="majorEastAsia" w:hAnsiTheme="majorEastAsia" w:eastAsiaTheme="majorEastAsia" w:cstheme="majorEastAsia"/>
          <w:b/>
          <w:bCs/>
          <w:sz w:val="32"/>
          <w:szCs w:val="24"/>
        </w:rPr>
      </w:pPr>
      <w:r>
        <w:rPr>
          <w:rFonts w:hint="eastAsia" w:asciiTheme="majorEastAsia" w:hAnsiTheme="majorEastAsia" w:eastAsiaTheme="majorEastAsia" w:cstheme="majorEastAsia"/>
          <w:b/>
          <w:bCs/>
          <w:sz w:val="32"/>
          <w:szCs w:val="24"/>
        </w:rPr>
        <w:t>1．主要职能。</w:t>
      </w:r>
    </w:p>
    <w:p>
      <w:pPr>
        <w:spacing w:line="560" w:lineRule="exact"/>
        <w:ind w:firstLine="627" w:firstLineChars="196"/>
        <w:jc w:val="left"/>
        <w:rPr>
          <w:rFonts w:hint="eastAsia" w:ascii="宋体" w:hAnsi="宋体" w:cs="宋体"/>
          <w:sz w:val="32"/>
          <w:szCs w:val="32"/>
          <w:lang w:val="zh-CN" w:eastAsia="zh-CN"/>
        </w:rPr>
      </w:pPr>
      <w:r>
        <w:rPr>
          <w:rFonts w:hint="eastAsia" w:ascii="宋体" w:hAnsi="宋体" w:cs="宋体"/>
          <w:sz w:val="32"/>
          <w:szCs w:val="32"/>
          <w:lang w:val="zh-CN" w:eastAsia="zh-CN"/>
        </w:rPr>
        <w:t>负责处理乡机关内部综合协调及日常行政事务；负责组织、机构编制、人事管理考核等工作；负责文秘、信息、档案、保密、调研、重要会务、政府采购及行政后勤管理等工作；负责乡本级和下属单位的党群组织、纪检监察、人武、人大、政协等工作；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负责履行县发改局、经信局、商粮局、环保局、安监局等部门委托乡政府行使的管理职能；负责辖区内现有企业的管理服务工作；负责辖区内科技、环保、安全生产等工作；负责农田基本建设的规划实施、先进生产技术推广应用；动植物防疫等农业和水利、林业等工作。</w:t>
      </w:r>
    </w:p>
    <w:p>
      <w:pPr>
        <w:spacing w:line="560" w:lineRule="exact"/>
        <w:ind w:firstLine="627" w:firstLineChars="196"/>
        <w:jc w:val="left"/>
        <w:rPr>
          <w:rFonts w:hint="eastAsia" w:ascii="宋体" w:hAnsi="宋体" w:cs="宋体"/>
          <w:sz w:val="32"/>
          <w:szCs w:val="32"/>
          <w:lang w:val="zh-CN" w:eastAsia="zh-CN"/>
        </w:rPr>
      </w:pPr>
      <w:r>
        <w:rPr>
          <w:rFonts w:hint="eastAsia" w:ascii="宋体" w:hAnsi="宋体" w:cs="宋体"/>
          <w:sz w:val="32"/>
          <w:szCs w:val="32"/>
          <w:lang w:val="zh-CN" w:eastAsia="zh-CN"/>
        </w:rPr>
        <w:t>负责辖区内村乡建设规划的编制和报批工作；负责辖区内建设工程、基础设施的建设和管理；负责乡土地收购储备以及出让前期工作；负责乡域内重大基础设施建设、集镇改造工作；负责指导、监督、协调国有土地上房屋征收补偿和集体土地上房屋征收补偿工作；负责辖区内房屋征收补偿政策的拟订、宣传、解释工作；负责审核、修订房屋征收补偿方案；组织实施旧房拆除的管理工作。负责辖区内集镇道路保洁、道路绿化养护；负责履行县住建局等部门委托乡政府行使的管理职能；负责城乡环境卫生秩序管理、自然资源管理、农村个人建房管理等工作；依据职能会同有关部门做好乡域内交通秩序、工商行政、食品卫生、车辆营运等执法管理工作。负责辖区内卫生健康、民政、教育、文体旅广等工作；负责社会保险、劳动监察、劳动仲裁、就业再就业等服务工作。负责辖区内综合治理、社会稳定、来信来访和司法调解、社区矫正、普法宣传等社会综合管理工作；负责协调社会治安基础防范工作。负责制定全乡新农村建设的具体措施、实施意见和工作方案；承担新农村建设的各项目常管理工作；在新农村建设领导小组领导下，负责指导协调各村、各有关部门在新农村建设中的任务、目标、计划及具体实施工作；负责做好驻村指导员的日常管理工作。履行相关行政许可职能和提供行政审批服务；负责相关审批办证和提供政策咨询等行政服务工作，综合协调管理行政服务事务。</w:t>
      </w:r>
    </w:p>
    <w:p>
      <w:pPr>
        <w:spacing w:line="520" w:lineRule="exact"/>
        <w:ind w:firstLine="640"/>
        <w:jc w:val="left"/>
        <w:rPr>
          <w:rFonts w:hint="eastAsia" w:ascii="宋体" w:hAnsi="宋体" w:eastAsia="宋体" w:cs="宋体"/>
          <w:b/>
          <w:bCs/>
          <w:sz w:val="32"/>
          <w:szCs w:val="24"/>
          <w:lang w:val="en-US"/>
        </w:rPr>
      </w:pPr>
      <w:r>
        <w:rPr>
          <w:rFonts w:hint="eastAsia" w:ascii="宋体" w:hAnsi="宋体" w:eastAsia="宋体" w:cs="宋体"/>
          <w:b/>
          <w:bCs/>
          <w:sz w:val="32"/>
          <w:szCs w:val="24"/>
          <w:lang w:val="en-US"/>
        </w:rPr>
        <w:t>2．机构情况</w:t>
      </w:r>
      <w:r>
        <w:rPr>
          <w:rFonts w:hint="eastAsia" w:ascii="宋体" w:hAnsi="宋体" w:eastAsia="宋体" w:cs="宋体"/>
          <w:b/>
          <w:bCs/>
          <w:sz w:val="32"/>
          <w:szCs w:val="24"/>
          <w:lang w:val="zh-CN"/>
        </w:rPr>
        <w:t>。</w:t>
      </w:r>
    </w:p>
    <w:p>
      <w:pPr>
        <w:spacing w:line="520" w:lineRule="exact"/>
        <w:ind w:firstLine="640"/>
        <w:rPr>
          <w:rFonts w:hint="default" w:ascii="Times New Roman" w:hAnsi="Times New Roman" w:eastAsia="Times New Roman"/>
          <w:sz w:val="32"/>
          <w:szCs w:val="24"/>
          <w:lang w:val="en-US"/>
        </w:rPr>
      </w:pPr>
      <w:r>
        <w:rPr>
          <w:rFonts w:hint="eastAsia" w:ascii="宋体" w:hAnsi="宋体" w:cs="宋体"/>
          <w:sz w:val="32"/>
          <w:szCs w:val="32"/>
          <w:lang w:val="zh-CN" w:eastAsia="zh-CN"/>
        </w:rPr>
        <w:t>黄溪口镇人民政府作为一级部门预算单位，纳入</w:t>
      </w:r>
      <w:r>
        <w:rPr>
          <w:rFonts w:hint="eastAsia" w:ascii="宋体" w:hAnsi="宋体" w:cs="宋体"/>
          <w:sz w:val="32"/>
          <w:szCs w:val="32"/>
          <w:lang w:val="en-US" w:eastAsia="zh-CN"/>
        </w:rPr>
        <w:t>2022</w:t>
      </w:r>
      <w:r>
        <w:rPr>
          <w:rFonts w:hint="eastAsia" w:ascii="宋体" w:hAnsi="宋体" w:cs="宋体"/>
          <w:sz w:val="32"/>
          <w:szCs w:val="32"/>
          <w:lang w:val="zh-CN" w:eastAsia="zh-CN"/>
        </w:rPr>
        <w:t>年部门预算编制范围的二级部门预算单位包括：人口和计划生育办、安监站、扶贫站等部门。</w:t>
      </w:r>
    </w:p>
    <w:p>
      <w:pPr>
        <w:numPr>
          <w:numId w:val="0"/>
        </w:numPr>
        <w:spacing w:line="520" w:lineRule="exact"/>
        <w:ind w:firstLine="643" w:firstLineChars="200"/>
        <w:rPr>
          <w:rFonts w:hint="eastAsia" w:asciiTheme="majorEastAsia" w:hAnsiTheme="majorEastAsia" w:eastAsiaTheme="majorEastAsia" w:cstheme="majorEastAsia"/>
          <w:b/>
          <w:bCs/>
          <w:sz w:val="32"/>
          <w:szCs w:val="24"/>
          <w:lang w:val="en-US"/>
        </w:rPr>
      </w:pPr>
      <w:r>
        <w:rPr>
          <w:rFonts w:hint="eastAsia" w:asciiTheme="majorEastAsia" w:hAnsiTheme="majorEastAsia" w:eastAsiaTheme="majorEastAsia" w:cstheme="majorEastAsia"/>
          <w:b/>
          <w:bCs/>
          <w:sz w:val="32"/>
          <w:szCs w:val="24"/>
          <w:lang w:val="en-US" w:eastAsia="zh-CN"/>
        </w:rPr>
        <w:t>3.</w:t>
      </w:r>
      <w:r>
        <w:rPr>
          <w:rFonts w:hint="eastAsia" w:asciiTheme="majorEastAsia" w:hAnsiTheme="majorEastAsia" w:eastAsiaTheme="majorEastAsia" w:cstheme="majorEastAsia"/>
          <w:b/>
          <w:bCs/>
          <w:sz w:val="32"/>
          <w:szCs w:val="24"/>
          <w:lang w:val="en-US"/>
        </w:rPr>
        <w:t>人员情况。</w:t>
      </w:r>
    </w:p>
    <w:p>
      <w:pPr>
        <w:spacing w:line="520" w:lineRule="exact"/>
        <w:ind w:firstLine="640"/>
        <w:rPr>
          <w:rFonts w:hint="default" w:ascii="宋体" w:hAnsi="宋体" w:cs="宋体"/>
          <w:sz w:val="32"/>
          <w:szCs w:val="32"/>
          <w:lang w:val="en-US" w:eastAsia="zh-CN"/>
        </w:rPr>
      </w:pPr>
      <w:r>
        <w:rPr>
          <w:rFonts w:hint="eastAsia" w:ascii="宋体" w:hAnsi="宋体" w:cs="宋体"/>
          <w:sz w:val="32"/>
          <w:szCs w:val="32"/>
          <w:lang w:val="en-US" w:eastAsia="zh-CN"/>
        </w:rPr>
        <w:t>2021年本单位年未实有人数66人，比上年</w:t>
      </w:r>
      <w:r>
        <w:rPr>
          <w:rFonts w:hint="eastAsia" w:ascii="宋体" w:hAnsi="宋体" w:cs="宋体"/>
          <w:sz w:val="32"/>
          <w:szCs w:val="32"/>
          <w:lang w:val="zh-CN" w:eastAsia="zh-CN"/>
        </w:rPr>
        <w:t>变动了（增加或减少）</w:t>
      </w:r>
      <w:r>
        <w:rPr>
          <w:rFonts w:hint="eastAsia" w:ascii="宋体" w:hAnsi="宋体" w:cs="宋体"/>
          <w:sz w:val="32"/>
          <w:szCs w:val="32"/>
          <w:lang w:val="en-US" w:eastAsia="zh-CN"/>
        </w:rPr>
        <w:t>2人。人员变化的主要原因是：一是人员调动;二是人员提拔。</w:t>
      </w:r>
    </w:p>
    <w:p>
      <w:pPr>
        <w:spacing w:line="520" w:lineRule="exact"/>
        <w:ind w:firstLine="643"/>
        <w:rPr>
          <w:rFonts w:hint="eastAsia" w:asciiTheme="majorEastAsia" w:hAnsiTheme="majorEastAsia" w:eastAsiaTheme="majorEastAsia" w:cstheme="majorEastAsia"/>
          <w:b/>
          <w:sz w:val="32"/>
          <w:szCs w:val="24"/>
          <w:lang w:val="en-US"/>
        </w:rPr>
      </w:pPr>
      <w:r>
        <w:rPr>
          <w:rFonts w:hint="eastAsia" w:asciiTheme="majorEastAsia" w:hAnsiTheme="majorEastAsia" w:eastAsiaTheme="majorEastAsia" w:cstheme="majorEastAsia"/>
          <w:b/>
          <w:sz w:val="32"/>
          <w:szCs w:val="24"/>
          <w:lang w:val="en-US"/>
        </w:rPr>
        <w:t>（二）当年取得的主要事业成效。</w:t>
      </w:r>
    </w:p>
    <w:p>
      <w:pPr>
        <w:spacing w:line="520" w:lineRule="exact"/>
        <w:ind w:firstLine="640"/>
        <w:rPr>
          <w:rFonts w:hint="eastAsia" w:ascii="宋体" w:hAnsi="宋体" w:cs="宋体"/>
          <w:sz w:val="32"/>
          <w:szCs w:val="32"/>
          <w:lang w:val="en-US" w:eastAsia="zh-CN"/>
        </w:rPr>
      </w:pPr>
      <w:r>
        <w:rPr>
          <w:rFonts w:hint="eastAsia" w:ascii="宋体" w:hAnsi="宋体" w:cs="宋体"/>
          <w:sz w:val="32"/>
          <w:szCs w:val="32"/>
          <w:lang w:val="en-US" w:eastAsia="zh-CN"/>
        </w:rPr>
        <w:t>政府部门正常运转，疫情防控任务圆满完成，完成上级交办的各项任务，工资奖金正常足额发放。</w:t>
      </w:r>
    </w:p>
    <w:p>
      <w:pPr>
        <w:spacing w:line="520" w:lineRule="exact"/>
        <w:ind w:firstLine="640"/>
        <w:rPr>
          <w:rFonts w:hint="default" w:ascii="Times New Roman" w:hAnsi="Times New Roman" w:eastAsia="Times New Roman"/>
          <w:b/>
          <w:bCs/>
          <w:sz w:val="32"/>
          <w:szCs w:val="24"/>
          <w:lang w:val="en-US"/>
        </w:rPr>
      </w:pPr>
      <w:r>
        <w:rPr>
          <w:rFonts w:hint="eastAsia" w:ascii="黑体" w:hAnsi="黑体" w:eastAsia="黑体"/>
          <w:b/>
          <w:bCs/>
          <w:sz w:val="32"/>
          <w:szCs w:val="24"/>
          <w:lang w:val="en-US"/>
        </w:rPr>
        <w:t>二、收入支出预算执行情况分析</w:t>
      </w:r>
    </w:p>
    <w:p>
      <w:pPr>
        <w:spacing w:line="520" w:lineRule="exact"/>
        <w:ind w:firstLine="643"/>
        <w:rPr>
          <w:rFonts w:hint="eastAsia" w:asciiTheme="majorEastAsia" w:hAnsiTheme="majorEastAsia" w:eastAsiaTheme="majorEastAsia" w:cstheme="majorEastAsia"/>
          <w:b/>
          <w:sz w:val="32"/>
          <w:szCs w:val="24"/>
          <w:lang w:val="en-US"/>
        </w:rPr>
      </w:pPr>
      <w:r>
        <w:rPr>
          <w:rFonts w:hint="eastAsia" w:asciiTheme="majorEastAsia" w:hAnsiTheme="majorEastAsia" w:eastAsiaTheme="majorEastAsia" w:cstheme="majorEastAsia"/>
          <w:b/>
          <w:sz w:val="32"/>
          <w:szCs w:val="24"/>
          <w:lang w:val="en-US"/>
        </w:rPr>
        <w:t>（一）收入支出预算安排情况。</w:t>
      </w:r>
    </w:p>
    <w:p>
      <w:pPr>
        <w:spacing w:line="560" w:lineRule="exact"/>
        <w:ind w:firstLine="627" w:firstLineChars="196"/>
        <w:jc w:val="left"/>
        <w:rPr>
          <w:rFonts w:hint="eastAsia" w:ascii="宋体" w:hAnsi="宋体" w:cs="宋体"/>
          <w:sz w:val="32"/>
          <w:szCs w:val="32"/>
        </w:rPr>
      </w:pPr>
      <w:r>
        <w:rPr>
          <w:rFonts w:hint="eastAsia" w:ascii="宋体" w:hAnsi="宋体" w:cs="宋体"/>
          <w:sz w:val="32"/>
          <w:szCs w:val="32"/>
        </w:rPr>
        <w:t>收入预算，</w:t>
      </w:r>
      <w:r>
        <w:rPr>
          <w:rFonts w:hint="eastAsia" w:ascii="宋体" w:hAnsi="宋体" w:cs="宋体"/>
          <w:sz w:val="32"/>
          <w:szCs w:val="32"/>
          <w:lang w:val="en-US" w:eastAsia="zh-CN"/>
        </w:rPr>
        <w:t>2021</w:t>
      </w:r>
      <w:r>
        <w:rPr>
          <w:rFonts w:hint="eastAsia" w:ascii="宋体" w:hAnsi="宋体" w:cs="宋体"/>
          <w:sz w:val="32"/>
          <w:szCs w:val="32"/>
        </w:rPr>
        <w:t>年年初预算数</w:t>
      </w:r>
      <w:r>
        <w:rPr>
          <w:rFonts w:hint="eastAsia" w:ascii="宋体" w:hAnsi="宋体" w:cs="宋体"/>
          <w:sz w:val="32"/>
          <w:szCs w:val="32"/>
          <w:lang w:val="en-US" w:eastAsia="zh-CN"/>
        </w:rPr>
        <w:t>724.6</w:t>
      </w:r>
      <w:r>
        <w:rPr>
          <w:rFonts w:hint="eastAsia" w:ascii="宋体" w:hAnsi="宋体" w:cs="宋体"/>
          <w:sz w:val="32"/>
          <w:szCs w:val="32"/>
        </w:rPr>
        <w:t>万元，较上年</w:t>
      </w:r>
      <w:r>
        <w:rPr>
          <w:rFonts w:hint="eastAsia" w:ascii="宋体" w:hAnsi="宋体" w:cs="宋体"/>
          <w:sz w:val="32"/>
          <w:szCs w:val="32"/>
          <w:lang w:val="en-US" w:eastAsia="zh-CN"/>
        </w:rPr>
        <w:t>减少348.72</w:t>
      </w:r>
      <w:r>
        <w:rPr>
          <w:rFonts w:hint="eastAsia" w:ascii="宋体" w:hAnsi="宋体" w:cs="宋体"/>
          <w:sz w:val="32"/>
          <w:szCs w:val="32"/>
        </w:rPr>
        <w:t>万元，主要是：</w:t>
      </w:r>
      <w:r>
        <w:rPr>
          <w:rFonts w:hint="eastAsia" w:ascii="宋体" w:hAnsi="宋体" w:cs="宋体"/>
          <w:sz w:val="32"/>
          <w:szCs w:val="32"/>
          <w:lang w:val="en-US" w:eastAsia="zh-CN"/>
        </w:rPr>
        <w:t>上级补助收入减少</w:t>
      </w:r>
      <w:r>
        <w:rPr>
          <w:rFonts w:hint="eastAsia" w:ascii="宋体" w:hAnsi="宋体" w:cs="宋体"/>
          <w:sz w:val="32"/>
          <w:szCs w:val="32"/>
        </w:rPr>
        <w:t>。其中，一般公共预算拨款</w:t>
      </w:r>
      <w:r>
        <w:rPr>
          <w:rFonts w:hint="eastAsia" w:ascii="宋体" w:hAnsi="宋体" w:cs="宋体"/>
          <w:sz w:val="32"/>
          <w:szCs w:val="32"/>
          <w:lang w:val="en-US" w:eastAsia="zh-CN"/>
        </w:rPr>
        <w:t>724.6</w:t>
      </w:r>
      <w:r>
        <w:rPr>
          <w:rFonts w:hint="eastAsia" w:ascii="宋体" w:hAnsi="宋体" w:cs="宋体"/>
          <w:sz w:val="32"/>
          <w:szCs w:val="32"/>
        </w:rPr>
        <w:t>万元，政府性基金预算拨款0万元，纳入财政专户管理的非税收入拨款0万元，国有资本经营预算拨款0万元，上级补助收入</w:t>
      </w:r>
      <w:r>
        <w:rPr>
          <w:rFonts w:hint="eastAsia" w:ascii="宋体" w:hAnsi="宋体" w:cs="宋体"/>
          <w:sz w:val="32"/>
          <w:szCs w:val="32"/>
          <w:lang w:val="en-US" w:eastAsia="zh-CN"/>
        </w:rPr>
        <w:t>0</w:t>
      </w:r>
      <w:r>
        <w:rPr>
          <w:rFonts w:hint="eastAsia" w:ascii="宋体" w:hAnsi="宋体" w:cs="宋体"/>
          <w:sz w:val="32"/>
          <w:szCs w:val="32"/>
        </w:rPr>
        <w:t>万元，其他收入</w:t>
      </w:r>
      <w:r>
        <w:rPr>
          <w:rFonts w:hint="eastAsia" w:ascii="宋体" w:hAnsi="宋体" w:cs="宋体"/>
          <w:sz w:val="32"/>
          <w:szCs w:val="32"/>
          <w:lang w:val="en-US" w:eastAsia="zh-CN"/>
        </w:rPr>
        <w:t>0</w:t>
      </w:r>
      <w:r>
        <w:rPr>
          <w:rFonts w:hint="eastAsia" w:ascii="宋体" w:hAnsi="宋体" w:cs="宋体"/>
          <w:sz w:val="32"/>
          <w:szCs w:val="32"/>
        </w:rPr>
        <w:t>万元。</w:t>
      </w:r>
    </w:p>
    <w:p>
      <w:pPr>
        <w:spacing w:line="560" w:lineRule="exact"/>
        <w:ind w:firstLine="627" w:firstLineChars="196"/>
        <w:jc w:val="left"/>
        <w:rPr>
          <w:rFonts w:hint="eastAsia" w:ascii="宋体" w:hAnsi="宋体" w:cs="宋体"/>
          <w:sz w:val="32"/>
          <w:szCs w:val="32"/>
        </w:rPr>
      </w:pPr>
      <w:r>
        <w:rPr>
          <w:rFonts w:hint="eastAsia" w:ascii="宋体" w:hAnsi="宋体" w:cs="宋体"/>
          <w:sz w:val="32"/>
          <w:szCs w:val="32"/>
        </w:rPr>
        <w:t>②支出预算，</w:t>
      </w:r>
      <w:r>
        <w:rPr>
          <w:rFonts w:hint="eastAsia" w:ascii="宋体" w:hAnsi="宋体" w:cs="宋体"/>
          <w:sz w:val="32"/>
          <w:szCs w:val="32"/>
          <w:lang w:val="en-US" w:eastAsia="zh-CN"/>
        </w:rPr>
        <w:t>2021</w:t>
      </w:r>
      <w:r>
        <w:rPr>
          <w:rFonts w:hint="eastAsia" w:ascii="宋体" w:hAnsi="宋体" w:cs="宋体"/>
          <w:sz w:val="32"/>
          <w:szCs w:val="32"/>
        </w:rPr>
        <w:t>年年初预算数</w:t>
      </w:r>
      <w:r>
        <w:rPr>
          <w:rFonts w:hint="eastAsia" w:ascii="宋体" w:hAnsi="宋体" w:cs="宋体"/>
          <w:sz w:val="32"/>
          <w:szCs w:val="32"/>
          <w:lang w:val="en-US" w:eastAsia="zh-CN"/>
        </w:rPr>
        <w:t>724.6</w:t>
      </w:r>
      <w:r>
        <w:rPr>
          <w:rFonts w:hint="eastAsia" w:ascii="宋体" w:hAnsi="宋体" w:cs="宋体"/>
          <w:sz w:val="32"/>
          <w:szCs w:val="32"/>
        </w:rPr>
        <w:t>万元，较上年</w:t>
      </w:r>
      <w:r>
        <w:rPr>
          <w:rFonts w:hint="eastAsia" w:ascii="宋体" w:hAnsi="宋体" w:cs="宋体"/>
          <w:sz w:val="32"/>
          <w:szCs w:val="32"/>
          <w:lang w:val="en-US" w:eastAsia="zh-CN"/>
        </w:rPr>
        <w:t>减少348.72</w:t>
      </w:r>
      <w:r>
        <w:rPr>
          <w:rFonts w:hint="eastAsia" w:ascii="宋体" w:hAnsi="宋体" w:cs="宋体"/>
          <w:sz w:val="32"/>
          <w:szCs w:val="32"/>
        </w:rPr>
        <w:t>万元，主要是</w:t>
      </w:r>
      <w:r>
        <w:rPr>
          <w:rFonts w:hint="eastAsia" w:ascii="宋体" w:hAnsi="宋体" w:cs="宋体"/>
          <w:sz w:val="32"/>
          <w:szCs w:val="32"/>
          <w:lang w:val="en-US" w:eastAsia="zh-CN"/>
        </w:rPr>
        <w:t>上级补助收入减少</w:t>
      </w:r>
      <w:r>
        <w:rPr>
          <w:rFonts w:hint="eastAsia" w:ascii="宋体" w:hAnsi="宋体" w:cs="宋体"/>
          <w:sz w:val="32"/>
          <w:szCs w:val="32"/>
        </w:rPr>
        <w:t>。其中，基本支出</w:t>
      </w:r>
      <w:r>
        <w:rPr>
          <w:rFonts w:hint="eastAsia" w:ascii="宋体" w:hAnsi="宋体" w:cs="宋体"/>
          <w:sz w:val="32"/>
          <w:szCs w:val="32"/>
          <w:lang w:val="en-US" w:eastAsia="zh-CN"/>
        </w:rPr>
        <w:t>724.6</w:t>
      </w:r>
      <w:r>
        <w:rPr>
          <w:rFonts w:hint="eastAsia" w:ascii="宋体" w:hAnsi="宋体" w:cs="宋体"/>
          <w:sz w:val="32"/>
          <w:szCs w:val="32"/>
        </w:rPr>
        <w:t>万元，项目支出</w:t>
      </w:r>
      <w:r>
        <w:rPr>
          <w:rFonts w:hint="eastAsia" w:ascii="宋体" w:hAnsi="宋体" w:cs="宋体"/>
          <w:sz w:val="32"/>
          <w:szCs w:val="32"/>
          <w:lang w:eastAsia="zh-CN"/>
        </w:rPr>
        <w:t>0</w:t>
      </w:r>
      <w:r>
        <w:rPr>
          <w:rFonts w:hint="eastAsia" w:ascii="宋体" w:hAnsi="宋体" w:cs="宋体"/>
          <w:sz w:val="32"/>
          <w:szCs w:val="32"/>
        </w:rPr>
        <w:t>万元。</w:t>
      </w:r>
    </w:p>
    <w:p>
      <w:pPr>
        <w:ind w:firstLine="482" w:firstLineChars="150"/>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（二）决算资金基本情况</w:t>
      </w:r>
    </w:p>
    <w:p>
      <w:pPr>
        <w:spacing w:line="56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本年收入合计2006.18万元，其中：财政拨款收入2006.18万元，包含：一般公共服务支出1415.55万元，社会保障和就业支出148.81万元，住房保障支出81.82万元，节能环保支出360万元。</w:t>
      </w:r>
    </w:p>
    <w:p>
      <w:pPr>
        <w:spacing w:line="560" w:lineRule="exact"/>
        <w:ind w:firstLine="627" w:firstLineChars="196"/>
        <w:jc w:val="left"/>
        <w:rPr>
          <w:rFonts w:hint="eastAsia" w:ascii="宋体" w:hAnsi="宋体" w:cs="宋体"/>
          <w:sz w:val="32"/>
          <w:szCs w:val="32"/>
          <w:lang w:val="en-US" w:eastAsia="zh-CN"/>
        </w:rPr>
      </w:pPr>
      <w:r>
        <w:rPr>
          <w:rFonts w:hint="eastAsia" w:ascii="宋体" w:hAnsi="宋体" w:cs="宋体"/>
          <w:sz w:val="32"/>
          <w:szCs w:val="32"/>
          <w:lang w:val="en-US" w:eastAsia="zh-CN"/>
        </w:rPr>
        <w:t>2021年度部门决算2006.18万元，其中：一般公共预算拨款基本支出1484.68万元，包含人员经费1103.8万元；公用经费380.89万元。项目支出521.5万元，一般公共服务支出161.5万元；节能环保支出360万元。</w:t>
      </w:r>
    </w:p>
    <w:p>
      <w:pPr>
        <w:spacing w:line="520" w:lineRule="exact"/>
        <w:ind w:firstLine="640"/>
        <w:rPr>
          <w:rFonts w:hint="eastAsia" w:asciiTheme="majorEastAsia" w:hAnsiTheme="majorEastAsia" w:eastAsiaTheme="majorEastAsia" w:cstheme="majorEastAsia"/>
          <w:b/>
          <w:sz w:val="32"/>
          <w:szCs w:val="24"/>
          <w:lang w:val="en-US"/>
        </w:rPr>
      </w:pPr>
      <w:r>
        <w:rPr>
          <w:rFonts w:hint="eastAsia" w:asciiTheme="majorEastAsia" w:hAnsiTheme="majorEastAsia" w:eastAsiaTheme="majorEastAsia" w:cstheme="majorEastAsia"/>
          <w:b/>
          <w:sz w:val="32"/>
          <w:szCs w:val="24"/>
          <w:lang w:val="en-US"/>
        </w:rPr>
        <w:t>1．收入支出与预算对比分析。</w:t>
      </w:r>
    </w:p>
    <w:p>
      <w:pPr>
        <w:spacing w:line="560" w:lineRule="exact"/>
        <w:ind w:firstLine="627" w:firstLineChars="196"/>
        <w:jc w:val="left"/>
        <w:rPr>
          <w:rFonts w:hint="default" w:ascii="宋体" w:hAnsi="宋体" w:cs="宋体"/>
          <w:sz w:val="32"/>
          <w:szCs w:val="32"/>
          <w:lang w:val="en-US" w:eastAsia="zh-CN"/>
        </w:rPr>
      </w:pPr>
      <w:r>
        <w:rPr>
          <w:rFonts w:hint="eastAsia" w:ascii="宋体" w:hAnsi="宋体" w:cs="宋体"/>
          <w:sz w:val="32"/>
          <w:szCs w:val="32"/>
          <w:lang w:val="en-US" w:eastAsia="zh-CN"/>
        </w:rPr>
        <w:t>与上年度对比，主要是黄溪口污水处理厂PPP可行性缺口补贴增加，对企业的补助增加。</w:t>
      </w:r>
    </w:p>
    <w:p>
      <w:pPr>
        <w:spacing w:line="520" w:lineRule="exact"/>
        <w:ind w:firstLine="643"/>
        <w:rPr>
          <w:rFonts w:hint="eastAsia" w:asciiTheme="majorEastAsia" w:hAnsiTheme="majorEastAsia" w:eastAsiaTheme="majorEastAsia" w:cstheme="majorEastAsia"/>
          <w:b/>
          <w:sz w:val="32"/>
          <w:szCs w:val="24"/>
          <w:lang w:val="en-US"/>
        </w:rPr>
      </w:pPr>
      <w:r>
        <w:rPr>
          <w:rFonts w:hint="eastAsia" w:asciiTheme="majorEastAsia" w:hAnsiTheme="majorEastAsia" w:eastAsiaTheme="majorEastAsia" w:cstheme="majorEastAsia"/>
          <w:b/>
          <w:sz w:val="32"/>
          <w:szCs w:val="24"/>
          <w:lang w:val="en-US" w:eastAsia="zh-CN"/>
        </w:rPr>
        <w:t>2</w:t>
      </w:r>
      <w:r>
        <w:rPr>
          <w:rFonts w:hint="eastAsia" w:asciiTheme="majorEastAsia" w:hAnsiTheme="majorEastAsia" w:eastAsiaTheme="majorEastAsia" w:cstheme="majorEastAsia"/>
          <w:b/>
          <w:sz w:val="32"/>
          <w:szCs w:val="24"/>
          <w:lang w:val="en-US"/>
        </w:rPr>
        <w:t>．支出按经济分类科目分析。</w:t>
      </w:r>
    </w:p>
    <w:p>
      <w:pPr>
        <w:spacing w:line="560" w:lineRule="exact"/>
        <w:ind w:firstLine="627" w:firstLineChars="196"/>
        <w:jc w:val="left"/>
        <w:rPr>
          <w:rFonts w:hint="default" w:ascii="宋体" w:hAnsi="宋体" w:cs="宋体"/>
          <w:sz w:val="32"/>
          <w:szCs w:val="32"/>
          <w:lang w:val="zh-CN" w:eastAsia="zh-CN"/>
        </w:rPr>
      </w:pPr>
      <w:r>
        <w:rPr>
          <w:rFonts w:hint="eastAsia" w:ascii="宋体" w:hAnsi="宋体" w:cs="宋体"/>
          <w:sz w:val="32"/>
          <w:szCs w:val="32"/>
          <w:lang w:val="en-US" w:eastAsia="zh-CN"/>
        </w:rPr>
        <w:t>“三公”经费总额本年为12.88万元，上年为28.11万元，较上年减少15.23万元，主要是2021年实行月度固定额度报账制度，一部分开支需在2022年列支。（公务用车运行维护费6.15万元，较上年减少4.85万元，公务接待费6.74万元，较上年减少10.36万元），公务用车保有量1台，其中：其他用车1台。公务接待费6.74万元，增减变化的主要原因是：厉行节约，压减一般性开支</w:t>
      </w:r>
      <w:r>
        <w:rPr>
          <w:rFonts w:hint="eastAsia" w:ascii="宋体" w:hAnsi="宋体" w:cs="宋体"/>
          <w:sz w:val="32"/>
          <w:szCs w:val="32"/>
          <w:lang w:val="zh-CN" w:eastAsia="zh-CN"/>
        </w:rPr>
        <w:t>。</w:t>
      </w:r>
    </w:p>
    <w:p>
      <w:pPr>
        <w:spacing w:line="520" w:lineRule="exact"/>
        <w:ind w:firstLine="643" w:firstLineChars="200"/>
        <w:rPr>
          <w:rFonts w:hint="eastAsia" w:asciiTheme="majorEastAsia" w:hAnsiTheme="majorEastAsia" w:eastAsiaTheme="majorEastAsia" w:cstheme="majorEastAsia"/>
          <w:b/>
          <w:sz w:val="32"/>
          <w:szCs w:val="24"/>
          <w:lang w:val="en-US"/>
        </w:rPr>
      </w:pPr>
      <w:r>
        <w:rPr>
          <w:rFonts w:hint="eastAsia" w:asciiTheme="majorEastAsia" w:hAnsiTheme="majorEastAsia" w:eastAsiaTheme="majorEastAsia" w:cstheme="majorEastAsia"/>
          <w:b/>
          <w:sz w:val="32"/>
          <w:szCs w:val="24"/>
          <w:lang w:val="en-US"/>
        </w:rPr>
        <w:t>（三）年末结转和结余情况。</w:t>
      </w:r>
    </w:p>
    <w:p>
      <w:pPr>
        <w:spacing w:line="560" w:lineRule="exact"/>
        <w:ind w:firstLine="627" w:firstLineChars="196"/>
        <w:jc w:val="left"/>
        <w:rPr>
          <w:rFonts w:hint="default" w:ascii="宋体" w:hAnsi="宋体" w:cs="宋体"/>
          <w:sz w:val="32"/>
          <w:szCs w:val="32"/>
          <w:lang w:val="en-US" w:eastAsia="zh-CN"/>
        </w:rPr>
      </w:pPr>
      <w:r>
        <w:rPr>
          <w:rFonts w:hint="eastAsia" w:ascii="宋体" w:hAnsi="宋体" w:cs="宋体"/>
          <w:sz w:val="32"/>
          <w:szCs w:val="32"/>
          <w:lang w:val="en-US" w:eastAsia="zh-CN"/>
        </w:rPr>
        <w:t>2021年，本单位年末结转和结余资金401.74万元，比上年增加24.59万元，增加6.5%，增减变化的主要原因是：人员增加，各项收支增加。</w:t>
      </w:r>
    </w:p>
    <w:p>
      <w:pPr>
        <w:spacing w:line="560" w:lineRule="exact"/>
        <w:ind w:firstLine="627" w:firstLineChars="196"/>
        <w:jc w:val="left"/>
        <w:rPr>
          <w:rFonts w:hint="default" w:ascii="宋体" w:hAnsi="宋体" w:cs="宋体"/>
          <w:sz w:val="32"/>
          <w:szCs w:val="32"/>
          <w:lang w:val="en-US" w:eastAsia="zh-CN"/>
        </w:rPr>
      </w:pPr>
      <w:r>
        <w:rPr>
          <w:rFonts w:hint="eastAsia" w:ascii="宋体" w:hAnsi="宋体" w:cs="宋体"/>
          <w:sz w:val="32"/>
          <w:szCs w:val="32"/>
          <w:lang w:val="en-US" w:eastAsia="zh-CN"/>
        </w:rPr>
        <w:t>根据资金性质其中：基本支出结转401.74万元，比上年增加24.59万元，增加6.5%，项目支出结转结余 0元</w:t>
      </w:r>
      <w:r>
        <w:rPr>
          <w:rFonts w:hint="default" w:ascii="宋体" w:hAnsi="宋体" w:cs="宋体"/>
          <w:sz w:val="32"/>
          <w:szCs w:val="32"/>
          <w:lang w:val="en-US" w:eastAsia="zh-CN"/>
        </w:rPr>
        <w:t>,</w:t>
      </w:r>
      <w:r>
        <w:rPr>
          <w:rFonts w:hint="eastAsia" w:ascii="宋体" w:hAnsi="宋体" w:cs="宋体"/>
          <w:sz w:val="32"/>
          <w:szCs w:val="32"/>
          <w:lang w:val="en-US" w:eastAsia="zh-CN"/>
        </w:rPr>
        <w:t>比上年增加减少0元，增减下降0%。</w:t>
      </w:r>
    </w:p>
    <w:p>
      <w:pPr>
        <w:spacing w:line="560" w:lineRule="exact"/>
        <w:ind w:firstLine="627" w:firstLineChars="196"/>
        <w:jc w:val="left"/>
        <w:rPr>
          <w:rFonts w:hint="default" w:ascii="宋体" w:hAnsi="宋体" w:cs="宋体"/>
          <w:sz w:val="32"/>
          <w:szCs w:val="32"/>
          <w:lang w:val="en-US" w:eastAsia="zh-CN"/>
        </w:rPr>
      </w:pPr>
      <w:r>
        <w:rPr>
          <w:rFonts w:hint="eastAsia" w:ascii="宋体" w:hAnsi="宋体" w:cs="宋体"/>
          <w:sz w:val="32"/>
          <w:szCs w:val="32"/>
          <w:lang w:val="en-US" w:eastAsia="zh-CN"/>
        </w:rPr>
        <w:t>根据资金来源划分，其中：一般公共预算财政拨款401.74万元，比上年增减24.59万元，增加6.5%，增减变化的主要原因是：人员增加，各项收支增加</w:t>
      </w:r>
      <w:r>
        <w:rPr>
          <w:rFonts w:hint="eastAsia" w:ascii="宋体" w:hAnsi="宋体" w:cs="宋体"/>
          <w:sz w:val="32"/>
          <w:szCs w:val="32"/>
          <w:lang w:val="zh-CN" w:eastAsia="zh-CN"/>
        </w:rPr>
        <w:t>；</w:t>
      </w:r>
      <w:r>
        <w:rPr>
          <w:rFonts w:hint="eastAsia" w:ascii="宋体" w:hAnsi="宋体" w:cs="宋体"/>
          <w:sz w:val="32"/>
          <w:szCs w:val="32"/>
          <w:lang w:val="en-US" w:eastAsia="zh-CN"/>
        </w:rPr>
        <w:t>政府性基金预算财政拨款0元，比上年增减0元，增加下降0%，增减变化的主要原因是：人员增加，各项收支增加。</w:t>
      </w:r>
    </w:p>
    <w:p>
      <w:pPr>
        <w:spacing w:line="520" w:lineRule="exact"/>
        <w:ind w:firstLine="643" w:firstLineChars="200"/>
        <w:rPr>
          <w:rFonts w:hint="eastAsia" w:asciiTheme="majorEastAsia" w:hAnsiTheme="majorEastAsia" w:eastAsiaTheme="majorEastAsia" w:cstheme="majorEastAsia"/>
          <w:b/>
          <w:sz w:val="32"/>
          <w:szCs w:val="24"/>
          <w:lang w:val="en-US"/>
        </w:rPr>
      </w:pPr>
      <w:r>
        <w:rPr>
          <w:rFonts w:hint="eastAsia" w:asciiTheme="majorEastAsia" w:hAnsiTheme="majorEastAsia" w:eastAsiaTheme="majorEastAsia" w:cstheme="majorEastAsia"/>
          <w:b/>
          <w:sz w:val="32"/>
          <w:szCs w:val="24"/>
          <w:lang w:val="en-US"/>
        </w:rPr>
        <w:t>（四）当年预算执行中存在问题、原因及改进措施。</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b/>
          <w:sz w:val="32"/>
          <w:szCs w:val="32"/>
          <w:lang w:val="en-US"/>
        </w:rPr>
        <w:t xml:space="preserve">  </w:t>
      </w:r>
      <w:r>
        <w:rPr>
          <w:rFonts w:hint="eastAsia" w:asciiTheme="majorEastAsia" w:hAnsiTheme="majorEastAsia" w:eastAsiaTheme="majorEastAsia" w:cstheme="majorEastAsia"/>
          <w:sz w:val="32"/>
          <w:szCs w:val="32"/>
          <w:lang w:val="en-US"/>
        </w:rPr>
        <w:t>一、当前行政事业单位预算执行所存在的问题和不足</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（1）预算执行与预算编制存在较大差异</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由于财政部门与各预算部门之间的职能和分工不同，财政部门掌握信息与预算单位存在不对称，财政部门难以准确掌握各预算单位的职责，对单位自编项目不能提出很好的建议，有的单位缺乏工作预见性，主观臆断编制项目，项目预算与工作计划脱节，一些支出项目超支严重，而另一些支出项目结余过大，因此结余的项目造成大量资金闲置，同时需要用的项目又没有纳入当年预算中，造成项目支出完成情况与年初预算存在很大差异，财政资金使用效益未能完全显现。</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（2）未按规定执行项目支出预算</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项目预算的执行情况关系到财政资金的使用效益和国有资产的安全完整性。有的单位在预算执行过程中存在挪用项目资金，用于职工福利或其他日常开支；未经批准，自行调整项目支出预算；未经批准，将国家建设项目资金用开其他项目；对政府投资的基本建设项目搞超概算投资，包括未经批准擅自增加建设内容、提高建设标准、扩大建设面积造成实际投资超出概算等现象，削弱了部门预算的控制力。</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（3）预算执行分析不够全面深入</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预算执行分析是财政预算执行情况的总结，一些单位的预算执行分析仅停留简单的数据汇总，没有从全方位、多层次、多角度反映财政支出状况，未对财政支出结构及变化趋势进行判断，未实现部门预算与执行分析的有机结合，不能为领导决策提供科学的参考依据。</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二、部门预算执行产生问题的原因分析</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（1）预算编制欠规范</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预算执行不到位与预算编制的科学性、合理性相关。有的单位在预算编制过程中没有合理地编报预算，出现少报、漏报其他来源收入的情况；有的单位多报人员编制或实有人数造成基本支出预算不真实、项目支出预算明显超过实际需求造成“小项目大预算”；项目预算编制不细化，项目预算未落实至具体执行单位和具体项目；拟动用的上年结余而未编入预算等现象，导致大量资金闲置和浪费。</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（2）预算执行不到位</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编制部门预算，就是要使各预算部门的工作根据预算走，认真落执行部门预算。有的单位没有严格按照预算的口径进行经济事项的铺排、严格控制支出，仍按照以往的经验管理和使用预算资金，支出随意性较大，造成部门预算执行不到位，弱化了预算约束的刚性；有的单位预算编制人员与预算执行人员缺乏沟通，造成预算指标内容与核算内容分离，功能科目与经济科目混淆，项目核算张冠李戴等，也会影响预算执行。</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（3）预算执行分析不深入</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预算执行分析是对预算收支活动全过程的分析，以及时掌握预算收支状况，发现和解决预算执行中存在的问题，保证预算顺利执行。一些单位对预算执行分析的重要性认识不够，为分析而分析，没有达到应有效果；另外，一些单位财务人员素质参差不齐，未按政府收支分类科目对各经济事项进行明细核算，会计核算未能满足预算执行分析对基础数据的需求。</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三、加强行政事业单位预算执行的对策</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（1）加强预算编制管理，夯实预算执行基础</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预算编制对于预算执行的真实性和合法性以及预算资金管理和使用的经济性、效率性和效果性有着根源性的影响，具体可从三个方面进行考虑：一是强化预算编制的真实性，即部门预算收支的测算要以履行部门职能的需要为依据，每一项收支项目数字的测算须依据实际或计划的基础数据，运用科学合理的方法进行测算。二是提高预算编制的合法性，部门预算编制须符合预算法和国家相关法律、法规的规定，符合国家有关经济社会发展的各项方针、政策，在法律赋予部门的职能范围内。三是注重预算编制的科学性、完整性。即部门预算须遵循量入为出、收支平衡的原则，稳妥可靠，采取有效的程序和方法合理安排各项资金，达到综合预算、不偏不漏。</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（2）增强法治意识，强化预算执行的严肃性</w:t>
      </w:r>
    </w:p>
    <w:p>
      <w:pPr>
        <w:spacing w:line="520" w:lineRule="exact"/>
        <w:ind w:firstLine="560"/>
        <w:rPr>
          <w:rFonts w:hint="eastAsia"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各级财政部门和预算单位要以科学发展观为统领，充分认识加强预算执行管理的重要意义，牢固树立“分配与管理并重、投入与绩效并重”的理念，加强领导，充实必要人员，提高管理水平，加强制度和规范建设；部门预算一经批复，各预算单位必须严格遵照执行，按预算安排规定的项目和用途使用预算资金，不能突破支出预算，并要确保专款专用，提高资金使用效益。部门一般不作调整，确实需要调整的，应当按照程序报批，不能擅自调整。</w:t>
      </w:r>
    </w:p>
    <w:p>
      <w:pPr>
        <w:spacing w:line="520" w:lineRule="exact"/>
        <w:ind w:firstLine="280"/>
        <w:rPr>
          <w:rFonts w:hint="eastAsia"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（3）加强预算执行分析，提高运行效率和使用效益</w:t>
      </w:r>
    </w:p>
    <w:p>
      <w:pPr>
        <w:spacing w:line="520" w:lineRule="exact"/>
        <w:ind w:firstLine="560"/>
        <w:rPr>
          <w:rFonts w:hint="default"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预算执行分析是加强预算收支管理、促进预算收支目标任务全面完成的重要手段，是整个财政预算执行工作的重要组成部分。各单位要高度重视预算执行分析工作，认识到做好财政预算执行分析工作的重要意义，牢牢把握预算执行分析工作真实性、及时性和全面性的要求，及时跟踪预算执行动态变化过程，重点研究预算执行过程中出现的各种问题，强化预算执行全过程的管理，提供详实准确的预算执行数据，并准确预测预算收支的发展趋势，进一步提高财政预算的管理和决策水平。</w:t>
      </w:r>
    </w:p>
    <w:p>
      <w:pPr>
        <w:spacing w:line="520" w:lineRule="exact"/>
        <w:ind w:firstLine="640"/>
        <w:rPr>
          <w:rFonts w:hint="default" w:ascii="黑体" w:hAnsi="黑体" w:eastAsia="黑体"/>
          <w:b/>
          <w:bCs/>
          <w:sz w:val="32"/>
          <w:szCs w:val="24"/>
          <w:lang w:val="en-US"/>
        </w:rPr>
      </w:pPr>
      <w:r>
        <w:rPr>
          <w:rFonts w:hint="eastAsia" w:ascii="黑体" w:hAnsi="黑体" w:eastAsia="黑体"/>
          <w:b/>
          <w:bCs/>
          <w:sz w:val="32"/>
          <w:szCs w:val="24"/>
          <w:lang w:val="en-US"/>
        </w:rPr>
        <w:t>三、绩效目标完成情况。</w:t>
      </w:r>
    </w:p>
    <w:p>
      <w:pPr>
        <w:spacing w:line="520" w:lineRule="exact"/>
        <w:ind w:firstLine="560"/>
        <w:rPr>
          <w:rFonts w:hint="default"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202</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lang w:val="en-US"/>
        </w:rPr>
        <w:t>年我单位预算绩效管理工作在财政部门指导下、在乡领导的重视下，我乡对本单位整体支出绩效开展了自评完善。绩效评价结果显示，我乡202</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lang w:val="en-US"/>
        </w:rPr>
        <w:t>年度绩效目标完成较好。在预算编制、预算执行、预算管理等方面效果较好。同时完善了预算绩效考核内部制度的建设，从预算编制源头抓起，进一步落实。强化预算绩效意识和支出责任，一切严格按照年初的预算执行。</w:t>
      </w:r>
    </w:p>
    <w:p>
      <w:pPr>
        <w:spacing w:line="520" w:lineRule="exact"/>
        <w:ind w:firstLine="640"/>
        <w:rPr>
          <w:rFonts w:hint="default" w:ascii="黑体" w:hAnsi="黑体" w:eastAsia="黑体"/>
          <w:b/>
          <w:bCs/>
          <w:sz w:val="32"/>
          <w:szCs w:val="24"/>
          <w:lang w:val="en-US"/>
        </w:rPr>
      </w:pPr>
      <w:r>
        <w:rPr>
          <w:rFonts w:hint="eastAsia" w:ascii="黑体" w:hAnsi="黑体" w:eastAsia="黑体"/>
          <w:b/>
          <w:bCs/>
          <w:sz w:val="32"/>
          <w:szCs w:val="24"/>
          <w:lang w:val="en-US"/>
        </w:rPr>
        <w:t>四、本年度部门决算等财务工作开展情况</w:t>
      </w:r>
    </w:p>
    <w:p>
      <w:pPr>
        <w:spacing w:line="520" w:lineRule="exact"/>
        <w:ind w:firstLine="280"/>
        <w:rPr>
          <w:rFonts w:hint="default"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（一）本部门（单位）财务管理、决算组织、编报、审核情况。</w:t>
      </w:r>
    </w:p>
    <w:p>
      <w:pPr>
        <w:spacing w:line="520" w:lineRule="exact"/>
        <w:ind w:firstLine="560"/>
        <w:rPr>
          <w:rFonts w:hint="default"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本单位对财务管理进行规范化，同财政部门及时沟通学习，积极进行财政部门组织的决算、编报、审核等方面工作按时完成，认真如实填报。</w:t>
      </w:r>
    </w:p>
    <w:p>
      <w:pPr>
        <w:spacing w:line="520" w:lineRule="exact"/>
        <w:ind w:firstLine="280"/>
        <w:rPr>
          <w:rFonts w:hint="default"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（二）本部门（单位）决算公开工作、主管部门对所属单位按规定批复决算工作开展情况。</w:t>
      </w:r>
    </w:p>
    <w:p>
      <w:pPr>
        <w:spacing w:line="520" w:lineRule="exact"/>
        <w:ind w:firstLine="560"/>
        <w:rPr>
          <w:rFonts w:hint="default"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本单位对预算和决算公开工作、及主管部门对所属单位按规定批复决算的各项工作按规定认真执行，该填制及时填制，该公开及时公开，该上报及时上报。</w:t>
      </w:r>
    </w:p>
    <w:p>
      <w:pPr>
        <w:spacing w:line="520" w:lineRule="exact"/>
        <w:ind w:firstLine="320" w:firstLineChars="100"/>
        <w:rPr>
          <w:rFonts w:hint="default" w:asciiTheme="majorEastAsia" w:hAnsiTheme="majorEastAsia" w:eastAsiaTheme="majorEastAsia" w:cstheme="majorEastAsia"/>
          <w:sz w:val="32"/>
          <w:szCs w:val="32"/>
          <w:lang w:val="en-US"/>
        </w:rPr>
      </w:pPr>
      <w:bookmarkStart w:id="0" w:name="_GoBack"/>
      <w:bookmarkEnd w:id="0"/>
      <w:r>
        <w:rPr>
          <w:rFonts w:hint="eastAsia" w:asciiTheme="majorEastAsia" w:hAnsiTheme="majorEastAsia" w:eastAsiaTheme="majorEastAsia" w:cstheme="majorEastAsia"/>
          <w:sz w:val="32"/>
          <w:szCs w:val="32"/>
          <w:lang w:val="en-US"/>
        </w:rPr>
        <w:t>（三）对部门（单位）决算管理及报表设计的意见建议。</w:t>
      </w:r>
    </w:p>
    <w:p>
      <w:pPr>
        <w:spacing w:line="520" w:lineRule="exact"/>
        <w:ind w:firstLine="560"/>
        <w:rPr>
          <w:rFonts w:hint="default"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建议增强对财务人员的专业素质培养，日常加大培训力度。</w:t>
      </w:r>
    </w:p>
    <w:p>
      <w:pPr>
        <w:spacing w:line="520" w:lineRule="exact"/>
        <w:ind w:firstLine="280"/>
        <w:rPr>
          <w:rFonts w:hint="default" w:asciiTheme="majorEastAsia" w:hAnsiTheme="majorEastAsia" w:eastAsiaTheme="majorEastAsia" w:cstheme="majorEastAsia"/>
          <w:sz w:val="32"/>
          <w:szCs w:val="32"/>
          <w:lang w:val="en-US"/>
        </w:rPr>
      </w:pPr>
      <w:r>
        <w:rPr>
          <w:rFonts w:hint="eastAsia" w:asciiTheme="majorEastAsia" w:hAnsiTheme="majorEastAsia" w:eastAsiaTheme="majorEastAsia" w:cstheme="majorEastAsia"/>
          <w:sz w:val="32"/>
          <w:szCs w:val="32"/>
          <w:lang w:val="en-US"/>
        </w:rPr>
        <w:t>（四）对加强部门决算数据分析利用工作的建议。</w:t>
      </w:r>
    </w:p>
    <w:p>
      <w:pPr>
        <w:spacing w:line="520" w:lineRule="exact"/>
        <w:ind w:firstLine="560"/>
        <w:rPr>
          <w:rFonts w:hint="default" w:asciiTheme="minorEastAsia" w:hAnsiTheme="minorEastAsia" w:eastAsiaTheme="minorEastAsia" w:cstheme="minorEastAsia"/>
          <w:sz w:val="32"/>
          <w:szCs w:val="32"/>
          <w:lang w:val="en-US"/>
        </w:rPr>
      </w:pPr>
      <w:r>
        <w:rPr>
          <w:rFonts w:hint="eastAsia" w:asciiTheme="minorEastAsia" w:hAnsiTheme="minorEastAsia" w:eastAsiaTheme="minorEastAsia" w:cstheme="minorEastAsia"/>
          <w:sz w:val="32"/>
          <w:szCs w:val="32"/>
          <w:lang w:val="en-US"/>
        </w:rPr>
        <w:t>要从整体角度分析，加强对部门决算数据的分析，增强对决算数据质量的监管，推动单位的有序发展。</w:t>
      </w:r>
    </w:p>
    <w:p>
      <w:pPr>
        <w:spacing w:line="520" w:lineRule="exact"/>
        <w:ind w:firstLine="560"/>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en-US"/>
        </w:rPr>
        <w:t xml:space="preserve">   </w:t>
      </w:r>
    </w:p>
    <w:sectPr>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黑体">
    <w:altName w:val="宋体"/>
    <w:panose1 w:val="02010609060101010101"/>
    <w:charset w:val="00"/>
    <w:family w:val="auto"/>
    <w:pitch w:val="default"/>
    <w:sig w:usb0="00000000" w:usb1="00000000" w:usb2="00000016" w:usb3="00000000" w:csb0="00040001" w:csb1="00000000"/>
  </w:font>
  <w:font w:name="楷体_GB2312">
    <w:altName w:val="Arial Unicode MS"/>
    <w:panose1 w:val="00000000000000000000"/>
    <w:charset w:val="86"/>
    <w:family w:val="modern"/>
    <w:pitch w:val="default"/>
    <w:sig w:usb0="00000000" w:usb1="00000000" w:usb2="00000000" w:usb3="00000000" w:csb0="00040000" w:csb1="00000000"/>
  </w:font>
  <w:font w:name="仿宋">
    <w:altName w:val="Arial Unicode MS"/>
    <w:panose1 w:val="0201060906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altName w:val="Arial Unicode MS"/>
    <w:panose1 w:val="00000000000000000000"/>
    <w:charset w:val="00"/>
    <w:family w:val="auto"/>
    <w:pitch w:val="default"/>
    <w:sig w:usb0="00000000" w:usb1="00000000" w:usb2="00000000" w:usb3="00000000" w:csb0="00000000" w:csb1="00000000"/>
  </w:font>
  <w:font w:name="方正粗黑宋简体">
    <w:panose1 w:val="02000000000000000000"/>
    <w:charset w:val="86"/>
    <w:family w:val="auto"/>
    <w:pitch w:val="default"/>
    <w:sig w:usb0="A00002BF" w:usb1="184F6CFA" w:usb2="00000012" w:usb3="00000000" w:csb0="00040001" w:csb1="00000000"/>
  </w:font>
  <w:font w:name="Cambria">
    <w:panose1 w:val="02040503050406030204"/>
    <w:charset w:val="00"/>
    <w:family w:val="auto"/>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经典标宋繁">
    <w:panose1 w:val="02010609000101010101"/>
    <w:charset w:val="86"/>
    <w:family w:val="auto"/>
    <w:pitch w:val="default"/>
    <w:sig w:usb0="A1007AEF" w:usb1="F9DF7CFB" w:usb2="0000001E" w:usb3="00000000" w:csb0="20040000" w:csb1="00000000"/>
  </w:font>
  <w:font w:name="Malgun Gothic">
    <w:panose1 w:val="020B0503020000020004"/>
    <w:charset w:val="81"/>
    <w:family w:val="auto"/>
    <w:pitch w:val="default"/>
    <w:sig w:usb0="9000002F" w:usb1="29D77CFB" w:usb2="00000012" w:usb3="00000000" w:csb0="00080001" w:csb1="00000000"/>
  </w:font>
  <w:font w:name="Microsoft JhengHei Light">
    <w:panose1 w:val="020B0304030504040204"/>
    <w:charset w:val="88"/>
    <w:family w:val="auto"/>
    <w:pitch w:val="default"/>
    <w:sig w:usb0="800002A7" w:usb1="28CF4400" w:usb2="00000016" w:usb3="00000000" w:csb0="00100009" w:csb1="00000000"/>
  </w:font>
  <w:font w:name="MingLiU_HKSCS-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72"/>
  <w:bordersDoNotSurroundHeader w:val="0"/>
  <w:bordersDoNotSurroundFooter w:val="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characterSpacingControl w:val="compressPunctuation"/>
  <w:doNotValidateAgainstSchema/>
  <w:doNotDemarcateInvalidXml/>
  <w:compat>
    <w:spaceForUL/>
    <w:balanceSingleByteDoubleByteWidth/>
    <w:doNotLeaveBackslashAlone/>
    <w:ulTrailSpace/>
    <w:doNotExpandShiftReturn/>
    <w:footnoteLayoutLikeWW8/>
    <w:alignTablesRowByRow/>
    <w:forgetLastTabAlignment/>
    <w:adjustLineHeightInTable/>
    <w:layoutRawTableWidth/>
    <w:layoutTableRowsApart/>
    <w:doNotBreakWrappedTables/>
    <w:doNotSnapToGridInCell/>
    <w:selectFldWithFirstOrLastChar/>
    <w:doNotWrapTextWithPunct/>
    <w:growAutofit/>
    <w:useFELayout/>
    <w:doNotUseIndentAsNumberingTabStop/>
    <w:useAltKinsokuLineBreakRules/>
    <w:splitPgBreakAndParaMark/>
    <w:doNotVertAlignInTxbx/>
    <w:compatSetting w:name="compatibilityMode" w:uri="http://schemas.microsoft.com/office/word" w:val="11"/>
  </w:compat>
  <w:docVars>
    <w:docVar w:name="commondata" w:val="eyJoZGlkIjoiMTg4ZDE2MzExNjVlNjNjODNjN2MyNmIyNmM0NDc1NjEifQ=="/>
  </w:docVars>
  <w:rsids>
    <w:rsidRoot w:val="00000000"/>
    <w:rsid w:val="00337586"/>
    <w:rsid w:val="0BF40511"/>
    <w:rsid w:val="15AB4A05"/>
    <w:rsid w:val="16135A37"/>
    <w:rsid w:val="166401D7"/>
    <w:rsid w:val="1CF21731"/>
    <w:rsid w:val="223236E9"/>
    <w:rsid w:val="24AD7057"/>
    <w:rsid w:val="2B970F1A"/>
    <w:rsid w:val="342C61EA"/>
    <w:rsid w:val="439E42E3"/>
    <w:rsid w:val="499D3D71"/>
    <w:rsid w:val="4B02784D"/>
    <w:rsid w:val="4C581336"/>
    <w:rsid w:val="56C65BD3"/>
    <w:rsid w:val="587A4EC7"/>
    <w:rsid w:val="611D2893"/>
    <w:rsid w:val="63253C81"/>
    <w:rsid w:val="77A92C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99" w:semiHidden="0"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jc w:val="both"/>
    </w:pPr>
    <w:rPr>
      <w:rFonts w:hint="default" w:ascii="Wingdings" w:hAnsi="Wingdings" w:eastAsia="宋体" w:cs="Times New Roman"/>
      <w:kern w:val="2"/>
      <w:sz w:val="21"/>
      <w:szCs w:val="24"/>
    </w:rPr>
  </w:style>
  <w:style w:type="character" w:default="1" w:styleId="3">
    <w:name w:val="Default Paragraph Font"/>
    <w:unhideWhenUsed/>
    <w:qFormat/>
    <w:uiPriority w:val="99"/>
    <w:rPr>
      <w:rFonts w:hint="default"/>
      <w:sz w:val="24"/>
      <w:szCs w:val="24"/>
    </w:rPr>
  </w:style>
  <w:style w:type="table" w:default="1" w:styleId="2">
    <w:name w:val="Normal Table"/>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4434</Words>
  <Characters>4624</Characters>
  <Lines>0</Lines>
  <Paragraphs>0</Paragraphs>
  <TotalTime>12</TotalTime>
  <ScaleCrop>false</ScaleCrop>
  <LinksUpToDate>false</LinksUpToDate>
  <CharactersWithSpaces>4630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2022-04-14T18:03:00Z</dcterms:created>
  <dc:creator>Administrator</dc:creator>
  <cp:lastModifiedBy>。，！</cp:lastModifiedBy>
  <dcterms:modified xsi:type="dcterms:W3CDTF">2022-08-05T12:07:32Z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2ECC7520973B40BD9822E78BAF6D777C</vt:lpwstr>
  </property>
</Properties>
</file>