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jc w:val="center"/>
        <w:outlineLvl w:val="0"/>
        <w:rPr>
          <w:rFonts w:hint="eastAsia" w:ascii="黑体" w:hAnsi="黑体" w:eastAsia="黑体" w:cs="黑体"/>
          <w:sz w:val="50"/>
          <w:szCs w:val="50"/>
        </w:rPr>
      </w:pPr>
      <w:r>
        <w:rPr>
          <w:rFonts w:hint="eastAsia" w:ascii="黑体" w:hAnsi="黑体" w:eastAsia="黑体" w:cs="黑体"/>
          <w:sz w:val="50"/>
          <w:szCs w:val="50"/>
        </w:rPr>
        <w:t>20</w:t>
      </w:r>
      <w:r>
        <w:rPr>
          <w:rFonts w:hint="eastAsia" w:ascii="黑体" w:hAnsi="黑体" w:eastAsia="黑体" w:cs="黑体"/>
          <w:sz w:val="50"/>
          <w:szCs w:val="50"/>
          <w:lang w:val="en-US" w:eastAsia="zh-CN"/>
        </w:rPr>
        <w:t>22</w:t>
      </w:r>
      <w:r>
        <w:rPr>
          <w:rFonts w:hint="eastAsia" w:ascii="黑体" w:hAnsi="黑体" w:eastAsia="黑体" w:cs="黑体"/>
          <w:sz w:val="50"/>
          <w:szCs w:val="50"/>
        </w:rPr>
        <w:t>年度</w:t>
      </w:r>
      <w:r>
        <w:rPr>
          <w:rFonts w:hint="eastAsia" w:ascii="黑体" w:hAnsi="黑体" w:eastAsia="黑体" w:cs="黑体"/>
          <w:sz w:val="50"/>
          <w:szCs w:val="50"/>
          <w:lang w:val="en-US" w:eastAsia="zh-CN"/>
        </w:rPr>
        <w:t>黄溪口镇人民政府部门</w:t>
      </w:r>
      <w:r>
        <w:rPr>
          <w:rFonts w:hint="eastAsia" w:ascii="黑体" w:hAnsi="黑体" w:eastAsia="黑体" w:cs="黑体"/>
          <w:sz w:val="50"/>
          <w:szCs w:val="50"/>
        </w:rPr>
        <w:t>整体支出绩效自评报告</w:t>
      </w:r>
    </w:p>
    <w:p>
      <w:pPr>
        <w:jc w:val="both"/>
        <w:rPr>
          <w:rFonts w:ascii="Times New Roman" w:hAnsi="Times New Roman" w:eastAsia="黑体" w:cs="Times New Roman"/>
          <w:sz w:val="32"/>
          <w:szCs w:val="32"/>
        </w:rPr>
      </w:pPr>
    </w:p>
    <w:p>
      <w:pPr>
        <w:jc w:val="both"/>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both"/>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spacing w:line="600" w:lineRule="exact"/>
        <w:ind w:firstLine="2880" w:firstLineChars="900"/>
        <w:rPr>
          <w:rFonts w:ascii="Times New Roman" w:hAnsi="Times New Roman" w:eastAsia="仿宋_GB2312" w:cs="Times New Roman"/>
          <w:sz w:val="32"/>
          <w:szCs w:val="32"/>
        </w:rPr>
      </w:pPr>
    </w:p>
    <w:p>
      <w:pPr>
        <w:spacing w:line="600" w:lineRule="exact"/>
        <w:ind w:firstLine="2880" w:firstLineChars="900"/>
        <w:rPr>
          <w:rFonts w:ascii="Times New Roman" w:hAnsi="Times New Roman" w:eastAsia="仿宋_GB2312" w:cs="Times New Roman"/>
          <w:sz w:val="32"/>
          <w:szCs w:val="32"/>
        </w:rPr>
      </w:pPr>
    </w:p>
    <w:p>
      <w:pPr>
        <w:spacing w:line="600" w:lineRule="exact"/>
        <w:ind w:firstLine="2880" w:firstLineChars="9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单位名称：</w:t>
      </w:r>
      <w:r>
        <w:rPr>
          <w:rFonts w:ascii="Times New Roman" w:hAnsi="Times New Roman" w:eastAsia="仿宋_GB2312" w:cs="Times New Roman"/>
          <w:sz w:val="32"/>
          <w:szCs w:val="32"/>
          <w:u w:val="single"/>
        </w:rPr>
        <w:t xml:space="preserve">（盖章）        </w:t>
      </w:r>
    </w:p>
    <w:p>
      <w:pPr>
        <w:spacing w:line="600" w:lineRule="exact"/>
        <w:ind w:firstLine="4160" w:firstLineChars="1300"/>
        <w:rPr>
          <w:rFonts w:ascii="Times New Roman" w:hAnsi="Times New Roman" w:eastAsia="楷体_GB2312" w:cs="Times New Roman"/>
          <w:sz w:val="32"/>
          <w:szCs w:val="32"/>
        </w:rPr>
      </w:pPr>
      <w:r>
        <w:rPr>
          <w:rFonts w:ascii="Times New Roman" w:hAnsi="Times New Roman" w:eastAsia="楷体_GB2312" w:cs="Times New Roman"/>
          <w:sz w:val="32"/>
          <w:szCs w:val="32"/>
        </w:rPr>
        <w:t>年  月  日</w:t>
      </w:r>
    </w:p>
    <w:p>
      <w:pPr>
        <w:jc w:val="center"/>
        <w:rPr>
          <w:rFonts w:ascii="Times New Roman" w:hAnsi="Times New Roman" w:eastAsia="黑体" w:cs="Times New Roman"/>
          <w:sz w:val="32"/>
          <w:szCs w:val="32"/>
        </w:rPr>
      </w:pPr>
    </w:p>
    <w:p>
      <w:pPr>
        <w:widowControl/>
        <w:spacing w:line="600" w:lineRule="exact"/>
        <w:ind w:firstLine="1417" w:firstLineChars="196"/>
        <w:jc w:val="center"/>
        <w:rPr>
          <w:rFonts w:hint="eastAsia"/>
          <w:b/>
          <w:color w:val="auto"/>
          <w:sz w:val="72"/>
          <w:szCs w:val="72"/>
        </w:rPr>
      </w:pPr>
    </w:p>
    <w:p>
      <w:pPr>
        <w:widowControl/>
        <w:spacing w:line="600" w:lineRule="exact"/>
        <w:ind w:firstLine="1023" w:firstLineChars="196"/>
        <w:jc w:val="center"/>
        <w:rPr>
          <w:rFonts w:hint="eastAsia"/>
          <w:b/>
          <w:color w:val="auto"/>
          <w:sz w:val="52"/>
          <w:szCs w:val="52"/>
        </w:rPr>
      </w:pPr>
      <w:r>
        <w:rPr>
          <w:rFonts w:hint="eastAsia"/>
          <w:b/>
          <w:color w:val="auto"/>
          <w:sz w:val="52"/>
          <w:szCs w:val="52"/>
        </w:rPr>
        <w:t>目录</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b/>
          <w:color w:val="auto"/>
          <w:sz w:val="48"/>
          <w:szCs w:val="48"/>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b/>
          <w:color w:val="auto"/>
          <w:sz w:val="48"/>
          <w:szCs w:val="48"/>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b/>
          <w:color w:val="auto"/>
          <w:sz w:val="44"/>
          <w:szCs w:val="44"/>
        </w:rPr>
      </w:pPr>
      <w:r>
        <w:rPr>
          <w:rFonts w:hint="eastAsia"/>
          <w:b/>
          <w:color w:val="auto"/>
          <w:sz w:val="44"/>
          <w:szCs w:val="44"/>
          <w:lang w:eastAsia="zh-CN"/>
        </w:rPr>
        <w:t>一、</w:t>
      </w:r>
      <w:r>
        <w:rPr>
          <w:rFonts w:hint="eastAsia"/>
          <w:b/>
          <w:color w:val="auto"/>
          <w:sz w:val="44"/>
          <w:szCs w:val="44"/>
        </w:rPr>
        <w:t>部门概况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b/>
          <w:color w:val="auto"/>
          <w:sz w:val="32"/>
          <w:szCs w:val="32"/>
        </w:rPr>
      </w:pPr>
      <w:r>
        <w:rPr>
          <w:rFonts w:hint="eastAsia"/>
          <w:b/>
          <w:color w:val="auto"/>
          <w:sz w:val="32"/>
          <w:szCs w:val="32"/>
        </w:rPr>
        <w:t>（一）部门基本情况</w:t>
      </w:r>
    </w:p>
    <w:p>
      <w:pPr>
        <w:keepNext w:val="0"/>
        <w:keepLines w:val="0"/>
        <w:pageBreakBefore w:val="0"/>
        <w:widowControl/>
        <w:kinsoku/>
        <w:wordWrap/>
        <w:overflowPunct/>
        <w:topLinePunct w:val="0"/>
        <w:autoSpaceDE/>
        <w:autoSpaceDN/>
        <w:bidi w:val="0"/>
        <w:adjustRightInd/>
        <w:snapToGrid/>
        <w:spacing w:line="360" w:lineRule="auto"/>
        <w:ind w:firstLine="630" w:firstLineChars="196"/>
        <w:jc w:val="left"/>
        <w:textAlignment w:val="auto"/>
        <w:rPr>
          <w:rFonts w:hint="eastAsia"/>
          <w:b/>
          <w:color w:val="auto"/>
          <w:sz w:val="32"/>
          <w:szCs w:val="32"/>
        </w:rPr>
      </w:pPr>
      <w:r>
        <w:rPr>
          <w:rFonts w:hint="eastAsia"/>
          <w:b/>
          <w:color w:val="auto"/>
          <w:sz w:val="32"/>
          <w:szCs w:val="32"/>
        </w:rPr>
        <w:t>（二）收入支出决算总体情况说明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b/>
          <w:color w:val="auto"/>
          <w:sz w:val="36"/>
          <w:szCs w:val="36"/>
        </w:rPr>
      </w:pPr>
      <w:r>
        <w:rPr>
          <w:rFonts w:hint="eastAsia" w:ascii="Times New Roman" w:hAnsi="Times New Roman" w:eastAsia="宋体" w:cs="Times New Roman"/>
          <w:b/>
          <w:color w:val="auto"/>
          <w:sz w:val="44"/>
          <w:szCs w:val="44"/>
          <w:lang w:eastAsia="zh-CN"/>
        </w:rPr>
        <w:t>二、部门整体支出管理及使用情况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（一）基本支出</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（二）三公”经费财政拨款支出决算情况说明</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（三）政府性基金预算收入支出决算情况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eastAsia" w:ascii="Times New Roman" w:hAnsi="Times New Roman" w:eastAsia="宋体" w:cs="Times New Roman"/>
          <w:b/>
          <w:color w:val="auto"/>
          <w:sz w:val="32"/>
          <w:szCs w:val="32"/>
        </w:rPr>
      </w:pPr>
      <w:r>
        <w:rPr>
          <w:rFonts w:hint="eastAsia" w:ascii="Times New Roman" w:hAnsi="Times New Roman" w:eastAsia="宋体" w:cs="Times New Roman"/>
          <w:b/>
          <w:color w:val="auto"/>
          <w:sz w:val="32"/>
          <w:szCs w:val="32"/>
        </w:rPr>
        <w:t>（四）关于机关运行经费支出说明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三、部门专项组织实施情况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四、资产管理情况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五、部门整体支出绩效情况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六、存在的主要问题</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eastAsia="zh-CN"/>
        </w:rPr>
      </w:pPr>
      <w:r>
        <w:rPr>
          <w:rFonts w:hint="eastAsia" w:ascii="Times New Roman" w:hAnsi="Times New Roman" w:eastAsia="宋体" w:cs="Times New Roman"/>
          <w:b/>
          <w:color w:val="auto"/>
          <w:sz w:val="44"/>
          <w:szCs w:val="44"/>
          <w:lang w:eastAsia="zh-CN"/>
        </w:rPr>
        <w:t>七、改进措施和有关建议</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color w:val="auto"/>
          <w:sz w:val="44"/>
          <w:szCs w:val="44"/>
          <w:lang w:val="en-US" w:eastAsia="zh-CN"/>
        </w:rPr>
      </w:pPr>
      <w:r>
        <w:rPr>
          <w:rFonts w:hint="eastAsia" w:cs="Times New Roman"/>
          <w:b/>
          <w:color w:val="auto"/>
          <w:sz w:val="44"/>
          <w:szCs w:val="44"/>
          <w:lang w:val="en-US" w:eastAsia="zh-CN"/>
        </w:rPr>
        <w:t>八、</w:t>
      </w:r>
      <w:r>
        <w:rPr>
          <w:rFonts w:hint="eastAsia" w:ascii="Times New Roman" w:hAnsi="Times New Roman" w:eastAsia="宋体" w:cs="Times New Roman"/>
          <w:b/>
          <w:color w:val="auto"/>
          <w:sz w:val="44"/>
          <w:szCs w:val="44"/>
          <w:lang w:val="en-US" w:eastAsia="zh-CN"/>
        </w:rPr>
        <w:t>绩效目标完成情况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color w:val="auto"/>
          <w:sz w:val="44"/>
          <w:szCs w:val="44"/>
          <w:lang w:val="en-US" w:eastAsia="zh-CN"/>
        </w:rPr>
      </w:pPr>
      <w:r>
        <w:rPr>
          <w:rFonts w:hint="eastAsia" w:ascii="Times New Roman" w:hAnsi="Times New Roman" w:cs="Times New Roman"/>
          <w:b/>
          <w:color w:val="auto"/>
          <w:sz w:val="44"/>
          <w:szCs w:val="44"/>
          <w:lang w:val="en-US" w:eastAsia="zh-CN"/>
        </w:rPr>
        <w:t>九、</w:t>
      </w:r>
      <w:r>
        <w:rPr>
          <w:rFonts w:hint="eastAsia" w:ascii="Times New Roman" w:hAnsi="Times New Roman" w:eastAsia="宋体" w:cs="Times New Roman"/>
          <w:b/>
          <w:color w:val="auto"/>
          <w:sz w:val="44"/>
          <w:szCs w:val="44"/>
          <w:lang w:val="en-US" w:eastAsia="zh-CN"/>
        </w:rPr>
        <w:t>本年度部门决算等财务工作开展情况</w:t>
      </w:r>
    </w:p>
    <w:p>
      <w:pPr>
        <w:widowControl/>
        <w:spacing w:line="600" w:lineRule="exact"/>
        <w:ind w:firstLine="708" w:firstLineChars="196"/>
        <w:jc w:val="left"/>
        <w:rPr>
          <w:rFonts w:hint="eastAsia"/>
          <w:b/>
          <w:color w:val="auto"/>
          <w:sz w:val="36"/>
          <w:szCs w:val="36"/>
        </w:rPr>
      </w:pPr>
    </w:p>
    <w:p>
      <w:pPr>
        <w:widowControl/>
        <w:spacing w:line="600" w:lineRule="exact"/>
        <w:ind w:firstLine="708" w:firstLineChars="196"/>
        <w:jc w:val="left"/>
        <w:rPr>
          <w:rFonts w:hint="eastAsia"/>
          <w:b/>
          <w:color w:val="auto"/>
          <w:sz w:val="36"/>
          <w:szCs w:val="36"/>
        </w:rPr>
      </w:pPr>
    </w:p>
    <w:p>
      <w:pPr>
        <w:widowControl/>
        <w:spacing w:line="600" w:lineRule="exact"/>
        <w:ind w:firstLine="708" w:firstLineChars="196"/>
        <w:jc w:val="left"/>
        <w:rPr>
          <w:rFonts w:hint="eastAsia"/>
          <w:b/>
          <w:color w:val="auto"/>
          <w:sz w:val="36"/>
          <w:szCs w:val="36"/>
        </w:rPr>
      </w:pPr>
    </w:p>
    <w:p>
      <w:pPr>
        <w:widowControl/>
        <w:spacing w:line="600" w:lineRule="exact"/>
        <w:jc w:val="left"/>
        <w:rPr>
          <w:rFonts w:hint="eastAsia"/>
          <w:b/>
          <w:color w:val="auto"/>
          <w:sz w:val="36"/>
          <w:szCs w:val="36"/>
        </w:rPr>
      </w:pPr>
      <w:r>
        <w:rPr>
          <w:rFonts w:hint="eastAsia"/>
          <w:b/>
          <w:color w:val="auto"/>
          <w:sz w:val="36"/>
          <w:szCs w:val="36"/>
        </w:rPr>
        <w:t>一、部门概况</w:t>
      </w:r>
    </w:p>
    <w:p>
      <w:pPr>
        <w:widowControl/>
        <w:spacing w:line="600" w:lineRule="exact"/>
        <w:ind w:firstLine="708" w:firstLineChars="196"/>
        <w:jc w:val="left"/>
        <w:rPr>
          <w:rFonts w:hint="eastAsia"/>
          <w:b/>
          <w:color w:val="auto"/>
          <w:sz w:val="36"/>
          <w:szCs w:val="36"/>
        </w:rPr>
      </w:pPr>
      <w:r>
        <w:rPr>
          <w:rFonts w:hint="eastAsia"/>
          <w:b/>
          <w:color w:val="auto"/>
          <w:sz w:val="36"/>
          <w:szCs w:val="36"/>
        </w:rPr>
        <w:t>（一）部门基本情况</w:t>
      </w:r>
    </w:p>
    <w:p>
      <w:pPr>
        <w:spacing w:line="520" w:lineRule="exact"/>
        <w:ind w:firstLine="640"/>
        <w:rPr>
          <w:rFonts w:hint="eastAsia" w:ascii="Times New Roman" w:hAnsi="Times New Roman" w:eastAsia="仿宋_GB2312" w:cs="Times New Roman"/>
          <w:sz w:val="30"/>
          <w:szCs w:val="30"/>
          <w:lang w:val="zh-CN"/>
        </w:rPr>
      </w:pPr>
      <w:r>
        <w:rPr>
          <w:rFonts w:hint="eastAsia" w:ascii="Times New Roman" w:hAnsi="Times New Roman" w:eastAsia="仿宋_GB2312" w:cs="Times New Roman"/>
          <w:sz w:val="30"/>
          <w:szCs w:val="30"/>
        </w:rPr>
        <w:t xml:space="preserve"> 机构设置情况与部门总体工作任务：</w:t>
      </w:r>
      <w:r>
        <w:rPr>
          <w:rFonts w:hint="eastAsia" w:ascii="Times New Roman" w:hAnsi="Times New Roman" w:eastAsia="仿宋_GB2312" w:cs="Times New Roman"/>
          <w:sz w:val="30"/>
          <w:szCs w:val="30"/>
          <w:lang w:val="zh-CN"/>
        </w:rPr>
        <w:t>负责处理乡机关内部综合协调及日常行政事务；负责组织、机构编制、人事管理考核等工作；负责文秘、信息、档案、保密、调研、重要会务、政府采购及行政后勤管理等工作；负责乡本级和下属单位的党群组织、纪检监察、人武、人大、政协等工作；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负责履行县发改局、经信局、商粮局、环保局、安监局等部门委托乡政府行使的管理职能；负责辖区内现有企业的管理服务工作；负责辖区内科技、环保、安全生产等工作；负责农田基本建设的规划实施、先进生产技术推广应用；动植物防疫等农业和水利、林业等工作。</w:t>
      </w:r>
    </w:p>
    <w:p>
      <w:pPr>
        <w:spacing w:line="520" w:lineRule="exact"/>
        <w:ind w:firstLine="64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zh-CN"/>
        </w:rPr>
        <w:t>负责辖区内村乡建设规划的编制和报批工作；负责辖区内建设工程、基础设施的建设和管理；负责乡土地收购储备以及出让前期工作；负责乡域内重大基础设施建设、集镇改造工作；负责指导、监督、协调国有土地上房屋征收补偿和集体土地上房屋征收补偿工作；负责辖区内房屋征收补偿政策的拟订、宣传、解释工作；负责审核、修订房屋征收补偿方案；组织实施旧房拆除的管理工作。负责辖区内集镇道路保洁、道路绿化养护；负责履行县住建局等部门委托乡政府行使的管理职能；负责城乡环境卫生秩序管理、自然资源管理、农村个人建房管理等工作；依据职能会同有关部门做好乡域内交通秩序、工商行政、食品卫生、车辆营运等执法管理工作。负责辖区内卫生健康、民政、教育、文体旅广等工作；负责社会保险、劳动监察、劳动仲裁、就业再就业等服务工作。负责辖区内综合治理、社会稳定、来信来访和司法调解、社区矫正、普法宣传等社会综合管理工作；负责协调社会治安基础防范工作。负责制定全乡新农村建设的具体措施、实施意见和工作方案；承担新农村建设的各项目常管理工作；在新农村建设领导小组领导下，负责指导协调各村、各有关部门在新农村建设中的任务、目标、计划及具体实施工作；负责做好驻村指导员的日常管理工作。履行相关行政许可职能和提供行政审批服务；负责相关审批办证和提供政策咨询等行政服务工作，综合协调管理行政服务事务。</w:t>
      </w:r>
      <w:r>
        <w:rPr>
          <w:rFonts w:hint="eastAsia" w:ascii="Times New Roman" w:hAnsi="Times New Roman" w:eastAsia="仿宋_GB2312" w:cs="Times New Roman"/>
          <w:sz w:val="30"/>
          <w:szCs w:val="30"/>
        </w:rPr>
        <w:t>内设党政办公室、党建办公室、经济发展办公室、社会事务办公室、社会治安和应急管理办公室、自然资源和生态环境办公室、社会事务综合服务中心、农业综合服务中心、便民服务中心、综合行政执法大队等部门。</w:t>
      </w: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一、</w:t>
      </w:r>
      <w:r>
        <w:rPr>
          <w:rFonts w:hint="eastAsia" w:ascii="Times New Roman" w:hAnsi="Times New Roman" w:eastAsia="仿宋_GB2312" w:cs="Times New Roman"/>
          <w:sz w:val="30"/>
          <w:szCs w:val="30"/>
        </w:rPr>
        <w:t>党政办公室（行政审批服务办公室）。负责党政服务和综合协调工作，负责机关文电、机要、保密、信息、会务、档案、绩效考核、督查督办后勤保障等工作；负责重要事项的综合协调和重要文稿的起草审核；负责</w:t>
      </w:r>
      <w:r>
        <w:rPr>
          <w:rFonts w:hint="eastAsia" w:ascii="Times New Roman" w:hAnsi="Times New Roman" w:eastAsia="仿宋_GB2312" w:cs="Times New Roman"/>
          <w:sz w:val="30"/>
          <w:szCs w:val="30"/>
          <w:lang w:val="en-US" w:eastAsia="zh-CN"/>
        </w:rPr>
        <w:t>权</w:t>
      </w:r>
      <w:r>
        <w:rPr>
          <w:rFonts w:hint="eastAsia" w:ascii="Times New Roman" w:hAnsi="Times New Roman" w:eastAsia="仿宋_GB2312" w:cs="Times New Roman"/>
          <w:sz w:val="30"/>
          <w:szCs w:val="30"/>
        </w:rPr>
        <w:t>限内行政审批工作、优化营商环境、政务公开和政务服务管理、电子政务</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大数据管理、信用体系建设等工作；受理、协调处理群众信访事项。</w:t>
      </w:r>
    </w:p>
    <w:p>
      <w:pPr>
        <w:widowControl/>
        <w:jc w:val="left"/>
        <w:rPr>
          <w:rFonts w:hint="eastAsia" w:ascii="Times New Roman" w:hAnsi="Times New Roman" w:eastAsia="仿宋_GB2312" w:cs="Times New Roman"/>
          <w:sz w:val="30"/>
          <w:szCs w:val="30"/>
        </w:rPr>
      </w:pP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二、党</w:t>
      </w:r>
      <w:r>
        <w:rPr>
          <w:rFonts w:hint="eastAsia" w:ascii="Times New Roman" w:hAnsi="Times New Roman" w:eastAsia="仿宋_GB2312" w:cs="Times New Roman"/>
          <w:sz w:val="30"/>
          <w:szCs w:val="30"/>
        </w:rPr>
        <w:t>建办公室。负费基层党建工作的组织推动、业务指导、督促落实和综合协调等工作；负责基层党组织建设和党员队伍的教育管理以及老龄老</w:t>
      </w:r>
      <w:r>
        <w:rPr>
          <w:rFonts w:hint="eastAsia" w:ascii="Times New Roman" w:hAnsi="Times New Roman" w:eastAsia="仿宋_GB2312" w:cs="Times New Roman"/>
          <w:sz w:val="30"/>
          <w:szCs w:val="30"/>
          <w:lang w:val="en-US" w:eastAsia="zh-CN"/>
        </w:rPr>
        <w:t>干</w:t>
      </w:r>
      <w:r>
        <w:rPr>
          <w:rFonts w:hint="eastAsia" w:ascii="Times New Roman" w:hAnsi="Times New Roman" w:eastAsia="仿宋_GB2312" w:cs="Times New Roman"/>
          <w:sz w:val="30"/>
          <w:szCs w:val="30"/>
        </w:rPr>
        <w:t>、关心下一代工作</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负责机关事业单位的机构编制、人事政工管理等工作</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协助管理派出（驻）机构人员</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负责宣传思想文化、意识形态（网络意识形态、网络安全）、统战工作；协调工会、共青团、妇联等群</w:t>
      </w:r>
      <w:r>
        <w:rPr>
          <w:rFonts w:hint="eastAsia" w:ascii="Times New Roman" w:hAnsi="Times New Roman" w:eastAsia="仿宋_GB2312" w:cs="Times New Roman"/>
          <w:sz w:val="30"/>
          <w:szCs w:val="30"/>
          <w:lang w:val="en-US" w:eastAsia="zh-CN"/>
        </w:rPr>
        <w:t>团</w:t>
      </w:r>
      <w:r>
        <w:rPr>
          <w:rFonts w:hint="eastAsia" w:ascii="Times New Roman" w:hAnsi="Times New Roman" w:eastAsia="仿宋_GB2312" w:cs="Times New Roman"/>
          <w:sz w:val="30"/>
          <w:szCs w:val="30"/>
        </w:rPr>
        <w:t>组织相关工作。</w:t>
      </w:r>
    </w:p>
    <w:p>
      <w:pPr>
        <w:widowControl/>
        <w:jc w:val="left"/>
        <w:rPr>
          <w:rFonts w:hint="eastAsia" w:ascii="Times New Roman" w:hAnsi="Times New Roman" w:eastAsia="仿宋_GB2312" w:cs="Times New Roman"/>
          <w:sz w:val="30"/>
          <w:szCs w:val="30"/>
        </w:rPr>
      </w:pPr>
    </w:p>
    <w:p>
      <w:pPr>
        <w:widowControl/>
        <w:jc w:val="left"/>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lang w:val="en-US" w:eastAsia="zh-CN"/>
        </w:rPr>
        <w:t>三、</w:t>
      </w:r>
      <w:r>
        <w:rPr>
          <w:rFonts w:hint="eastAsia" w:ascii="Times New Roman" w:hAnsi="Times New Roman" w:eastAsia="仿宋_GB2312" w:cs="Times New Roman"/>
          <w:sz w:val="30"/>
          <w:szCs w:val="30"/>
        </w:rPr>
        <w:t>经济发展办公室(</w:t>
      </w:r>
      <w:r>
        <w:rPr>
          <w:rFonts w:hint="eastAsia" w:ascii="Times New Roman" w:hAnsi="Times New Roman" w:eastAsia="仿宋_GB2312" w:cs="Times New Roman"/>
          <w:sz w:val="30"/>
          <w:szCs w:val="30"/>
          <w:lang w:val="en-US" w:eastAsia="zh-CN"/>
        </w:rPr>
        <w:t>农</w:t>
      </w:r>
      <w:r>
        <w:rPr>
          <w:rFonts w:hint="eastAsia" w:ascii="Times New Roman" w:hAnsi="Times New Roman" w:eastAsia="仿宋_GB2312" w:cs="Times New Roman"/>
          <w:sz w:val="30"/>
          <w:szCs w:val="30"/>
        </w:rPr>
        <w:t>业农村工作办公室）。负责经济发展规划的制订和落实</w:t>
      </w:r>
      <w:r>
        <w:rPr>
          <w:rFonts w:hint="eastAsia" w:ascii="Times New Roman" w:hAnsi="Times New Roman" w:eastAsia="仿宋_GB2312" w:cs="Times New Roman"/>
          <w:sz w:val="30"/>
          <w:szCs w:val="30"/>
          <w:lang w:val="en-US" w:eastAsia="zh-CN"/>
        </w:rPr>
        <w:t>一、二、</w:t>
      </w:r>
      <w:r>
        <w:rPr>
          <w:rFonts w:hint="eastAsia" w:ascii="Times New Roman" w:hAnsi="Times New Roman" w:eastAsia="仿宋_GB2312" w:cs="Times New Roman"/>
          <w:sz w:val="30"/>
          <w:szCs w:val="30"/>
        </w:rPr>
        <w:t>三产业的指导、管理；负责招商引资、商贸流通、交通运输、科技科普、统计等工作；负责贯彻执行乡村振兴方针、政策；负责农村人居环境整治、农产品质量安全监管、集体资产管理、农民減负监督管理</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农村土地管理、动植物疫病防疫、农业面源污染治理、农机监管等农业</w:t>
      </w:r>
      <w:r>
        <w:rPr>
          <w:rFonts w:hint="eastAsia" w:ascii="Times New Roman" w:hAnsi="Times New Roman" w:eastAsia="仿宋_GB2312" w:cs="Times New Roman"/>
          <w:sz w:val="30"/>
          <w:szCs w:val="30"/>
          <w:lang w:val="en-US" w:eastAsia="zh-CN"/>
        </w:rPr>
        <w:t>农村</w:t>
      </w:r>
      <w:r>
        <w:rPr>
          <w:rFonts w:hint="eastAsia" w:ascii="Times New Roman" w:hAnsi="Times New Roman" w:eastAsia="仿宋_GB2312" w:cs="Times New Roman"/>
          <w:sz w:val="30"/>
          <w:szCs w:val="30"/>
        </w:rPr>
        <w:t>工作</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负责水利移民工作；承担市场监管有关方面的指导协调职责；协调与发展经济相关的其他工作</w:t>
      </w:r>
      <w:r>
        <w:rPr>
          <w:rFonts w:hint="eastAsia" w:ascii="Times New Roman" w:hAnsi="Times New Roman" w:eastAsia="仿宋_GB2312" w:cs="Times New Roman"/>
          <w:sz w:val="30"/>
          <w:szCs w:val="30"/>
          <w:lang w:eastAsia="zh-CN"/>
        </w:rPr>
        <w:t>。</w:t>
      </w:r>
    </w:p>
    <w:p>
      <w:pPr>
        <w:widowControl/>
        <w:jc w:val="left"/>
        <w:rPr>
          <w:rFonts w:hint="eastAsia" w:ascii="Times New Roman" w:hAnsi="Times New Roman" w:eastAsia="仿宋_GB2312" w:cs="Times New Roman"/>
          <w:sz w:val="30"/>
          <w:szCs w:val="30"/>
          <w:lang w:eastAsia="zh-CN"/>
        </w:rPr>
      </w:pP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四、</w:t>
      </w:r>
      <w:r>
        <w:rPr>
          <w:rFonts w:hint="eastAsia" w:ascii="Times New Roman" w:hAnsi="Times New Roman" w:eastAsia="仿宋_GB2312" w:cs="Times New Roman"/>
          <w:sz w:val="30"/>
          <w:szCs w:val="30"/>
        </w:rPr>
        <w:t>社会事务办公室。负责民政、人力资源和社会保障、医疗保障、文化旅游、广电体育、教育、卫生健康、民族宗教、退役军人事务、文明创建、公共服务等综合社会事务管理等工作；负责</w:t>
      </w:r>
      <w:r>
        <w:rPr>
          <w:rFonts w:hint="eastAsia" w:ascii="Times New Roman" w:hAnsi="Times New Roman" w:eastAsia="仿宋_GB2312" w:cs="Times New Roman"/>
          <w:sz w:val="30"/>
          <w:szCs w:val="30"/>
          <w:lang w:val="en-US" w:eastAsia="zh-CN"/>
        </w:rPr>
        <w:t>乡村振兴</w:t>
      </w:r>
      <w:r>
        <w:rPr>
          <w:rFonts w:hint="eastAsia" w:ascii="Times New Roman" w:hAnsi="Times New Roman" w:eastAsia="仿宋_GB2312" w:cs="Times New Roman"/>
          <w:sz w:val="30"/>
          <w:szCs w:val="30"/>
        </w:rPr>
        <w:t>工作，贯彻落实</w:t>
      </w:r>
      <w:r>
        <w:rPr>
          <w:rFonts w:hint="eastAsia" w:ascii="Times New Roman" w:hAnsi="Times New Roman" w:eastAsia="仿宋_GB2312" w:cs="Times New Roman"/>
          <w:sz w:val="30"/>
          <w:szCs w:val="30"/>
          <w:lang w:val="en-US" w:eastAsia="zh-CN"/>
        </w:rPr>
        <w:t>乡村振兴</w:t>
      </w:r>
      <w:r>
        <w:rPr>
          <w:rFonts w:hint="eastAsia" w:ascii="Times New Roman" w:hAnsi="Times New Roman" w:eastAsia="仿宋_GB2312" w:cs="Times New Roman"/>
          <w:sz w:val="30"/>
          <w:szCs w:val="30"/>
        </w:rPr>
        <w:t>方针、政策。</w:t>
      </w:r>
    </w:p>
    <w:p>
      <w:pPr>
        <w:widowControl/>
        <w:jc w:val="left"/>
        <w:rPr>
          <w:rFonts w:hint="eastAsia" w:ascii="Times New Roman" w:hAnsi="Times New Roman" w:eastAsia="仿宋_GB2312" w:cs="Times New Roman"/>
          <w:sz w:val="30"/>
          <w:szCs w:val="30"/>
        </w:rPr>
      </w:pP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五、</w:t>
      </w:r>
      <w:r>
        <w:rPr>
          <w:rFonts w:hint="eastAsia" w:ascii="Times New Roman" w:hAnsi="Times New Roman" w:eastAsia="仿宋_GB2312" w:cs="Times New Roman"/>
          <w:sz w:val="30"/>
          <w:szCs w:val="30"/>
        </w:rPr>
        <w:t>自然资源和生态环境办公室。负责贯彻落实自然资源、生态环境、林业等方面方针政策和法律法规；负责协助编制、实施区域内国土</w:t>
      </w:r>
      <w:r>
        <w:rPr>
          <w:rFonts w:hint="eastAsia" w:ascii="Times New Roman" w:hAnsi="Times New Roman" w:eastAsia="仿宋_GB2312" w:cs="Times New Roman"/>
          <w:sz w:val="30"/>
          <w:szCs w:val="30"/>
          <w:lang w:val="en-US" w:eastAsia="zh-CN"/>
        </w:rPr>
        <w:t>空间</w:t>
      </w:r>
      <w:r>
        <w:rPr>
          <w:rFonts w:hint="eastAsia" w:ascii="Times New Roman" w:hAnsi="Times New Roman" w:eastAsia="仿宋_GB2312" w:cs="Times New Roman"/>
          <w:sz w:val="30"/>
          <w:szCs w:val="30"/>
        </w:rPr>
        <w:t>规划等工作；监督、指导公共基础设施建设与维护工作；负责村容镇貌、环境卫生整治、农村房屋建设管理等工作。按照管理权限，负责自然资源保护利用、林政管理、造林绿化、生态环境保护、河长制等工作。</w:t>
      </w:r>
    </w:p>
    <w:p>
      <w:pPr>
        <w:widowControl/>
        <w:jc w:val="left"/>
        <w:rPr>
          <w:rFonts w:hint="eastAsia" w:ascii="Times New Roman" w:hAnsi="Times New Roman" w:eastAsia="仿宋_GB2312" w:cs="Times New Roman"/>
          <w:sz w:val="30"/>
          <w:szCs w:val="30"/>
        </w:rPr>
      </w:pPr>
    </w:p>
    <w:p>
      <w:pPr>
        <w:widowControl/>
        <w:jc w:val="left"/>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lang w:val="en-US" w:eastAsia="zh-CN"/>
        </w:rPr>
        <w:t>六、</w:t>
      </w:r>
      <w:r>
        <w:rPr>
          <w:rFonts w:hint="eastAsia" w:ascii="Times New Roman" w:hAnsi="Times New Roman" w:eastAsia="仿宋_GB2312" w:cs="Times New Roman"/>
          <w:sz w:val="30"/>
          <w:szCs w:val="30"/>
        </w:rPr>
        <w:t>社会治安和应急管理办公室。负责社会治理、平安建设、维护稳定、扫黑除恶、网格化管理等工作；协调推动预防、化解社会矛盾和风险，推进社会治安整治、铁路护路联防、国家安全人民防线和反邪教等工作；负责安全生产、防汛抗旱、综合防灾减灾救灾报灾、地质灾害、消防、森林防灭火、突发事件应急救援等工作</w:t>
      </w:r>
      <w:r>
        <w:rPr>
          <w:rFonts w:hint="eastAsia" w:ascii="Times New Roman" w:hAnsi="Times New Roman" w:eastAsia="仿宋_GB2312" w:cs="Times New Roman"/>
          <w:sz w:val="30"/>
          <w:szCs w:val="30"/>
          <w:lang w:eastAsia="zh-CN"/>
        </w:rPr>
        <w:t>。</w:t>
      </w:r>
    </w:p>
    <w:p>
      <w:pPr>
        <w:widowControl/>
        <w:jc w:val="left"/>
        <w:rPr>
          <w:rFonts w:hint="eastAsia" w:ascii="Times New Roman" w:hAnsi="Times New Roman" w:eastAsia="仿宋_GB2312" w:cs="Times New Roman"/>
          <w:sz w:val="30"/>
          <w:szCs w:val="30"/>
          <w:lang w:eastAsia="zh-CN"/>
        </w:rPr>
      </w:pPr>
    </w:p>
    <w:p>
      <w:pPr>
        <w:widowControl/>
        <w:jc w:val="left"/>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rPr>
        <w:t>七、社会事务综合服务中心（退役军人服务站）。为乡镇直</w:t>
      </w:r>
      <w:r>
        <w:rPr>
          <w:rFonts w:hint="eastAsia" w:ascii="Times New Roman" w:hAnsi="Times New Roman" w:eastAsia="仿宋_GB2312" w:cs="Times New Roman"/>
          <w:sz w:val="30"/>
          <w:szCs w:val="30"/>
          <w:lang w:val="en-US" w:eastAsia="zh-CN"/>
        </w:rPr>
        <w:t>属</w:t>
      </w:r>
      <w:r>
        <w:rPr>
          <w:rFonts w:hint="eastAsia" w:ascii="Times New Roman" w:hAnsi="Times New Roman" w:eastAsia="仿宋_GB2312" w:cs="Times New Roman"/>
          <w:sz w:val="30"/>
          <w:szCs w:val="30"/>
        </w:rPr>
        <w:t>公益一类事业单位。负责辖区内社会保险、医疗保险、就业维权、工伤失业、劳动争议、卫生健康、老龄、残疾人、退役军人和最低生活保障等相关服务性工作；承担文化宣传、旅游开发、广播影视、文艺演出、群众体育等公益服务职责</w:t>
      </w:r>
      <w:r>
        <w:rPr>
          <w:rFonts w:hint="eastAsia" w:ascii="Times New Roman" w:hAnsi="Times New Roman" w:eastAsia="仿宋_GB2312" w:cs="Times New Roman"/>
          <w:sz w:val="30"/>
          <w:szCs w:val="30"/>
          <w:lang w:eastAsia="zh-CN"/>
        </w:rPr>
        <w:t>。</w:t>
      </w:r>
    </w:p>
    <w:p>
      <w:pPr>
        <w:widowControl/>
        <w:jc w:val="left"/>
        <w:rPr>
          <w:rFonts w:hint="eastAsia" w:ascii="Times New Roman" w:hAnsi="Times New Roman" w:eastAsia="仿宋_GB2312" w:cs="Times New Roman"/>
          <w:sz w:val="30"/>
          <w:szCs w:val="30"/>
          <w:lang w:eastAsia="zh-CN"/>
        </w:rPr>
      </w:pP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八、</w:t>
      </w:r>
      <w:r>
        <w:rPr>
          <w:rFonts w:hint="eastAsia" w:ascii="Times New Roman" w:hAnsi="Times New Roman" w:eastAsia="仿宋_GB2312" w:cs="Times New Roman"/>
          <w:sz w:val="30"/>
          <w:szCs w:val="30"/>
          <w:lang w:val="en-US" w:eastAsia="zh-CN"/>
        </w:rPr>
        <w:t>农</w:t>
      </w:r>
      <w:r>
        <w:rPr>
          <w:rFonts w:hint="eastAsia" w:ascii="Times New Roman" w:hAnsi="Times New Roman" w:eastAsia="仿宋_GB2312" w:cs="Times New Roman"/>
          <w:sz w:val="30"/>
          <w:szCs w:val="30"/>
        </w:rPr>
        <w:t>业综合服务中心。为乡镇直</w:t>
      </w:r>
      <w:r>
        <w:rPr>
          <w:rFonts w:hint="eastAsia" w:ascii="Times New Roman" w:hAnsi="Times New Roman" w:eastAsia="仿宋_GB2312" w:cs="Times New Roman"/>
          <w:sz w:val="30"/>
          <w:szCs w:val="30"/>
          <w:lang w:val="en-US" w:eastAsia="zh-CN"/>
        </w:rPr>
        <w:t>属</w:t>
      </w:r>
      <w:r>
        <w:rPr>
          <w:rFonts w:hint="eastAsia" w:ascii="Times New Roman" w:hAnsi="Times New Roman" w:eastAsia="仿宋_GB2312" w:cs="Times New Roman"/>
          <w:sz w:val="30"/>
          <w:szCs w:val="30"/>
        </w:rPr>
        <w:t>公益一类事业单位。负责宣传和贯彻执行农技、农机、水利、林业、畜牧水产、动物防疫、农村经营等方面</w:t>
      </w: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的方针政策和法律法规，为辖区内农村、农业发展和提高农民科技文化水平提供技术支持和服务保障；负责农技、农机、水利、畜牧水产、动物防疫、林业等方面技术推广应用与指导，负责农作物病虫害监测与防治和农产品质量监管服务；负责水利基本建设的规划实施、辖区水利设施防洪</w:t>
      </w:r>
      <w:r>
        <w:rPr>
          <w:rFonts w:hint="eastAsia" w:ascii="Times New Roman" w:hAnsi="Times New Roman" w:eastAsia="仿宋_GB2312" w:cs="Times New Roman"/>
          <w:sz w:val="30"/>
          <w:szCs w:val="30"/>
          <w:lang w:val="en-US" w:eastAsia="zh-CN"/>
        </w:rPr>
        <w:t>保护</w:t>
      </w:r>
      <w:r>
        <w:rPr>
          <w:rFonts w:hint="eastAsia" w:ascii="Times New Roman" w:hAnsi="Times New Roman" w:eastAsia="仿宋_GB2312" w:cs="Times New Roman"/>
          <w:sz w:val="30"/>
          <w:szCs w:val="30"/>
        </w:rPr>
        <w:t>与开发利用以及防汛抗</w:t>
      </w:r>
      <w:r>
        <w:rPr>
          <w:rFonts w:hint="eastAsia" w:ascii="Times New Roman" w:hAnsi="Times New Roman" w:eastAsia="仿宋_GB2312" w:cs="Times New Roman"/>
          <w:sz w:val="30"/>
          <w:szCs w:val="30"/>
          <w:lang w:val="en-US" w:eastAsia="zh-CN"/>
        </w:rPr>
        <w:t>旱</w:t>
      </w:r>
      <w:r>
        <w:rPr>
          <w:rFonts w:hint="eastAsia" w:ascii="Times New Roman" w:hAnsi="Times New Roman" w:eastAsia="仿宋_GB2312" w:cs="Times New Roman"/>
          <w:sz w:val="30"/>
          <w:szCs w:val="30"/>
        </w:rPr>
        <w:t>工作;负责保护森林资源、推广林业科学技术、加强林区生态建设、森林防火与病虫害防治；做好其他相关社会服务工作。</w:t>
      </w:r>
    </w:p>
    <w:p>
      <w:pPr>
        <w:widowControl/>
        <w:jc w:val="left"/>
        <w:rPr>
          <w:rFonts w:hint="eastAsia" w:ascii="Times New Roman" w:hAnsi="Times New Roman" w:eastAsia="仿宋_GB2312" w:cs="Times New Roman"/>
          <w:sz w:val="30"/>
          <w:szCs w:val="30"/>
        </w:rPr>
      </w:pP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九、便民服务中心。为乡镇直</w:t>
      </w:r>
      <w:r>
        <w:rPr>
          <w:rFonts w:hint="eastAsia" w:ascii="Times New Roman" w:hAnsi="Times New Roman" w:eastAsia="仿宋_GB2312" w:cs="Times New Roman"/>
          <w:sz w:val="30"/>
          <w:szCs w:val="30"/>
          <w:lang w:val="en-US" w:eastAsia="zh-CN"/>
        </w:rPr>
        <w:t>属</w:t>
      </w:r>
      <w:r>
        <w:rPr>
          <w:rFonts w:hint="eastAsia" w:ascii="Times New Roman" w:hAnsi="Times New Roman" w:eastAsia="仿宋_GB2312" w:cs="Times New Roman"/>
          <w:sz w:val="30"/>
          <w:szCs w:val="30"/>
        </w:rPr>
        <w:t>公益一类事业单位。负责“六办”及社会事务综合服务中心(退役军人服务站）、农业综合服务中心和相关派出（驻）机构人员入驻办事大厅，集中开展便民服务和网格化综合管理的事务性、辅助性服务工作的统筹协调、日常管理、督查考核等工作。协调优化营商环境事务，集中受理和办理（代办）与群众、企业密切相关的行政许可（审批）服务、公共服务、便民服务及“12345市民服务热线”事项；做好“互联网＋政务服务”平台建管用，推进“一件事一次办”改革；协助相关部门做好政务服务公开工作；加强乡镇便民服务大厅及网上服务平台建设，指导辖区村级便民服务点建设，充分发挥综合便民服务作用。</w:t>
      </w:r>
    </w:p>
    <w:p>
      <w:pPr>
        <w:widowControl/>
        <w:jc w:val="left"/>
        <w:rPr>
          <w:rFonts w:hint="eastAsia" w:ascii="Times New Roman" w:hAnsi="Times New Roman" w:eastAsia="仿宋_GB2312" w:cs="Times New Roman"/>
          <w:sz w:val="30"/>
          <w:szCs w:val="30"/>
        </w:rPr>
      </w:pP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十、综合行政执法大队。负责安全生产、消防、森林防灭火及其他应急管理、自然资源、市场监管、生态环境、</w:t>
      </w:r>
      <w:r>
        <w:rPr>
          <w:rFonts w:hint="eastAsia" w:ascii="Times New Roman" w:hAnsi="Times New Roman" w:eastAsia="仿宋_GB2312" w:cs="Times New Roman"/>
          <w:sz w:val="30"/>
          <w:szCs w:val="30"/>
          <w:lang w:val="en-US" w:eastAsia="zh-CN"/>
        </w:rPr>
        <w:t>镇</w:t>
      </w:r>
      <w:r>
        <w:rPr>
          <w:rFonts w:hint="eastAsia" w:ascii="Times New Roman" w:hAnsi="Times New Roman" w:eastAsia="仿宋_GB2312" w:cs="Times New Roman"/>
          <w:sz w:val="30"/>
          <w:szCs w:val="30"/>
        </w:rPr>
        <w:t>容</w:t>
      </w:r>
      <w:r>
        <w:rPr>
          <w:rFonts w:hint="eastAsia" w:ascii="Times New Roman" w:hAnsi="Times New Roman" w:eastAsia="仿宋_GB2312" w:cs="Times New Roman"/>
          <w:sz w:val="30"/>
          <w:szCs w:val="30"/>
          <w:lang w:val="en-US" w:eastAsia="zh-CN"/>
        </w:rPr>
        <w:t>镇</w:t>
      </w:r>
      <w:r>
        <w:rPr>
          <w:rFonts w:hint="eastAsia" w:ascii="Times New Roman" w:hAnsi="Times New Roman" w:eastAsia="仿宋_GB2312" w:cs="Times New Roman"/>
          <w:sz w:val="30"/>
          <w:szCs w:val="30"/>
        </w:rPr>
        <w:t>貌环境卫生、农业农村、林业、水利、教育、体育、文化旅游、卫生健康、交通运输、社会保障等方面的日常执法活动和重大</w:t>
      </w:r>
      <w:r>
        <w:rPr>
          <w:rFonts w:hint="eastAsia" w:ascii="Times New Roman" w:hAnsi="Times New Roman" w:eastAsia="仿宋_GB2312" w:cs="Times New Roman"/>
          <w:sz w:val="30"/>
          <w:szCs w:val="30"/>
          <w:lang w:val="en-US" w:eastAsia="zh-CN"/>
        </w:rPr>
        <w:t>案</w:t>
      </w:r>
      <w:r>
        <w:rPr>
          <w:rFonts w:hint="eastAsia" w:ascii="Times New Roman" w:hAnsi="Times New Roman" w:eastAsia="仿宋_GB2312" w:cs="Times New Roman"/>
          <w:sz w:val="30"/>
          <w:szCs w:val="30"/>
        </w:rPr>
        <w:t>件线索巡查；根据相关法律法规及政策性文件统</w:t>
      </w:r>
      <w:r>
        <w:rPr>
          <w:rFonts w:hint="eastAsia" w:ascii="Times New Roman" w:hAnsi="Times New Roman" w:eastAsia="仿宋_GB2312" w:cs="Times New Roman"/>
          <w:sz w:val="30"/>
          <w:szCs w:val="30"/>
          <w:lang w:val="en-US" w:eastAsia="zh-CN"/>
        </w:rPr>
        <w:t>一</w:t>
      </w:r>
      <w:r>
        <w:rPr>
          <w:rFonts w:hint="eastAsia" w:ascii="Times New Roman" w:hAnsi="Times New Roman" w:eastAsia="仿宋_GB2312" w:cs="Times New Roman"/>
          <w:sz w:val="30"/>
          <w:szCs w:val="30"/>
        </w:rPr>
        <w:t>授权，以乡镇名义开展执法工作，并接受有关县级主管部门的业务指导和监督；作为综合执法平台，统一组织辖区内派出（驻）机构的执法力量和资源，实行联合执法；负责河长制、路长制、环境整治、爱卫等监督检查和执法工作。</w:t>
      </w: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十一、</w:t>
      </w:r>
      <w:r>
        <w:rPr>
          <w:rFonts w:hint="eastAsia" w:ascii="Times New Roman" w:hAnsi="Times New Roman" w:eastAsia="仿宋_GB2312" w:cs="Times New Roman"/>
          <w:sz w:val="30"/>
          <w:szCs w:val="30"/>
        </w:rPr>
        <w:t>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pPr>
        <w:widowControl/>
        <w:spacing w:line="600" w:lineRule="exact"/>
        <w:ind w:firstLine="588" w:firstLineChars="196"/>
        <w:jc w:val="left"/>
        <w:rPr>
          <w:rFonts w:hint="eastAsia" w:ascii="黑体" w:hAnsi="Calibri" w:eastAsia="仿宋_GB2312" w:cs="黑体"/>
          <w:color w:val="000000"/>
          <w:kern w:val="0"/>
          <w:sz w:val="30"/>
          <w:szCs w:val="30"/>
          <w:lang w:val="en-US" w:eastAsia="zh-CN" w:bidi="ar-SA"/>
        </w:rPr>
      </w:pPr>
    </w:p>
    <w:p>
      <w:pPr>
        <w:spacing w:line="520" w:lineRule="exact"/>
        <w:ind w:firstLine="640"/>
        <w:rPr>
          <w:rFonts w:hint="default" w:ascii="黑体" w:hAnsi="Calibri" w:eastAsia="仿宋_GB2312" w:cs="黑体"/>
          <w:color w:val="000000"/>
          <w:kern w:val="0"/>
          <w:sz w:val="30"/>
          <w:szCs w:val="30"/>
          <w:lang w:val="en-US" w:eastAsia="zh-CN" w:bidi="ar-SA"/>
        </w:rPr>
      </w:pPr>
      <w:r>
        <w:rPr>
          <w:rFonts w:hint="eastAsia" w:ascii="黑体" w:hAnsi="Calibri" w:eastAsia="仿宋_GB2312" w:cs="黑体"/>
          <w:color w:val="000000"/>
          <w:kern w:val="0"/>
          <w:sz w:val="30"/>
          <w:szCs w:val="30"/>
          <w:lang w:val="en-US" w:eastAsia="zh-CN" w:bidi="ar-SA"/>
        </w:rPr>
        <w:t>人员情况：2022年本单位年未实有人数70人，比上年</w:t>
      </w:r>
      <w:r>
        <w:rPr>
          <w:rFonts w:hint="eastAsia" w:ascii="黑体" w:hAnsi="Calibri" w:eastAsia="仿宋_GB2312" w:cs="黑体"/>
          <w:color w:val="000000"/>
          <w:kern w:val="0"/>
          <w:sz w:val="30"/>
          <w:szCs w:val="30"/>
          <w:lang w:val="zh-CN" w:eastAsia="zh-CN" w:bidi="ar-SA"/>
        </w:rPr>
        <w:t>变动了（增加）</w:t>
      </w:r>
      <w:r>
        <w:rPr>
          <w:rFonts w:hint="eastAsia" w:ascii="黑体" w:hAnsi="Calibri" w:eastAsia="仿宋_GB2312" w:cs="黑体"/>
          <w:color w:val="000000"/>
          <w:kern w:val="0"/>
          <w:sz w:val="30"/>
          <w:szCs w:val="30"/>
          <w:lang w:val="en-US" w:eastAsia="zh-CN" w:bidi="ar-SA"/>
        </w:rPr>
        <w:t>4人。人员变化的主要原因是：一是人员调动;二是人员提拔。</w:t>
      </w:r>
    </w:p>
    <w:p>
      <w:pPr>
        <w:pStyle w:val="4"/>
        <w:ind w:firstLine="600" w:firstLineChars="200"/>
        <w:rPr>
          <w:rFonts w:hint="eastAsia" w:eastAsia="仿宋_GB2312"/>
          <w:sz w:val="30"/>
          <w:szCs w:val="30"/>
          <w:lang w:eastAsia="zh-CN"/>
        </w:rPr>
      </w:pPr>
    </w:p>
    <w:p>
      <w:pPr>
        <w:pStyle w:val="4"/>
        <w:ind w:firstLine="600" w:firstLineChars="200"/>
        <w:rPr>
          <w:rFonts w:hint="eastAsia" w:eastAsia="仿宋_GB2312"/>
          <w:sz w:val="30"/>
          <w:szCs w:val="30"/>
        </w:rPr>
      </w:pPr>
    </w:p>
    <w:p>
      <w:pPr>
        <w:widowControl/>
        <w:numPr>
          <w:ilvl w:val="0"/>
          <w:numId w:val="0"/>
        </w:numPr>
        <w:spacing w:line="600" w:lineRule="exact"/>
        <w:ind w:firstLine="723" w:firstLineChars="200"/>
        <w:jc w:val="lef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(二)收入支出决算总体情况说明</w:t>
      </w:r>
    </w:p>
    <w:p>
      <w:pPr>
        <w:pStyle w:val="4"/>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2022年度收入总计1775.06万元。与上年相比，减少了683.83万元，降低27.8%，主要是因为财政拨款收入减少。其中：一般公共预算财政拨款收入1656.14万元，占93.3%；上级补助收入0万元，占0 %；事业收入0万元，占0 %；经营收入0万元，占0 %；附属单位上缴收入0万元，占0%；其他收入0万元，占0%；  年初结转和结余118.92万元，占6.7%。本年支出合计1775.06万元，其中：基本支出1170.61万元，占65.9 %；项目支出604.45万元，占34.1%；上缴上级支出0万元，占0%；经营支出0万元，占0%；对附属单位补助支出0万元，占0%。</w:t>
      </w:r>
    </w:p>
    <w:p>
      <w:pPr>
        <w:pStyle w:val="4"/>
        <w:ind w:firstLine="600" w:firstLineChars="200"/>
        <w:rPr>
          <w:rFonts w:hint="default" w:ascii="仿宋" w:hAnsi="仿宋" w:eastAsia="仿宋" w:cs="仿宋"/>
          <w:color w:val="auto"/>
          <w:kern w:val="0"/>
          <w:sz w:val="30"/>
          <w:szCs w:val="30"/>
          <w:lang w:val="en-US" w:eastAsia="zh-CN" w:bidi="ar-SA"/>
        </w:rPr>
      </w:pPr>
    </w:p>
    <w:p>
      <w:pPr>
        <w:widowControl/>
        <w:numPr>
          <w:ilvl w:val="0"/>
          <w:numId w:val="1"/>
        </w:numPr>
        <w:spacing w:line="600" w:lineRule="exact"/>
        <w:jc w:val="left"/>
        <w:rPr>
          <w:rFonts w:hint="eastAsia" w:ascii="Times New Roman" w:hAnsi="Times New Roman" w:eastAsia="宋体" w:cs="Times New Roman"/>
          <w:b/>
          <w:color w:val="auto"/>
          <w:sz w:val="36"/>
          <w:szCs w:val="36"/>
        </w:rPr>
      </w:pPr>
      <w:r>
        <w:rPr>
          <w:rFonts w:hint="eastAsia" w:ascii="Times New Roman" w:hAnsi="Times New Roman" w:eastAsia="宋体" w:cs="Times New Roman"/>
          <w:b/>
          <w:color w:val="auto"/>
          <w:sz w:val="36"/>
          <w:szCs w:val="36"/>
        </w:rPr>
        <w:t>部门整体支出管理及使用情况</w:t>
      </w:r>
    </w:p>
    <w:p>
      <w:pPr>
        <w:widowControl/>
        <w:numPr>
          <w:ilvl w:val="0"/>
          <w:numId w:val="0"/>
        </w:numPr>
        <w:spacing w:line="600" w:lineRule="exact"/>
        <w:ind w:firstLine="723" w:firstLineChars="200"/>
        <w:jc w:val="lef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（一）基本支出</w:t>
      </w:r>
    </w:p>
    <w:p>
      <w:pPr>
        <w:pStyle w:val="4"/>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2022年度大黄溪口镇人民政府共发生一般公共预算财政拨款支出 1775.06万元，主要用于以下方面： 一般公共服务支出1221.8万元，占68.8%；科学技术支出480万元，占 27%；文化旅游体育与传媒支出3万元，占 0.2%；社会保障和就业支出48.06万元，占2.7%；卫生健康支出3万元，占 0.2%；节能环保支出10万元，占0.6%；交通运输支出5万元，占0.3%；灾害防治及应急管理支出4.2万元，占0.2%。</w:t>
      </w:r>
    </w:p>
    <w:p>
      <w:pPr>
        <w:pStyle w:val="4"/>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2022年度财政拨款基本支出1775.06万元，其中：人员经费784.54万元，占基本支出的44.2%,主要包括基本工资154.71万元、津贴补贴170.52万元、伙食补助费16.18万元、绩效工资46.93万元、机关事业单位基本养老缴费56.11万元、职业年金缴费9.54万元、职工基本医疗保险缴费28.67万元、其他社会保障缴费18.68万元、住房公积金86.48万元、其他工资福利支出180.35万元、生活补助12.43万元、医疗费补助0.52万元、其他对个人和家庭的补助3.42万元；公用经费386.07万元，占基本支出的 21.75 %，主要包括办公费92.86万元、印刷费25.78万元、咨询费2.5万元、电费18.26万元、邮电费0.52万元、取暖费6.27万元、差旅费6.31万元、维修（护）费17.17万元、专用材料费1.3万元、劳务费15.79万元、委托业务费83.52万元、工会经费4.84万元、福利费0.29万元、公务用车运行维护费14.6万元、其他交通费用2万元、其他商品和服务支出93.42万元；项目支出604.45万元，占基本支出的34.05%，主要包括基础设施建设88.45万元、大型修缮36万元、对企业补助480万元。</w:t>
      </w:r>
    </w:p>
    <w:p>
      <w:pPr>
        <w:pStyle w:val="4"/>
        <w:numPr>
          <w:ilvl w:val="0"/>
          <w:numId w:val="2"/>
        </w:numPr>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一般公共服务201（类）支出为 1221.8万元。</w:t>
      </w:r>
    </w:p>
    <w:p>
      <w:pPr>
        <w:pStyle w:val="4"/>
        <w:numPr>
          <w:ilvl w:val="0"/>
          <w:numId w:val="2"/>
        </w:numPr>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科学技术支出206（类)支出为 480万元。</w:t>
      </w:r>
    </w:p>
    <w:p>
      <w:pPr>
        <w:pStyle w:val="4"/>
        <w:numPr>
          <w:ilvl w:val="0"/>
          <w:numId w:val="2"/>
        </w:numPr>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文化旅游体育与传媒207（类）支出3万元</w:t>
      </w:r>
    </w:p>
    <w:p>
      <w:pPr>
        <w:pStyle w:val="4"/>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4、社会保障和就业208（类）支出为 48.06 万元。</w:t>
      </w:r>
    </w:p>
    <w:p>
      <w:pPr>
        <w:pStyle w:val="4"/>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5、卫生健康支出210（类）支出为3万元。</w:t>
      </w:r>
    </w:p>
    <w:p>
      <w:pPr>
        <w:pStyle w:val="4"/>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6、节能环保支出211（类）支出为10万元。</w:t>
      </w:r>
    </w:p>
    <w:p>
      <w:pPr>
        <w:pStyle w:val="4"/>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7、交通运输支出214（类）支出为5万元。</w:t>
      </w:r>
    </w:p>
    <w:p>
      <w:pPr>
        <w:pStyle w:val="4"/>
        <w:ind w:firstLine="750" w:firstLineChars="25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8、灾害防治及应急管理支出224（类）支出为4.2万元。</w:t>
      </w:r>
    </w:p>
    <w:p>
      <w:pPr>
        <w:pStyle w:val="4"/>
        <w:rPr>
          <w:rFonts w:hint="eastAsia" w:asciiTheme="minorEastAsia" w:hAnsiTheme="minorEastAsia" w:eastAsiaTheme="minorEastAsia"/>
          <w:sz w:val="32"/>
          <w:szCs w:val="32"/>
        </w:rPr>
      </w:pPr>
    </w:p>
    <w:p>
      <w:pPr>
        <w:pStyle w:val="4"/>
        <w:ind w:firstLine="635" w:firstLineChars="200"/>
        <w:rPr>
          <w:rFonts w:hint="eastAsia" w:ascii="Times New Roman" w:hAnsi="Times New Roman" w:eastAsia="宋体" w:cs="Times New Roman"/>
          <w:b/>
          <w:color w:val="auto"/>
          <w:kern w:val="2"/>
          <w:sz w:val="36"/>
          <w:szCs w:val="36"/>
          <w:lang w:val="en-US" w:eastAsia="zh-CN" w:bidi="ar-SA"/>
        </w:rPr>
      </w:pPr>
      <w:r>
        <w:rPr>
          <w:rFonts w:hint="eastAsia" w:ascii="楷体" w:hAnsi="楷体" w:eastAsia="楷体" w:cs="Times New Roman"/>
          <w:b/>
          <w:spacing w:val="-2"/>
          <w:sz w:val="32"/>
          <w:szCs w:val="32"/>
          <w:lang w:eastAsia="zh-CN"/>
        </w:rPr>
        <w:t>（</w:t>
      </w:r>
      <w:r>
        <w:rPr>
          <w:rFonts w:hint="eastAsia" w:ascii="Times New Roman" w:hAnsi="Times New Roman" w:eastAsia="宋体" w:cs="Times New Roman"/>
          <w:b/>
          <w:color w:val="auto"/>
          <w:kern w:val="2"/>
          <w:sz w:val="36"/>
          <w:szCs w:val="36"/>
          <w:lang w:val="en-US" w:eastAsia="zh-CN" w:bidi="ar-SA"/>
        </w:rPr>
        <w:t>二）三公”经费财政拨款支出决算情况说明</w:t>
      </w:r>
    </w:p>
    <w:p>
      <w:pPr>
        <w:pStyle w:val="4"/>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2021年度“三公”经费财政拨款支出决算中，公务接待费支出决算 0万元，占 0%,因公出国（境）费支出决算 0 万元，占  0  %,公务用车购置费及运行维护费支出决算14.6万元，占 48%。其中：</w:t>
      </w:r>
    </w:p>
    <w:p>
      <w:pPr>
        <w:pStyle w:val="4"/>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1、因公出国（境）费支出决算为 0 万元，全年安排因公出国（境）团组   0 个，累计 0 人次。</w:t>
      </w:r>
    </w:p>
    <w:p>
      <w:pPr>
        <w:pStyle w:val="4"/>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2、公务接待费支出决算为0 万元，2022年支出在2023年报账，故2022年支出为0。</w:t>
      </w:r>
    </w:p>
    <w:p>
      <w:pPr>
        <w:pStyle w:val="4"/>
        <w:numPr>
          <w:ilvl w:val="0"/>
          <w:numId w:val="0"/>
        </w:numPr>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3、公务用车购置费及运行维护费支出决算为14.6万元，其中：公务用车购置费 0 万元。公务用车运行维护费 14.6万元，主要是乡村振兴、人居环境整治、疫情防控以及森林防火支出，截止2022年12月31日，我单位开支财政拨款的公务用车保有量为  1  辆。</w:t>
      </w:r>
    </w:p>
    <w:p>
      <w:pPr>
        <w:pStyle w:val="4"/>
        <w:ind w:firstLine="635" w:firstLineChars="200"/>
        <w:rPr>
          <w:rFonts w:hint="eastAsia" w:ascii="楷体" w:hAnsi="楷体" w:eastAsia="楷体"/>
          <w:b/>
          <w:spacing w:val="-2"/>
          <w:sz w:val="32"/>
          <w:szCs w:val="32"/>
          <w:lang w:val="en-US" w:eastAsia="zh-CN"/>
        </w:rPr>
      </w:pPr>
      <w:r>
        <w:rPr>
          <w:rFonts w:ascii="楷体" w:hAnsi="楷体" w:eastAsia="楷体"/>
          <w:b/>
          <w:spacing w:val="-2"/>
          <w:sz w:val="32"/>
          <w:szCs w:val="32"/>
        </w:rPr>
        <w:t>（</w:t>
      </w:r>
      <w:r>
        <w:rPr>
          <w:rFonts w:hint="eastAsia" w:ascii="楷体" w:hAnsi="楷体" w:eastAsia="楷体"/>
          <w:b/>
          <w:spacing w:val="-2"/>
          <w:sz w:val="32"/>
          <w:szCs w:val="32"/>
          <w:lang w:val="en-US" w:eastAsia="zh-CN"/>
        </w:rPr>
        <w:t>三）政府性基金预算收入支出决算情况</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heme="minorEastAsia" w:hAnsiTheme="minorEastAsia" w:eastAsiaTheme="minorEastAsia"/>
          <w:sz w:val="32"/>
          <w:szCs w:val="32"/>
        </w:rPr>
        <w:t xml:space="preserve"> </w:t>
      </w:r>
      <w:r>
        <w:rPr>
          <w:rFonts w:hint="eastAsia" w:ascii="Times New Roman" w:hAnsi="Times New Roman" w:eastAsia="仿宋_GB2312" w:cs="Times New Roman"/>
          <w:color w:val="auto"/>
          <w:kern w:val="2"/>
          <w:sz w:val="30"/>
          <w:szCs w:val="30"/>
          <w:lang w:val="en-US" w:eastAsia="zh-CN" w:bidi="ar-SA"/>
        </w:rPr>
        <w:t>2021年度政府性基金预算财政拨款收入 0 万元；年初结转和结余  0万元；支出 0 万元，其中基本支出 0 万元，项目支出 0 万元；年末结转和结余  0 万元。本单位无政府性基金收支。</w:t>
      </w:r>
    </w:p>
    <w:p>
      <w:pPr>
        <w:pStyle w:val="4"/>
        <w:ind w:firstLine="635" w:firstLineChars="200"/>
        <w:rPr>
          <w:rFonts w:hint="eastAsia" w:ascii="楷体" w:hAnsi="楷体" w:eastAsia="楷体"/>
          <w:b/>
          <w:spacing w:val="-2"/>
          <w:sz w:val="32"/>
          <w:szCs w:val="32"/>
          <w:lang w:eastAsia="zh-CN"/>
        </w:rPr>
      </w:pPr>
      <w:r>
        <w:rPr>
          <w:rFonts w:hint="eastAsia" w:ascii="楷体" w:hAnsi="楷体" w:eastAsia="楷体"/>
          <w:b/>
          <w:spacing w:val="-2"/>
          <w:sz w:val="32"/>
          <w:szCs w:val="32"/>
          <w:lang w:eastAsia="zh-CN"/>
        </w:rPr>
        <w:t>（</w:t>
      </w:r>
      <w:r>
        <w:rPr>
          <w:rFonts w:hint="eastAsia" w:ascii="楷体" w:hAnsi="楷体" w:eastAsia="楷体"/>
          <w:b/>
          <w:spacing w:val="-2"/>
          <w:sz w:val="32"/>
          <w:szCs w:val="32"/>
          <w:lang w:val="en-US" w:eastAsia="zh-CN"/>
        </w:rPr>
        <w:t>四</w:t>
      </w:r>
      <w:r>
        <w:rPr>
          <w:rFonts w:hint="eastAsia" w:ascii="楷体" w:hAnsi="楷体" w:eastAsia="楷体"/>
          <w:b/>
          <w:spacing w:val="-2"/>
          <w:sz w:val="32"/>
          <w:szCs w:val="32"/>
          <w:lang w:eastAsia="zh-CN"/>
        </w:rPr>
        <w:t>）</w:t>
      </w:r>
      <w:r>
        <w:rPr>
          <w:rFonts w:hint="eastAsia" w:ascii="楷体" w:hAnsi="楷体" w:eastAsia="楷体"/>
          <w:b/>
          <w:spacing w:val="-2"/>
          <w:sz w:val="32"/>
          <w:szCs w:val="32"/>
        </w:rPr>
        <w:t>关于机关运行经费支出说明</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本部门2022年度机关运行经费支出  386.07 万元，比年初预算数增加 266.07万元，增长221.73%。主要原因是：人员增加，各项收支增加。</w:t>
      </w:r>
    </w:p>
    <w:p>
      <w:pPr>
        <w:pStyle w:val="4"/>
        <w:ind w:firstLine="600" w:firstLineChars="200"/>
        <w:rPr>
          <w:rFonts w:hint="eastAsia" w:ascii="宋体" w:hAnsi="宋体" w:eastAsia="宋体" w:cs="宋体"/>
          <w:color w:val="auto"/>
          <w:kern w:val="2"/>
          <w:sz w:val="30"/>
          <w:szCs w:val="30"/>
          <w:lang w:eastAsia="zh-CN"/>
        </w:rPr>
      </w:pPr>
    </w:p>
    <w:p>
      <w:pPr>
        <w:pStyle w:val="4"/>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三、部门专项组织实施情况</w:t>
      </w:r>
    </w:p>
    <w:p>
      <w:pPr>
        <w:pStyle w:val="4"/>
        <w:ind w:firstLine="635" w:firstLineChars="200"/>
        <w:rPr>
          <w:rFonts w:hint="eastAsia" w:ascii="楷体" w:hAnsi="楷体" w:eastAsia="楷体"/>
          <w:b/>
          <w:spacing w:val="-2"/>
          <w:sz w:val="32"/>
          <w:szCs w:val="32"/>
          <w:lang w:eastAsia="zh-CN"/>
        </w:rPr>
      </w:pPr>
      <w:r>
        <w:rPr>
          <w:rFonts w:hint="eastAsia" w:ascii="楷体" w:hAnsi="楷体" w:eastAsia="楷体"/>
          <w:b/>
          <w:spacing w:val="-2"/>
          <w:sz w:val="32"/>
          <w:szCs w:val="32"/>
          <w:lang w:eastAsia="zh-CN"/>
        </w:rPr>
        <w:t>（一）专项组织情况分析</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我单位按项目管理的商品和服务支出均用在专项经费支出上，对该项目的资金通过了财政预算审批拨付程序，用于专项商品和服务开支。</w:t>
      </w:r>
    </w:p>
    <w:p>
      <w:pPr>
        <w:pStyle w:val="4"/>
        <w:ind w:firstLine="635" w:firstLineChars="200"/>
        <w:rPr>
          <w:rFonts w:hint="eastAsia" w:ascii="楷体" w:hAnsi="楷体" w:eastAsia="楷体"/>
          <w:b/>
          <w:spacing w:val="-2"/>
          <w:sz w:val="32"/>
          <w:szCs w:val="32"/>
        </w:rPr>
      </w:pPr>
      <w:r>
        <w:rPr>
          <w:rFonts w:hint="eastAsia" w:ascii="楷体" w:hAnsi="楷体" w:eastAsia="楷体"/>
          <w:b/>
          <w:spacing w:val="-2"/>
          <w:sz w:val="32"/>
          <w:szCs w:val="32"/>
        </w:rPr>
        <w:t>（二）专项管理情况分析</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为切实规范专项资金管理，保障资金安全、高效运行，发挥资金使用效益，特制定以下管理制度：</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1.专项资金实行“专人管理、专户储存、专账核算、专项使用”；</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资金的拨付本着专款专用的原则，严格执行项目资金批准的使用计划和项目批复内容，不准擅自调项、扩项、缩项，更不准拆借、挪用、挤占和随意扣压；资金拨付动向，按不同专项资金的要求执行，不准任意改变；特殊情况，必须请示；</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3.严格专项资金初审、审核、审核制度，不准缺项和越程序办理手续，专项资金审批程序以该专项资金审批表所列内容和文件要求为准；</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4.专项资金报账拨付要附真实、有效、合法的凭证。</w:t>
      </w:r>
    </w:p>
    <w:p>
      <w:pPr>
        <w:pStyle w:val="4"/>
        <w:rPr>
          <w:rFonts w:hint="eastAsia" w:ascii="Times New Roman" w:hAnsi="Times New Roman" w:eastAsia="仿宋_GB2312" w:cs="Times New Roman"/>
          <w:color w:val="auto"/>
          <w:kern w:val="2"/>
          <w:sz w:val="30"/>
          <w:szCs w:val="30"/>
          <w:lang w:val="en-US" w:eastAsia="zh-CN" w:bidi="ar-SA"/>
        </w:rPr>
      </w:pPr>
    </w:p>
    <w:p>
      <w:pPr>
        <w:pStyle w:val="4"/>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四、资产管理情况</w:t>
      </w:r>
    </w:p>
    <w:p>
      <w:pPr>
        <w:pStyle w:val="4"/>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截至2022年12月31日，本单位共有车辆  1 辆，其中，主要领导干部用车 1   辆，机要通信用车   0 辆、应急保障用车  0  辆、执法执勤用车   0 辆、特种专业技术用车  0  辆；单位价值50万元以上通用设备  0  台（套）；单位价值100万元以上专用设备  0  台（套）。</w:t>
      </w: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五、部门整体支出绩效情况</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部门整体支出绩效评价分析包括：1.投入情况分析，包括预算编制、目标设定分析等；2.执行管理情况分析，包括资金执行进度、调整情况、成本控制情况分析及项目完成进度情况等；3.支出绩效情况分析，包括基本支出和项目支出的运行效果情况等。</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黄溪口镇政府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乡不断改善行政管理、严格经费及资产管理；做好防汛抗旱、防治大气污染、疫情防控、人居环境整治工作；督促和指导乡村抓好基础管理工作和安全生产工作；改进文风会风，精简会议，提高了行政效率，各方面工作得到社会大众的肯定和好评，在年度绩效考核中成绩取得进一步提升。</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六、存在的主要问题</w:t>
      </w:r>
    </w:p>
    <w:p>
      <w:pPr>
        <w:numPr>
          <w:ilvl w:val="0"/>
          <w:numId w:val="0"/>
        </w:numPr>
        <w:adjustRightInd w:val="0"/>
        <w:snapToGrid w:val="0"/>
        <w:spacing w:line="540" w:lineRule="atLeast"/>
        <w:ind w:firstLine="640" w:firstLineChars="200"/>
        <w:rPr>
          <w:rFonts w:hint="eastAsia" w:ascii="Times New Roman" w:hAnsi="Times New Roman" w:eastAsia="仿宋_GB2312" w:cs="Times New Roman"/>
          <w:color w:val="auto"/>
          <w:kern w:val="2"/>
          <w:sz w:val="30"/>
          <w:szCs w:val="30"/>
          <w:lang w:val="en-US" w:eastAsia="zh-CN" w:bidi="ar-SA"/>
        </w:rPr>
      </w:pPr>
      <w:r>
        <w:rPr>
          <w:rFonts w:hint="default" w:ascii="Times New Roman" w:hAnsi="Times New Roman" w:eastAsia="Times New Roman"/>
          <w:b/>
          <w:sz w:val="32"/>
          <w:szCs w:val="24"/>
          <w:lang w:val="en-US"/>
        </w:rPr>
        <w:t xml:space="preserve"> </w:t>
      </w:r>
      <w:r>
        <w:rPr>
          <w:rFonts w:hint="default" w:ascii="Times New Roman" w:hAnsi="Times New Roman" w:eastAsia="仿宋_GB2312" w:cs="Times New Roman"/>
          <w:color w:val="auto"/>
          <w:kern w:val="2"/>
          <w:sz w:val="30"/>
          <w:szCs w:val="30"/>
          <w:lang w:val="en-US" w:eastAsia="zh-CN" w:bidi="ar-SA"/>
        </w:rPr>
        <w:t xml:space="preserve"> </w:t>
      </w:r>
      <w:r>
        <w:rPr>
          <w:rFonts w:hint="eastAsia" w:ascii="Times New Roman" w:hAnsi="Times New Roman" w:eastAsia="仿宋_GB2312" w:cs="Times New Roman"/>
          <w:color w:val="auto"/>
          <w:kern w:val="2"/>
          <w:sz w:val="30"/>
          <w:szCs w:val="30"/>
          <w:lang w:val="en-US" w:eastAsia="zh-CN" w:bidi="ar-SA"/>
        </w:rPr>
        <w:t>一、当前行政事业单位预算执行所存在的问题和不足</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（1）预算执行与预算编制存在较大差异</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由于财政部门与各预算部门之间的职能和分工不同，财政部门掌握信息与预算单位存在不对称，财政部门难以准确掌握各预算单位的职责，对单位自编项目不能提出很好的建议，有的单位缺乏工作预见性，主观臆断编制项目，项目预算与工作计划脱节，一些支出项目超支严重，而另一些支出项目结余过大，因此结余的项目造成大量资金闲置，同时需要用的项目又没有纳入当年预算中，造成项目支出完成情况与年初预算存在很大差异，财政资金使用效益未能完全显现。</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（2）未按规定执行项目支出预算</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项目预算的执行情况关系到财政资金的使用效益和国有资产的安全完整性。有的单位在预算执行过程中存在挪用项目资金，用于职工福利或其他日常开支；未经批准，自行调整项目支出预算；未经批准，将国家建设项目资金用开其他项目；对政府投资的基本建设项目搞超概算投资，包括未经批准擅自增加建设内容、提高建设标准、扩大建设面积造成实际投资超出概算等现象，削弱了部门预算的控制力。</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（3）预算执行分析不够全面深入</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分析是财政预算执行情况的总结，一些单位的预算执行分析仅停留简单的数据汇总，没有从全方位、多层次、多角度反映财政支出状况，未对财政支出结构及变化趋势进行判断，未实现部门预算与执行分析的有机结合，不能为领导决策提供科学的参考依据。</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二、部门预算执行产生问题的原因分析</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（1）预算编制欠规范</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不到位与预算编制的科学性、合理性相关。有的单位在预算编制过程中没有合理地编报预算，出现少报、漏报其他来源收入的情况；有的单位多报人员编制或实有人数造成基本支出预算不真实、项目支出预算明显超过实际需求造成“小项目大预算”；项目预算编制不细化，项目预算未落实至具体执行单位和具体项目；拟动用的上年结余而未编入预算等现象，导致大量资金闲置和浪费。</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（2）预算执行不到位</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编制部门预算，就是要使各预算部门的工作根据预算走，认真落执行部门预算。有的单位没有严格按照预算的口径进行经济事项的铺排、严格控制支出，仍按照以往的经验管理和使用预算资金，支出随意性较大，造成部门预算执行不到位，弱化了预算约束的刚性；有的单位预算编制人员与预算执行人员缺乏沟通，造成预算指标内容与核算内容分离，功能科目与经济科目混淆，项目核算张冠李戴等，也会影响预算执行。</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（3）预算执行分析不深入</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分析是对预算收支活动全过程的分析，以及时掌握预算收支状况，发现和解决预算执行中存在的问题，保证预算顺利执行。一些单位对预算执行分析的重要性认识不够，为分析而分析，没有达到应有效果；另外，一些单位财务人员素质参差不齐，未按政府收支分类科目对各经济事项进行明细核算，会计核算未能满足预算执行分析对基础数据的需求。</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p>
    <w:p>
      <w:pPr>
        <w:numPr>
          <w:ilvl w:val="0"/>
          <w:numId w:val="0"/>
        </w:numPr>
        <w:adjustRightInd w:val="0"/>
        <w:snapToGrid w:val="0"/>
        <w:spacing w:line="540" w:lineRule="atLeast"/>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七、改进措施和有关建议</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（1）加强预算编制管理，夯实预算执行基础</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编制对于预算执行的真实性和合法性以及预算资金管理和使用的经济性、效率性和效果性有着根源性的影响，具体可从三个方面进行考虑：一是强化预算编制的真实性，即部门预算收支的测算要以履行部门职能的需要为依据，每一项收支项目数字的测算须依据实际或计划的基础数据，运用科学合理的方法进行测算。二是提高预算编制的合法性，部门预算编制须符合预算法和国家相关法律、法规的规定，符合国家有关经济社会发展的各项方针、政策，在法律赋予部门的职能范围内。三是注重预算编制的科学性、完整性。即部门预算须遵循量入为出、收支平衡的原则，稳妥可靠，采取有效的程序和方法合理安排各项资金，达到综合预算、不偏不漏。</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（2）增强法治意识，强化预算执行的严肃性</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各级财政部门和预算单位要以科学发展观为统领，充分认识加强预算执行管理的重要意义，牢固树立“分配与管理并重、投入与绩效并重”的理念，加强领导，充实必要人员，提高管理水平，加强制度和规范建设；部门预算一经批复，各预算单位必须严格遵照执行，按预算安排规定的项目和用途使用预算资金，不能突破支出预算，并要确保专款专用，提高资金使用效益。部门一般不作调整，确实需要调整的，应当按照程序报批，不能擅自调整。</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（3）加强预算执行分析，提高运行效率和使用效益</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分析是加强预算收支管理、促进预算收支目标任务全面完成的重要手段，是整个财政预算执行工作的重要组成部分。各单位要高度重视预算执行分析工作，认识到做好财政预算执行分析工作的重要意义，牢牢把握预算执行分析工作真实性、及时性和全面性的要求，及时跟踪预算执行动态变化过程，重点研究预算执行过程中出现的各种问题，强化预算执行全过程的管理，提供详实准确的预算执行数据，并准确预测预算收支的发展趋势，进一步提高财政预算的管理和决策水平。</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p>
    <w:p>
      <w:pPr>
        <w:numPr>
          <w:ilvl w:val="0"/>
          <w:numId w:val="3"/>
        </w:numPr>
        <w:adjustRightInd w:val="0"/>
        <w:snapToGrid w:val="0"/>
        <w:spacing w:line="540" w:lineRule="atLeast"/>
        <w:rPr>
          <w:rFonts w:hint="default"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绩效目标完成情况</w:t>
      </w:r>
    </w:p>
    <w:p>
      <w:pPr>
        <w:shd w:val="clear" w:color="auto" w:fill="FFFFFF"/>
        <w:spacing w:after="360" w:line="480" w:lineRule="atLeast"/>
        <w:ind w:firstLine="640"/>
        <w:jc w:val="left"/>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2022年我单位预算绩效管理工作在财政部门指导下、在</w:t>
      </w:r>
      <w:r>
        <w:rPr>
          <w:rFonts w:hint="eastAsia" w:eastAsia="仿宋_GB2312" w:cs="Times New Roman"/>
          <w:color w:val="auto"/>
          <w:kern w:val="2"/>
          <w:sz w:val="30"/>
          <w:szCs w:val="30"/>
          <w:lang w:val="en-US" w:eastAsia="zh-CN" w:bidi="ar-SA"/>
        </w:rPr>
        <w:t>镇</w:t>
      </w:r>
      <w:r>
        <w:rPr>
          <w:rFonts w:hint="eastAsia" w:ascii="Times New Roman" w:hAnsi="Times New Roman" w:eastAsia="仿宋_GB2312" w:cs="Times New Roman"/>
          <w:color w:val="auto"/>
          <w:kern w:val="2"/>
          <w:sz w:val="30"/>
          <w:szCs w:val="30"/>
          <w:lang w:val="en-US" w:eastAsia="zh-CN" w:bidi="ar-SA"/>
        </w:rPr>
        <w:t>领导的重视下，我</w:t>
      </w:r>
      <w:r>
        <w:rPr>
          <w:rFonts w:hint="eastAsia" w:eastAsia="仿宋_GB2312" w:cs="Times New Roman"/>
          <w:color w:val="auto"/>
          <w:kern w:val="2"/>
          <w:sz w:val="30"/>
          <w:szCs w:val="30"/>
          <w:lang w:val="en-US" w:eastAsia="zh-CN" w:bidi="ar-SA"/>
        </w:rPr>
        <w:t>镇</w:t>
      </w:r>
      <w:bookmarkStart w:id="0" w:name="_GoBack"/>
      <w:bookmarkEnd w:id="0"/>
      <w:r>
        <w:rPr>
          <w:rFonts w:hint="eastAsia" w:ascii="Times New Roman" w:hAnsi="Times New Roman" w:eastAsia="仿宋_GB2312" w:cs="Times New Roman"/>
          <w:color w:val="auto"/>
          <w:kern w:val="2"/>
          <w:sz w:val="30"/>
          <w:szCs w:val="30"/>
          <w:lang w:val="en-US" w:eastAsia="zh-CN" w:bidi="ar-SA"/>
        </w:rPr>
        <w:t>对本单位整体支出绩效开展了自评完善。绩效评价结果显示，我镇2022年度绩效目标完成较好。在预算编制、预算执行、预算管理等方面效果较好。同时完善了预算绩效考核内部制度的建设，从预算编制源头抓起，进一步落实。强化预算绩效意识和支出责任，一切严格按照年初的预算执行。</w:t>
      </w:r>
    </w:p>
    <w:p>
      <w:pPr>
        <w:numPr>
          <w:ilvl w:val="0"/>
          <w:numId w:val="3"/>
        </w:numPr>
        <w:adjustRightInd w:val="0"/>
        <w:snapToGrid w:val="0"/>
        <w:spacing w:line="540" w:lineRule="atLeast"/>
        <w:rPr>
          <w:rFonts w:hint="default"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本年度部门决算等财务工作开展情况</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（一）本部门（单位）财务管理、决算组织、编报、审核情况。</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本单位对财务管理进行规范化，同财政部门及时沟通学习，积极进行财政部门组织的决算、编报、审核等方面工作按时完成，认真如实填报。</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（二）本部门（单位）决算公开工作、主管部门对所属单位按规定批复决算工作开展情况。</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本单位对预算和决算公开工作、及主管部门对所属单位按规定批复决算的各项工作按规定认真执行，该填制及时填制，该公开及时公开，该上报及时上报。</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（三）对部门（单位）决算管理及报表设计的意见建议。</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建议增强对财务人员的专业素质培养，日常加大培训力度。</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（四）对加强部门决算数据分析利用工作的建议。</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要从整体角度分析，加强对部门决算数据的分析，增强对决算数据质量的监管，推动单位的有序发展。</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p>
    <w:p>
      <w:pPr>
        <w:numPr>
          <w:ilvl w:val="0"/>
          <w:numId w:val="0"/>
        </w:numPr>
        <w:adjustRightInd w:val="0"/>
        <w:snapToGrid w:val="0"/>
        <w:spacing w:line="540" w:lineRule="atLeast"/>
        <w:ind w:firstLine="723" w:firstLineChars="200"/>
        <w:rPr>
          <w:rFonts w:hint="eastAsia" w:ascii="Times New Roman" w:hAnsi="Times New Roman" w:eastAsia="宋体" w:cs="Times New Roman"/>
          <w:b/>
          <w:color w:val="auto"/>
          <w:kern w:val="2"/>
          <w:sz w:val="36"/>
          <w:szCs w:val="36"/>
          <w:lang w:val="en-US" w:eastAsia="zh-CN" w:bidi="ar-SA"/>
        </w:rPr>
      </w:pPr>
      <w:r>
        <w:rPr>
          <w:rFonts w:hint="eastAsia" w:ascii="Times New Roman" w:hAnsi="Times New Roman" w:eastAsia="宋体" w:cs="Times New Roman"/>
          <w:b/>
          <w:color w:val="auto"/>
          <w:kern w:val="2"/>
          <w:sz w:val="36"/>
          <w:szCs w:val="36"/>
          <w:lang w:val="en-US" w:eastAsia="zh-CN" w:bidi="ar-SA"/>
        </w:rPr>
        <w:t xml:space="preserve">                       </w:t>
      </w:r>
    </w:p>
    <w:p>
      <w:pPr>
        <w:numPr>
          <w:ilvl w:val="0"/>
          <w:numId w:val="0"/>
        </w:numPr>
        <w:adjustRightInd w:val="0"/>
        <w:snapToGrid w:val="0"/>
        <w:spacing w:line="540" w:lineRule="atLeast"/>
        <w:rPr>
          <w:rFonts w:hint="eastAsia" w:ascii="仿宋" w:hAnsi="仿宋" w:eastAsia="仿宋" w:cs="仿宋"/>
          <w:kern w:val="0"/>
          <w:sz w:val="30"/>
          <w:szCs w:val="30"/>
          <w:lang w:val="en-US" w:eastAsia="zh-CN"/>
        </w:rPr>
      </w:pPr>
    </w:p>
    <w:p>
      <w:pPr>
        <w:numPr>
          <w:ilvl w:val="0"/>
          <w:numId w:val="0"/>
        </w:numPr>
        <w:adjustRightInd w:val="0"/>
        <w:snapToGrid w:val="0"/>
        <w:spacing w:line="540" w:lineRule="atLeast"/>
        <w:ind w:firstLine="5100" w:firstLineChars="1700"/>
        <w:rPr>
          <w:rFonts w:hint="eastAsia" w:ascii="仿宋" w:hAnsi="仿宋" w:eastAsia="仿宋" w:cs="仿宋"/>
          <w:kern w:val="0"/>
          <w:sz w:val="30"/>
          <w:szCs w:val="30"/>
          <w:lang w:val="en-US" w:eastAsia="zh-CN"/>
        </w:rPr>
      </w:pPr>
    </w:p>
    <w:p>
      <w:pPr>
        <w:numPr>
          <w:ilvl w:val="0"/>
          <w:numId w:val="0"/>
        </w:numPr>
        <w:adjustRightInd w:val="0"/>
        <w:snapToGrid w:val="0"/>
        <w:spacing w:line="540" w:lineRule="atLeast"/>
        <w:ind w:firstLine="4800" w:firstLineChars="16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辰溪县黄溪口镇人民政府</w:t>
      </w:r>
    </w:p>
    <w:p>
      <w:pPr>
        <w:numPr>
          <w:ilvl w:val="0"/>
          <w:numId w:val="0"/>
        </w:numPr>
        <w:adjustRightInd w:val="0"/>
        <w:snapToGrid w:val="0"/>
        <w:spacing w:line="540" w:lineRule="atLeast"/>
        <w:ind w:firstLine="5400" w:firstLineChars="18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2023年3月14日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Arial Unicode MS"/>
    <w:panose1 w:val="02010609030101010101"/>
    <w:charset w:val="86"/>
    <w:family w:val="modern"/>
    <w:pitch w:val="default"/>
    <w:sig w:usb0="00000000" w:usb1="0000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
    <w:altName w:val="宋体"/>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C817A8"/>
    <w:multiLevelType w:val="singleLevel"/>
    <w:tmpl w:val="97C817A8"/>
    <w:lvl w:ilvl="0" w:tentative="0">
      <w:start w:val="1"/>
      <w:numFmt w:val="decimal"/>
      <w:suff w:val="nothing"/>
      <w:lvlText w:val="%1、"/>
      <w:lvlJc w:val="left"/>
    </w:lvl>
  </w:abstractNum>
  <w:abstractNum w:abstractNumId="1">
    <w:nsid w:val="9A440490"/>
    <w:multiLevelType w:val="singleLevel"/>
    <w:tmpl w:val="9A440490"/>
    <w:lvl w:ilvl="0" w:tentative="0">
      <w:start w:val="8"/>
      <w:numFmt w:val="chineseCounting"/>
      <w:suff w:val="nothing"/>
      <w:lvlText w:val="%1、"/>
      <w:lvlJc w:val="left"/>
      <w:rPr>
        <w:rFonts w:hint="eastAsia"/>
      </w:rPr>
    </w:lvl>
  </w:abstractNum>
  <w:abstractNum w:abstractNumId="2">
    <w:nsid w:val="B21989BD"/>
    <w:multiLevelType w:val="singleLevel"/>
    <w:tmpl w:val="B21989BD"/>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ZDE2MzExNjVlNjNjODNjN2MyNmIyNmM0NDc1NjEifQ=="/>
  </w:docVars>
  <w:rsids>
    <w:rsidRoot w:val="00000000"/>
    <w:rsid w:val="03F11C32"/>
    <w:rsid w:val="10806817"/>
    <w:rsid w:val="11A46ABB"/>
    <w:rsid w:val="144D5F88"/>
    <w:rsid w:val="1CF2284B"/>
    <w:rsid w:val="1D923D45"/>
    <w:rsid w:val="246D6C5B"/>
    <w:rsid w:val="27AC1848"/>
    <w:rsid w:val="2BA74800"/>
    <w:rsid w:val="2D5C786C"/>
    <w:rsid w:val="2D7B23E8"/>
    <w:rsid w:val="32D15AD9"/>
    <w:rsid w:val="33423060"/>
    <w:rsid w:val="34222DD4"/>
    <w:rsid w:val="376551CB"/>
    <w:rsid w:val="390B0AC4"/>
    <w:rsid w:val="39D51F62"/>
    <w:rsid w:val="3A664CE8"/>
    <w:rsid w:val="3C5F4C83"/>
    <w:rsid w:val="41524DB6"/>
    <w:rsid w:val="42154762"/>
    <w:rsid w:val="435A7F52"/>
    <w:rsid w:val="43D77EA0"/>
    <w:rsid w:val="4420354E"/>
    <w:rsid w:val="461940F5"/>
    <w:rsid w:val="4DC169F3"/>
    <w:rsid w:val="50D47596"/>
    <w:rsid w:val="516815EF"/>
    <w:rsid w:val="5228311F"/>
    <w:rsid w:val="59CD1C77"/>
    <w:rsid w:val="668F1B3D"/>
    <w:rsid w:val="6B106FC5"/>
    <w:rsid w:val="6D792DBA"/>
    <w:rsid w:val="722C38F1"/>
    <w:rsid w:val="725C61E7"/>
    <w:rsid w:val="75E43528"/>
    <w:rsid w:val="76DD4B47"/>
    <w:rsid w:val="7B553327"/>
    <w:rsid w:val="7C9E2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5">
    <w:name w:val="fontstyle01"/>
    <w:basedOn w:val="3"/>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8011</Words>
  <Characters>8392</Characters>
  <Lines>0</Lines>
  <Paragraphs>0</Paragraphs>
  <TotalTime>5</TotalTime>
  <ScaleCrop>false</ScaleCrop>
  <LinksUpToDate>false</LinksUpToDate>
  <CharactersWithSpaces>8525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2023-03-14T09:52:00Z</dcterms:created>
  <dc:creator>Administrator</dc:creator>
  <cp:lastModifiedBy>Administrator</cp:lastModifiedBy>
  <cp:lastPrinted>2023-03-21T03:08:00Z</cp:lastPrinted>
  <dcterms:modified xsi:type="dcterms:W3CDTF">2023-09-22T03:19:16Z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C5869D3850874A1EA361D023B40D74BB</vt:lpwstr>
  </property>
</Properties>
</file>