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eastAsia="Times New Roman"/>
          <w:sz w:val="36"/>
          <w:szCs w:val="24"/>
          <w:lang w:val="zh-CN"/>
        </w:rPr>
      </w:pPr>
      <w:r>
        <w:rPr>
          <w:rFonts w:hint="eastAsia" w:ascii="方正小标宋_GBK" w:hAnsi="方正小标宋_GBK" w:eastAsia="方正小标宋_GBK"/>
          <w:sz w:val="36"/>
          <w:szCs w:val="24"/>
          <w:lang w:val="zh-CN" w:eastAsia="zh-CN"/>
        </w:rPr>
        <w:t>辰溪县桥头溪乡</w:t>
      </w:r>
      <w:r>
        <w:rPr>
          <w:rFonts w:hint="eastAsia" w:ascii="方正小标宋_GBK" w:hAnsi="方正小标宋_GBK" w:eastAsia="方正小标宋_GBK"/>
          <w:sz w:val="36"/>
          <w:szCs w:val="24"/>
          <w:lang w:val="zh-CN"/>
        </w:rPr>
        <w:t>人民政府决算支出绩效报告</w:t>
      </w:r>
    </w:p>
    <w:p>
      <w:pPr>
        <w:spacing w:line="600" w:lineRule="exact"/>
        <w:ind w:right="641"/>
        <w:rPr>
          <w:rFonts w:hint="default" w:eastAsia="Times New Roman"/>
          <w:sz w:val="32"/>
          <w:szCs w:val="24"/>
          <w:lang w:val="zh-CN"/>
        </w:rPr>
      </w:pPr>
    </w:p>
    <w:p>
      <w:pPr>
        <w:spacing w:line="600" w:lineRule="exact"/>
        <w:ind w:firstLine="640"/>
        <w:rPr>
          <w:rFonts w:hint="default" w:eastAsia="Times New Roman"/>
          <w:sz w:val="32"/>
          <w:szCs w:val="24"/>
          <w:lang w:val="zh-CN"/>
        </w:rPr>
      </w:pPr>
      <w:r>
        <w:rPr>
          <w:rFonts w:hint="eastAsia" w:ascii="黑体" w:hAnsi="黑体" w:eastAsia="黑体"/>
          <w:sz w:val="32"/>
          <w:szCs w:val="24"/>
          <w:lang w:val="zh-CN"/>
        </w:rPr>
        <w:t>一、决算支出概况</w:t>
      </w:r>
    </w:p>
    <w:p>
      <w:pPr>
        <w:spacing w:line="600" w:lineRule="exact"/>
        <w:ind w:firstLine="640"/>
        <w:rPr>
          <w:rFonts w:hint="eastAsia" w:ascii="仿宋_GB2312" w:hAnsi="仿宋_GB2312" w:eastAsia="仿宋_GB2312"/>
          <w:sz w:val="32"/>
          <w:szCs w:val="24"/>
          <w:lang w:val="zh-CN"/>
        </w:rPr>
      </w:pPr>
      <w:r>
        <w:rPr>
          <w:rFonts w:hint="eastAsia" w:ascii="仿宋_GB2312" w:hAnsi="仿宋_GB2312" w:eastAsia="仿宋_GB2312"/>
          <w:sz w:val="32"/>
          <w:szCs w:val="24"/>
          <w:lang w:val="zh-CN"/>
        </w:rPr>
        <w:t>（一）项目实施单位基本情况。</w:t>
      </w:r>
    </w:p>
    <w:p>
      <w:pPr>
        <w:pStyle w:val="2"/>
        <w:shd w:val="clear" w:color="auto" w:fill="FFFFFF"/>
        <w:spacing w:before="0" w:beforeAutospacing="0" w:after="225" w:afterAutospacing="0" w:line="510" w:lineRule="atLeast"/>
        <w:ind w:firstLine="960" w:firstLineChars="300"/>
        <w:jc w:val="both"/>
        <w:rPr>
          <w:rFonts w:hint="eastAsia" w:ascii="仿宋" w:hAnsi="仿宋" w:eastAsia="仿宋"/>
          <w:kern w:val="2"/>
          <w:sz w:val="32"/>
          <w:szCs w:val="24"/>
          <w:lang w:val="en-US"/>
        </w:rPr>
      </w:pPr>
      <w:r>
        <w:rPr>
          <w:rFonts w:hint="eastAsia" w:ascii="仿宋" w:hAnsi="仿宋" w:eastAsia="仿宋"/>
          <w:kern w:val="2"/>
          <w:sz w:val="32"/>
          <w:szCs w:val="24"/>
          <w:lang w:val="en-US"/>
        </w:rPr>
        <w:t>辰溪县桥头溪乡人民政府基本职能：承担促进经济发展、搞好公共服务、加强社会管理、维护社会稳定等综合职能。具体职能如下：1、认真贯彻国家的方针政策、法律、法规，严格遵循财经纪律和各项规章制度。2、执行本级人民代表大会的决议和上级国家行政机关的决定和命令。3、执行本行政区域内的经济和社会发展计划、</w:t>
      </w:r>
      <w:r>
        <w:rPr>
          <w:rFonts w:hint="eastAsia" w:ascii="仿宋" w:hAnsi="仿宋" w:eastAsia="仿宋"/>
          <w:kern w:val="2"/>
          <w:sz w:val="32"/>
          <w:szCs w:val="24"/>
          <w:lang w:val="en-US" w:eastAsia="zh-CN"/>
        </w:rPr>
        <w:t>决算</w:t>
      </w:r>
      <w:r>
        <w:rPr>
          <w:rFonts w:hint="eastAsia" w:ascii="仿宋" w:hAnsi="仿宋" w:eastAsia="仿宋"/>
          <w:kern w:val="2"/>
          <w:sz w:val="32"/>
          <w:szCs w:val="24"/>
          <w:lang w:val="en-US"/>
        </w:rPr>
        <w:t>，管理本行政区域内的经济、教育、科学、文化、卫健、体育事业和财政、民政、司法行政等行政工作。4、保护社会主义的全民所有的财产和劳动群众集体所有的财产，保护公民私人所有的合法财产，维护社会秩序，保障公民的人身权利、民主权利和其他权利。5、保护各种经济组织的合法权益。6、办理上级人民政府交办的其他事项。</w:t>
      </w:r>
    </w:p>
    <w:p>
      <w:pPr>
        <w:pStyle w:val="2"/>
        <w:shd w:val="clear" w:color="auto" w:fill="FFFFFF"/>
        <w:spacing w:before="0" w:beforeAutospacing="0" w:after="225" w:afterAutospacing="0" w:line="510" w:lineRule="atLeast"/>
        <w:ind w:firstLine="420"/>
        <w:jc w:val="both"/>
        <w:rPr>
          <w:rFonts w:hint="eastAsia" w:ascii="仿宋" w:hAnsi="仿宋" w:eastAsia="仿宋"/>
          <w:kern w:val="2"/>
          <w:sz w:val="32"/>
          <w:szCs w:val="24"/>
          <w:lang w:val="en-US"/>
        </w:rPr>
      </w:pPr>
      <w:r>
        <w:rPr>
          <w:rFonts w:hint="eastAsia" w:ascii="仿宋" w:hAnsi="仿宋" w:eastAsia="仿宋"/>
          <w:kern w:val="2"/>
          <w:sz w:val="32"/>
          <w:szCs w:val="24"/>
          <w:lang w:val="en-US"/>
        </w:rPr>
        <w:t>人员情况：截至</w:t>
      </w:r>
      <w:r>
        <w:rPr>
          <w:rFonts w:hint="eastAsia" w:ascii="仿宋" w:hAnsi="仿宋" w:eastAsia="仿宋"/>
          <w:kern w:val="2"/>
          <w:sz w:val="32"/>
          <w:szCs w:val="24"/>
          <w:lang w:val="en-US" w:eastAsia="zh-CN"/>
        </w:rPr>
        <w:t>2020</w:t>
      </w:r>
      <w:r>
        <w:rPr>
          <w:rFonts w:hint="eastAsia" w:ascii="仿宋" w:hAnsi="仿宋" w:eastAsia="仿宋"/>
          <w:kern w:val="2"/>
          <w:sz w:val="32"/>
          <w:szCs w:val="24"/>
          <w:lang w:val="en-US"/>
        </w:rPr>
        <w:t>年底，桥头溪乡人民政府核定人员编制49人，行政编制22人，事业编制25人；实际在编42人（行政编制22人，事业编制2</w:t>
      </w:r>
      <w:r>
        <w:rPr>
          <w:rFonts w:hint="eastAsia" w:ascii="仿宋" w:hAnsi="仿宋" w:eastAsia="仿宋"/>
          <w:kern w:val="2"/>
          <w:sz w:val="32"/>
          <w:szCs w:val="24"/>
          <w:lang w:val="en-US" w:eastAsia="zh-CN"/>
        </w:rPr>
        <w:t>1</w:t>
      </w:r>
      <w:r>
        <w:rPr>
          <w:rFonts w:hint="eastAsia" w:ascii="仿宋" w:hAnsi="仿宋" w:eastAsia="仿宋"/>
          <w:kern w:val="2"/>
          <w:sz w:val="32"/>
          <w:szCs w:val="24"/>
          <w:lang w:val="en-US"/>
        </w:rPr>
        <w:t>人），财政实际供给4</w:t>
      </w:r>
      <w:r>
        <w:rPr>
          <w:rFonts w:hint="eastAsia" w:ascii="仿宋" w:hAnsi="仿宋" w:eastAsia="仿宋"/>
          <w:kern w:val="2"/>
          <w:sz w:val="32"/>
          <w:szCs w:val="24"/>
          <w:lang w:val="en-US" w:eastAsia="zh-CN"/>
        </w:rPr>
        <w:t>3</w:t>
      </w:r>
      <w:r>
        <w:rPr>
          <w:rFonts w:hint="eastAsia" w:ascii="仿宋" w:hAnsi="仿宋" w:eastAsia="仿宋"/>
          <w:kern w:val="2"/>
          <w:sz w:val="32"/>
          <w:szCs w:val="24"/>
          <w:lang w:val="en-US"/>
        </w:rPr>
        <w:t>人。</w:t>
      </w:r>
    </w:p>
    <w:p>
      <w:pPr>
        <w:spacing w:line="600" w:lineRule="exact"/>
        <w:ind w:firstLine="640"/>
        <w:rPr>
          <w:rFonts w:hint="eastAsia" w:ascii="仿宋" w:hAnsi="仿宋" w:eastAsia="仿宋"/>
          <w:sz w:val="32"/>
          <w:szCs w:val="24"/>
          <w:lang w:val="zh-CN"/>
        </w:rPr>
      </w:pPr>
      <w:r>
        <w:rPr>
          <w:rFonts w:hint="eastAsia" w:ascii="仿宋" w:hAnsi="仿宋" w:eastAsia="仿宋"/>
          <w:sz w:val="32"/>
          <w:szCs w:val="24"/>
          <w:lang w:val="en-US"/>
        </w:rPr>
        <w:t>机构设置及资产情况：桥头溪乡人民政府属全额行政机关，是一级部门</w:t>
      </w:r>
      <w:r>
        <w:rPr>
          <w:rFonts w:hint="eastAsia" w:ascii="仿宋" w:hAnsi="仿宋" w:eastAsia="仿宋"/>
          <w:sz w:val="32"/>
          <w:szCs w:val="24"/>
          <w:lang w:val="en-US" w:eastAsia="zh-CN"/>
        </w:rPr>
        <w:t>决算</w:t>
      </w:r>
      <w:r>
        <w:rPr>
          <w:rFonts w:hint="eastAsia" w:ascii="仿宋" w:hAnsi="仿宋" w:eastAsia="仿宋"/>
          <w:sz w:val="32"/>
          <w:szCs w:val="24"/>
          <w:lang w:val="en-US"/>
        </w:rPr>
        <w:t>单位，根据编制部门机构改革批复方案，内设党政办公室、党建办公室、经济发展办公室、社会事务办公室、社会治安和应急管理办公室、自然资源和生态环境办公室、社会事务综合服务中心、农业综合服务中心、便民服务中心、综合行政执法大队、财政所。</w:t>
      </w:r>
    </w:p>
    <w:p>
      <w:pPr>
        <w:pStyle w:val="5"/>
        <w:spacing w:line="600" w:lineRule="exact"/>
        <w:ind w:left="640" w:firstLine="0" w:firstLineChars="0"/>
        <w:rPr>
          <w:rFonts w:hint="default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二、一般公共</w:t>
      </w:r>
      <w:r>
        <w:rPr>
          <w:rFonts w:hint="eastAsia" w:ascii="Times New Roman" w:hAnsi="Times New Roman" w:eastAsia="黑体"/>
          <w:sz w:val="32"/>
          <w:szCs w:val="24"/>
          <w:lang w:eastAsia="zh-CN"/>
        </w:rPr>
        <w:t>决算</w:t>
      </w:r>
      <w:r>
        <w:rPr>
          <w:rFonts w:hint="eastAsia" w:ascii="Times New Roman" w:hAnsi="Times New Roman" w:eastAsia="黑体"/>
          <w:sz w:val="32"/>
          <w:szCs w:val="24"/>
        </w:rPr>
        <w:t>支出情况</w:t>
      </w:r>
    </w:p>
    <w:p>
      <w:pPr>
        <w:pStyle w:val="5"/>
        <w:spacing w:line="600" w:lineRule="exact"/>
        <w:ind w:left="640" w:firstLine="0" w:firstLineChars="0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（一）基本支出情况</w:t>
      </w:r>
    </w:p>
    <w:p>
      <w:pPr>
        <w:pStyle w:val="5"/>
        <w:spacing w:line="600" w:lineRule="exact"/>
        <w:ind w:left="640" w:firstLine="640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宋体" w:hAnsi="宋体"/>
          <w:sz w:val="32"/>
          <w:szCs w:val="24"/>
          <w:lang w:val="en-US" w:eastAsia="zh-CN"/>
        </w:rPr>
        <w:t>2</w:t>
      </w:r>
      <w:r>
        <w:rPr>
          <w:rFonts w:hint="eastAsia" w:ascii="宋体" w:hAnsi="宋体"/>
          <w:sz w:val="32"/>
          <w:szCs w:val="24"/>
        </w:rPr>
        <w:t>020年度财政拨款基本支出</w:t>
      </w:r>
      <w:r>
        <w:rPr>
          <w:rFonts w:hint="eastAsia" w:ascii="宋体" w:hAnsi="宋体"/>
          <w:sz w:val="32"/>
          <w:szCs w:val="24"/>
          <w:lang w:val="en-US" w:eastAsia="zh-CN"/>
        </w:rPr>
        <w:t>682.62</w:t>
      </w:r>
      <w:r>
        <w:rPr>
          <w:rFonts w:hint="eastAsia" w:ascii="宋体" w:hAnsi="宋体"/>
          <w:sz w:val="32"/>
          <w:szCs w:val="24"/>
        </w:rPr>
        <w:t>万元，其中：人员经费</w:t>
      </w:r>
      <w:r>
        <w:rPr>
          <w:rFonts w:hint="eastAsia" w:ascii="宋体" w:hAnsi="宋体"/>
          <w:sz w:val="32"/>
          <w:szCs w:val="24"/>
          <w:lang w:val="en-US" w:eastAsia="zh-CN"/>
        </w:rPr>
        <w:t>493.91</w:t>
      </w:r>
      <w:r>
        <w:rPr>
          <w:rFonts w:hint="eastAsia" w:ascii="宋体" w:hAnsi="宋体"/>
          <w:sz w:val="32"/>
          <w:szCs w:val="24"/>
        </w:rPr>
        <w:t>万元，占基本支出的</w:t>
      </w:r>
      <w:r>
        <w:rPr>
          <w:rFonts w:hint="eastAsia" w:ascii="宋体" w:hAnsi="宋体"/>
          <w:sz w:val="32"/>
          <w:szCs w:val="24"/>
          <w:lang w:val="en-US" w:eastAsia="zh-CN"/>
        </w:rPr>
        <w:t>72.36</w:t>
      </w:r>
      <w:r>
        <w:rPr>
          <w:rFonts w:hint="eastAsia" w:ascii="宋体" w:hAnsi="宋体"/>
          <w:sz w:val="32"/>
          <w:szCs w:val="24"/>
        </w:rPr>
        <w:t>%,主要包括基本工资</w:t>
      </w:r>
      <w:r>
        <w:rPr>
          <w:rFonts w:hint="eastAsia" w:ascii="宋体" w:hAnsi="宋体"/>
          <w:sz w:val="32"/>
          <w:szCs w:val="24"/>
          <w:lang w:val="en-US" w:eastAsia="zh-CN"/>
        </w:rPr>
        <w:t>212.75万元</w:t>
      </w:r>
      <w:r>
        <w:rPr>
          <w:rFonts w:hint="eastAsia" w:ascii="宋体" w:hAnsi="宋体"/>
          <w:sz w:val="32"/>
          <w:szCs w:val="24"/>
        </w:rPr>
        <w:t>、津贴补贴</w:t>
      </w:r>
      <w:r>
        <w:rPr>
          <w:rFonts w:hint="eastAsia" w:ascii="宋体" w:hAnsi="宋体"/>
          <w:sz w:val="32"/>
          <w:szCs w:val="24"/>
          <w:lang w:val="en-US" w:eastAsia="zh-CN"/>
        </w:rPr>
        <w:t>21.53万元</w:t>
      </w:r>
      <w:r>
        <w:rPr>
          <w:rFonts w:hint="eastAsia" w:ascii="宋体" w:hAnsi="宋体"/>
          <w:sz w:val="32"/>
          <w:szCs w:val="24"/>
        </w:rPr>
        <w:t>、</w:t>
      </w:r>
      <w:r>
        <w:rPr>
          <w:rFonts w:hint="eastAsia" w:ascii="宋体" w:hAnsi="宋体"/>
          <w:sz w:val="32"/>
          <w:szCs w:val="24"/>
          <w:lang w:eastAsia="zh-CN"/>
        </w:rPr>
        <w:t>伙食补助费</w:t>
      </w:r>
      <w:r>
        <w:rPr>
          <w:rFonts w:hint="eastAsia" w:ascii="宋体" w:hAnsi="宋体"/>
          <w:sz w:val="32"/>
          <w:szCs w:val="24"/>
          <w:lang w:val="en-US" w:eastAsia="zh-CN"/>
        </w:rPr>
        <w:t>35.14万元、</w:t>
      </w:r>
      <w:r>
        <w:rPr>
          <w:rFonts w:hint="eastAsia" w:ascii="宋体" w:hAnsi="宋体"/>
          <w:sz w:val="32"/>
          <w:szCs w:val="24"/>
        </w:rPr>
        <w:t>奖金</w:t>
      </w:r>
      <w:r>
        <w:rPr>
          <w:rFonts w:hint="eastAsia" w:ascii="宋体" w:hAnsi="宋体"/>
          <w:sz w:val="32"/>
          <w:szCs w:val="24"/>
          <w:lang w:val="en-US" w:eastAsia="zh-CN"/>
        </w:rPr>
        <w:t>42.70万元</w:t>
      </w:r>
      <w:r>
        <w:rPr>
          <w:rFonts w:hint="eastAsia" w:ascii="宋体" w:hAnsi="宋体"/>
          <w:sz w:val="32"/>
          <w:szCs w:val="24"/>
        </w:rPr>
        <w:t>、</w:t>
      </w:r>
      <w:r>
        <w:rPr>
          <w:rFonts w:hint="eastAsia" w:ascii="宋体" w:hAnsi="宋体"/>
          <w:sz w:val="32"/>
          <w:szCs w:val="24"/>
          <w:lang w:val="en-US" w:eastAsia="zh-CN"/>
        </w:rPr>
        <w:t>绩效工资3.91万元、 机关事业单位基本养老保险缴费40.42万元、职业年金缴费2.21万元、职工基本医疗保险缴费19.75万元、其他社会保障缴费1.16万元、住房公积金6.27万元、其他工资福利支出27.18万元、抚恤金1.78万元、生活补助56.64万元、助学金0.1万元、其他对个人和家庭的补助22.37万元</w:t>
      </w:r>
      <w:r>
        <w:rPr>
          <w:rFonts w:hint="eastAsia" w:ascii="宋体" w:hAnsi="宋体"/>
          <w:sz w:val="32"/>
          <w:szCs w:val="24"/>
        </w:rPr>
        <w:t>；公用经费</w:t>
      </w:r>
      <w:r>
        <w:rPr>
          <w:rFonts w:hint="eastAsia" w:ascii="宋体" w:hAnsi="宋体"/>
          <w:sz w:val="32"/>
          <w:szCs w:val="24"/>
          <w:lang w:val="en-US" w:eastAsia="zh-CN"/>
        </w:rPr>
        <w:t>188.71</w:t>
      </w:r>
      <w:r>
        <w:rPr>
          <w:rFonts w:hint="eastAsia" w:ascii="宋体" w:hAnsi="宋体"/>
          <w:sz w:val="32"/>
          <w:szCs w:val="24"/>
        </w:rPr>
        <w:t>万元，占基本支出的</w:t>
      </w:r>
      <w:r>
        <w:rPr>
          <w:rFonts w:hint="eastAsia" w:ascii="宋体" w:hAnsi="宋体"/>
          <w:sz w:val="32"/>
          <w:szCs w:val="24"/>
          <w:lang w:val="en-US" w:eastAsia="zh-CN"/>
        </w:rPr>
        <w:t>27.64</w:t>
      </w:r>
      <w:r>
        <w:rPr>
          <w:rFonts w:hint="eastAsia" w:ascii="宋体" w:hAnsi="宋体"/>
          <w:sz w:val="32"/>
          <w:szCs w:val="24"/>
        </w:rPr>
        <w:t>%，主要包括办公费</w:t>
      </w:r>
      <w:r>
        <w:rPr>
          <w:rFonts w:hint="eastAsia" w:ascii="宋体" w:hAnsi="宋体"/>
          <w:sz w:val="32"/>
          <w:szCs w:val="24"/>
          <w:lang w:val="en-US" w:eastAsia="zh-CN"/>
        </w:rPr>
        <w:t>23.40万元</w:t>
      </w:r>
      <w:r>
        <w:rPr>
          <w:rFonts w:hint="eastAsia" w:ascii="宋体" w:hAnsi="宋体"/>
          <w:sz w:val="32"/>
          <w:szCs w:val="24"/>
        </w:rPr>
        <w:t>、印刷费</w:t>
      </w:r>
      <w:r>
        <w:rPr>
          <w:rFonts w:hint="eastAsia" w:ascii="宋体" w:hAnsi="宋体"/>
          <w:sz w:val="32"/>
          <w:szCs w:val="24"/>
          <w:lang w:val="en-US" w:eastAsia="zh-CN"/>
        </w:rPr>
        <w:t>26.22万元</w:t>
      </w:r>
      <w:r>
        <w:rPr>
          <w:rFonts w:hint="eastAsia" w:ascii="宋体" w:hAnsi="宋体"/>
          <w:sz w:val="32"/>
          <w:szCs w:val="24"/>
        </w:rPr>
        <w:t>、手续费</w:t>
      </w:r>
      <w:r>
        <w:rPr>
          <w:rFonts w:hint="eastAsia" w:ascii="宋体" w:hAnsi="宋体"/>
          <w:sz w:val="32"/>
          <w:szCs w:val="24"/>
          <w:lang w:val="en-US" w:eastAsia="zh-CN"/>
        </w:rPr>
        <w:t>0.0105万元、水费1万元、电费5.93万、邮电费0.25万元、差旅费12.43万元、维修（护）费0.68万元、会议费1.88万元、公务接待费12.21万元、专用材料费37.79万元、劳务费8.52万元、工会经费1万、公务用车运行维护费11.95万元、其他交通费用0.4万元、其他商品和服务支出45.04万元</w:t>
      </w:r>
      <w:r>
        <w:rPr>
          <w:rFonts w:hint="eastAsia" w:ascii="宋体" w:hAnsi="宋体"/>
          <w:sz w:val="32"/>
          <w:szCs w:val="24"/>
        </w:rPr>
        <w:t>。</w:t>
      </w:r>
    </w:p>
    <w:p>
      <w:pPr>
        <w:pStyle w:val="5"/>
        <w:spacing w:line="600" w:lineRule="exact"/>
        <w:ind w:left="640" w:firstLine="0" w:firstLineChars="0"/>
        <w:rPr>
          <w:rFonts w:hint="default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（二）项目支出情况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eastAsia" w:eastAsia="仿宋_GB2312"/>
          <w:sz w:val="32"/>
          <w:szCs w:val="24"/>
          <w:lang w:val="en-US" w:eastAsia="zh-CN"/>
        </w:rPr>
        <w:t>本单位2020年度无项目支出。</w:t>
      </w:r>
    </w:p>
    <w:p>
      <w:pPr>
        <w:pStyle w:val="5"/>
        <w:numPr>
          <w:ilvl w:val="0"/>
          <w:numId w:val="1"/>
        </w:numPr>
        <w:spacing w:line="600" w:lineRule="exact"/>
        <w:ind w:left="640" w:firstLine="420" w:firstLineChars="0"/>
        <w:jc w:val="left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政府性基金</w:t>
      </w:r>
      <w:r>
        <w:rPr>
          <w:rFonts w:hint="eastAsia" w:ascii="Times New Roman" w:hAnsi="Times New Roman" w:eastAsia="黑体"/>
          <w:sz w:val="32"/>
          <w:szCs w:val="24"/>
          <w:lang w:eastAsia="zh-CN"/>
        </w:rPr>
        <w:t>决算</w:t>
      </w:r>
      <w:r>
        <w:rPr>
          <w:rFonts w:hint="eastAsia" w:ascii="Times New Roman" w:hAnsi="Times New Roman" w:eastAsia="黑体"/>
          <w:sz w:val="32"/>
          <w:szCs w:val="24"/>
        </w:rPr>
        <w:t>支出情况</w:t>
      </w:r>
    </w:p>
    <w:p>
      <w:pPr>
        <w:spacing w:line="600" w:lineRule="exact"/>
        <w:ind w:firstLine="640" w:firstLineChars="200"/>
        <w:jc w:val="left"/>
        <w:rPr>
          <w:rFonts w:hint="eastAsia" w:eastAsia="仿宋_GB2312"/>
          <w:sz w:val="32"/>
          <w:szCs w:val="24"/>
          <w:lang w:val="en-US" w:eastAsia="zh-CN"/>
        </w:rPr>
      </w:pPr>
      <w:r>
        <w:rPr>
          <w:rFonts w:hint="eastAsia" w:eastAsia="仿宋_GB2312"/>
          <w:sz w:val="32"/>
          <w:szCs w:val="24"/>
          <w:lang w:val="en-US" w:eastAsia="zh-CN"/>
        </w:rPr>
        <w:t>2020年度政府性基金决算财政拨款收入0万元，本年支出0万元，年末结转和结余 0万元。</w:t>
      </w:r>
    </w:p>
    <w:p>
      <w:pPr>
        <w:pStyle w:val="5"/>
        <w:numPr>
          <w:ilvl w:val="0"/>
          <w:numId w:val="1"/>
        </w:numPr>
        <w:spacing w:line="600" w:lineRule="exact"/>
        <w:ind w:left="640" w:firstLine="420" w:firstLineChars="0"/>
        <w:jc w:val="left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国有资本经营</w:t>
      </w:r>
      <w:r>
        <w:rPr>
          <w:rFonts w:hint="eastAsia" w:ascii="Times New Roman" w:hAnsi="Times New Roman" w:eastAsia="黑体"/>
          <w:sz w:val="32"/>
          <w:szCs w:val="24"/>
          <w:lang w:eastAsia="zh-CN"/>
        </w:rPr>
        <w:t>决算</w:t>
      </w:r>
      <w:r>
        <w:rPr>
          <w:rFonts w:hint="eastAsia" w:ascii="Times New Roman" w:hAnsi="Times New Roman" w:eastAsia="黑体"/>
          <w:sz w:val="32"/>
          <w:szCs w:val="24"/>
        </w:rPr>
        <w:t>支出情况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  <w:lang w:val="en-US" w:eastAsia="zh-CN"/>
        </w:rPr>
      </w:pPr>
      <w:r>
        <w:rPr>
          <w:rFonts w:hint="eastAsia" w:eastAsia="仿宋_GB2312"/>
          <w:sz w:val="32"/>
          <w:szCs w:val="24"/>
          <w:lang w:val="en-US" w:eastAsia="zh-CN"/>
        </w:rPr>
        <w:t>本单位2020年无国有资本经营决算支出。</w:t>
      </w:r>
    </w:p>
    <w:p>
      <w:pPr>
        <w:pStyle w:val="5"/>
        <w:numPr>
          <w:ilvl w:val="0"/>
          <w:numId w:val="1"/>
        </w:numPr>
        <w:spacing w:line="600" w:lineRule="exact"/>
        <w:ind w:left="640" w:firstLine="420" w:firstLineChars="0"/>
        <w:jc w:val="left"/>
        <w:rPr>
          <w:rFonts w:hint="eastAsia"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社会保险基金</w:t>
      </w:r>
      <w:r>
        <w:rPr>
          <w:rFonts w:hint="eastAsia" w:ascii="Times New Roman" w:hAnsi="Times New Roman" w:eastAsia="黑体"/>
          <w:sz w:val="32"/>
          <w:szCs w:val="24"/>
          <w:lang w:eastAsia="zh-CN"/>
        </w:rPr>
        <w:t>决算</w:t>
      </w:r>
      <w:r>
        <w:rPr>
          <w:rFonts w:hint="eastAsia" w:ascii="Times New Roman" w:hAnsi="Times New Roman" w:eastAsia="黑体"/>
          <w:sz w:val="32"/>
          <w:szCs w:val="24"/>
        </w:rPr>
        <w:t>支出情况</w:t>
      </w:r>
    </w:p>
    <w:p>
      <w:pPr>
        <w:spacing w:line="600" w:lineRule="exact"/>
        <w:ind w:firstLine="640" w:firstLineChars="200"/>
        <w:jc w:val="left"/>
        <w:rPr>
          <w:rFonts w:hint="eastAsia" w:eastAsia="仿宋_GB2312"/>
          <w:sz w:val="32"/>
          <w:szCs w:val="24"/>
          <w:lang w:val="en-US" w:eastAsia="zh-CN"/>
        </w:rPr>
      </w:pPr>
      <w:r>
        <w:rPr>
          <w:rFonts w:hint="eastAsia" w:eastAsia="仿宋_GB2312"/>
          <w:sz w:val="32"/>
          <w:szCs w:val="24"/>
          <w:lang w:val="en-US" w:eastAsia="zh-CN"/>
        </w:rPr>
        <w:t>本单位2020年无社会保险基金决算支出。</w:t>
      </w:r>
    </w:p>
    <w:p>
      <w:pPr>
        <w:spacing w:line="600" w:lineRule="exact"/>
        <w:ind w:firstLine="645"/>
        <w:jc w:val="left"/>
        <w:rPr>
          <w:rFonts w:hint="default" w:eastAsia="黑体"/>
          <w:sz w:val="32"/>
          <w:szCs w:val="24"/>
        </w:rPr>
      </w:pPr>
      <w:r>
        <w:rPr>
          <w:rFonts w:hint="eastAsia" w:eastAsia="黑体"/>
          <w:sz w:val="32"/>
          <w:szCs w:val="24"/>
          <w:lang w:val="en-US" w:eastAsia="zh-CN"/>
        </w:rPr>
        <w:t>五</w:t>
      </w:r>
      <w:r>
        <w:rPr>
          <w:rFonts w:hint="eastAsia" w:eastAsia="黑体"/>
          <w:sz w:val="32"/>
          <w:szCs w:val="24"/>
        </w:rPr>
        <w:t>、部门整体支出绩效情况</w:t>
      </w:r>
    </w:p>
    <w:p>
      <w:pPr>
        <w:pStyle w:val="6"/>
        <w:ind w:firstLine="640" w:firstLineChars="200"/>
        <w:rPr>
          <w:rFonts w:hint="eastAsia" w:ascii="Times New Roman" w:hAnsi="Times New Roman" w:eastAsia="仿宋_GB2312"/>
          <w:color w:val="auto"/>
          <w:kern w:val="2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2"/>
          <w:sz w:val="32"/>
          <w:szCs w:val="24"/>
        </w:rPr>
        <w:t>我单位以绩效目标实现为导向，进一步加强制度建设，提升自评质量，决算绩效管理取得一定成效。一是抓好绩效目标编制，及时报送绩效目标。二是探索绩效跟踪监控，要求加强过程监控。三是深入开展财政支出绩效评价，对专项资金实施绩效自评和项目核查，在此基础上形成自评报告。四是强化评价结果应用，组织绩效自评和绩效跟踪监控，对发现的问题及时改进，加强评价结果与项目资金安排的衔接。五是健全绩效管理工作机制，明确职责分工，努力提高了绩效管理工作水平。</w:t>
      </w:r>
    </w:p>
    <w:p>
      <w:pPr>
        <w:spacing w:line="600" w:lineRule="exact"/>
        <w:ind w:firstLine="640" w:firstLineChars="200"/>
        <w:jc w:val="left"/>
        <w:rPr>
          <w:rFonts w:hint="eastAsia" w:eastAsia="黑体"/>
          <w:sz w:val="32"/>
          <w:szCs w:val="24"/>
          <w:lang w:val="en-US" w:eastAsia="zh-CN"/>
        </w:rPr>
      </w:pPr>
      <w:r>
        <w:rPr>
          <w:rFonts w:hint="eastAsia" w:eastAsia="黑体"/>
          <w:sz w:val="32"/>
          <w:szCs w:val="24"/>
          <w:lang w:val="en-US" w:eastAsia="zh-CN"/>
        </w:rPr>
        <w:t>六、存在的问题及原因分析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eastAsia" w:eastAsia="仿宋_GB2312"/>
          <w:sz w:val="32"/>
          <w:szCs w:val="24"/>
        </w:rPr>
        <w:t>绩效目标设立不够明确、细化和量化。项目单位虽然设立了项目资金绩效目标，但目标不够明确、细化和量化。</w:t>
      </w:r>
      <w:r>
        <w:rPr>
          <w:rFonts w:hint="eastAsia" w:eastAsia="仿宋_GB2312"/>
          <w:sz w:val="32"/>
          <w:szCs w:val="24"/>
          <w:lang w:eastAsia="zh-CN"/>
        </w:rPr>
        <w:t>主要原因是财务人员业务水平有待提高。</w:t>
      </w:r>
    </w:p>
    <w:p>
      <w:pPr>
        <w:numPr>
          <w:ilvl w:val="0"/>
          <w:numId w:val="2"/>
        </w:numPr>
        <w:spacing w:line="600" w:lineRule="exact"/>
        <w:ind w:firstLine="640" w:firstLineChars="200"/>
        <w:jc w:val="left"/>
        <w:rPr>
          <w:rFonts w:hint="eastAsia" w:eastAsia="黑体"/>
          <w:sz w:val="32"/>
          <w:szCs w:val="24"/>
        </w:rPr>
      </w:pPr>
      <w:r>
        <w:rPr>
          <w:rFonts w:hint="eastAsia" w:eastAsia="黑体"/>
          <w:sz w:val="32"/>
          <w:szCs w:val="24"/>
        </w:rPr>
        <w:t>下一步改进措施</w:t>
      </w:r>
    </w:p>
    <w:p>
      <w:pPr>
        <w:spacing w:line="600" w:lineRule="exact"/>
        <w:ind w:firstLine="640" w:firstLineChars="200"/>
        <w:jc w:val="left"/>
        <w:rPr>
          <w:rFonts w:hint="eastAsia" w:eastAsia="仿宋_GB2312"/>
          <w:sz w:val="32"/>
          <w:szCs w:val="24"/>
          <w:lang w:eastAsia="zh-CN"/>
        </w:rPr>
      </w:pPr>
      <w:r>
        <w:rPr>
          <w:rFonts w:hint="eastAsia" w:eastAsia="仿宋_GB2312"/>
          <w:sz w:val="32"/>
          <w:szCs w:val="24"/>
          <w:lang w:eastAsia="zh-CN"/>
        </w:rPr>
        <w:t>一、学合理编制决算并严格执行决算。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  <w:lang w:eastAsia="zh-CN"/>
        </w:rPr>
      </w:pPr>
      <w:r>
        <w:rPr>
          <w:rFonts w:hint="eastAsia" w:eastAsia="仿宋_GB2312"/>
          <w:sz w:val="32"/>
          <w:szCs w:val="24"/>
          <w:lang w:eastAsia="zh-CN"/>
        </w:rPr>
        <w:t>二、规范账务处理，提高财务信息质量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  <w:lang w:eastAsia="zh-CN"/>
        </w:rPr>
      </w:pPr>
      <w:r>
        <w:rPr>
          <w:rFonts w:hint="eastAsia" w:eastAsia="仿宋_GB2312"/>
          <w:sz w:val="32"/>
          <w:szCs w:val="24"/>
          <w:lang w:eastAsia="zh-CN"/>
        </w:rPr>
        <w:t>三、完善管理制度，加强资产管理。</w:t>
      </w:r>
    </w:p>
    <w:p>
      <w:pPr>
        <w:spacing w:line="600" w:lineRule="exact"/>
        <w:ind w:firstLine="640" w:firstLineChars="200"/>
        <w:jc w:val="left"/>
        <w:rPr>
          <w:rFonts w:hint="eastAsia" w:eastAsia="仿宋_GB2312"/>
          <w:sz w:val="32"/>
          <w:szCs w:val="24"/>
          <w:lang w:eastAsia="zh-CN"/>
        </w:rPr>
      </w:pPr>
      <w:r>
        <w:rPr>
          <w:rFonts w:hint="eastAsia" w:eastAsia="仿宋_GB2312"/>
          <w:sz w:val="32"/>
          <w:szCs w:val="24"/>
          <w:lang w:eastAsia="zh-CN"/>
        </w:rPr>
        <w:t>四、加强业务培训和会计制度及决算法学习</w:t>
      </w:r>
    </w:p>
    <w:p>
      <w:pPr>
        <w:spacing w:line="600" w:lineRule="exact"/>
        <w:ind w:firstLine="645"/>
        <w:jc w:val="left"/>
        <w:rPr>
          <w:rFonts w:hint="default" w:eastAsia="黑体"/>
          <w:sz w:val="32"/>
          <w:szCs w:val="24"/>
        </w:rPr>
      </w:pPr>
      <w:r>
        <w:rPr>
          <w:rFonts w:hint="eastAsia" w:eastAsia="黑体"/>
          <w:sz w:val="32"/>
          <w:szCs w:val="24"/>
          <w:lang w:val="en-US" w:eastAsia="zh-CN"/>
        </w:rPr>
        <w:t>八</w:t>
      </w:r>
      <w:r>
        <w:rPr>
          <w:rFonts w:hint="eastAsia" w:eastAsia="黑体"/>
          <w:sz w:val="32"/>
          <w:szCs w:val="24"/>
        </w:rPr>
        <w:t>、其他需要说明的情况</w:t>
      </w:r>
    </w:p>
    <w:p>
      <w:pPr>
        <w:spacing w:line="600" w:lineRule="exact"/>
        <w:ind w:firstLine="645"/>
        <w:jc w:val="left"/>
        <w:rPr>
          <w:rFonts w:hint="eastAsia" w:eastAsia="仿宋_GB2312"/>
          <w:sz w:val="32"/>
          <w:szCs w:val="24"/>
          <w:lang w:val="en-US" w:eastAsia="zh-CN"/>
        </w:rPr>
      </w:pPr>
      <w:r>
        <w:rPr>
          <w:rFonts w:hint="eastAsia" w:eastAsia="仿宋_GB2312"/>
          <w:sz w:val="32"/>
          <w:szCs w:val="24"/>
          <w:lang w:val="en-US" w:eastAsia="zh-CN"/>
        </w:rPr>
        <w:t>无</w:t>
      </w:r>
    </w:p>
    <w:p>
      <w:pPr>
        <w:spacing w:line="600" w:lineRule="exact"/>
        <w:ind w:firstLine="645"/>
        <w:jc w:val="left"/>
        <w:rPr>
          <w:rFonts w:hint="default" w:eastAsia="仿宋_GB2312"/>
          <w:sz w:val="32"/>
          <w:szCs w:val="24"/>
        </w:rPr>
      </w:pPr>
      <w:r>
        <w:rPr>
          <w:rFonts w:hint="eastAsia" w:eastAsia="仿宋_GB2312"/>
          <w:sz w:val="32"/>
          <w:szCs w:val="24"/>
        </w:rPr>
        <w:t>报告应包括以下附件：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default" w:eastAsia="仿宋_GB2312"/>
          <w:sz w:val="32"/>
          <w:szCs w:val="24"/>
        </w:rPr>
        <w:t>1</w:t>
      </w:r>
      <w:r>
        <w:rPr>
          <w:rFonts w:hint="eastAsia" w:eastAsia="仿宋_GB2312"/>
          <w:sz w:val="32"/>
          <w:szCs w:val="24"/>
        </w:rPr>
        <w:t>、部门整体支出绩效评价基础数据表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default" w:eastAsia="仿宋_GB2312"/>
          <w:sz w:val="32"/>
          <w:szCs w:val="24"/>
        </w:rPr>
        <w:t>2</w:t>
      </w:r>
      <w:r>
        <w:rPr>
          <w:rFonts w:hint="eastAsia" w:eastAsia="仿宋_GB2312"/>
          <w:sz w:val="32"/>
          <w:szCs w:val="24"/>
        </w:rPr>
        <w:t>、部门整体支出绩效自评表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default" w:eastAsia="仿宋_GB2312"/>
          <w:sz w:val="32"/>
          <w:szCs w:val="24"/>
        </w:rPr>
        <w:t>3</w:t>
      </w:r>
      <w:r>
        <w:rPr>
          <w:rFonts w:hint="eastAsia" w:eastAsia="仿宋_GB2312"/>
          <w:sz w:val="32"/>
          <w:szCs w:val="24"/>
        </w:rPr>
        <w:t>、项目支出绩效自评表（每个一级项目支出一张表）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default" w:eastAsia="仿宋_GB2312"/>
          <w:sz w:val="32"/>
          <w:szCs w:val="24"/>
        </w:rPr>
        <w:t>4</w:t>
      </w:r>
      <w:r>
        <w:rPr>
          <w:rFonts w:hint="eastAsia" w:eastAsia="仿宋_GB2312"/>
          <w:sz w:val="32"/>
          <w:szCs w:val="24"/>
        </w:rPr>
        <w:t>、政府性基金</w:t>
      </w:r>
      <w:r>
        <w:rPr>
          <w:rFonts w:hint="eastAsia" w:eastAsia="仿宋_GB2312"/>
          <w:sz w:val="32"/>
          <w:szCs w:val="24"/>
          <w:lang w:eastAsia="zh-CN"/>
        </w:rPr>
        <w:t>决算</w:t>
      </w:r>
      <w:r>
        <w:rPr>
          <w:rFonts w:hint="eastAsia" w:eastAsia="仿宋_GB2312"/>
          <w:sz w:val="32"/>
          <w:szCs w:val="24"/>
        </w:rPr>
        <w:t>支出情况表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default" w:eastAsia="仿宋_GB2312"/>
          <w:sz w:val="32"/>
          <w:szCs w:val="24"/>
        </w:rPr>
        <w:t>5</w:t>
      </w:r>
      <w:r>
        <w:rPr>
          <w:rFonts w:hint="eastAsia" w:eastAsia="仿宋_GB2312"/>
          <w:sz w:val="32"/>
          <w:szCs w:val="24"/>
        </w:rPr>
        <w:t>、国有资本经营</w:t>
      </w:r>
      <w:r>
        <w:rPr>
          <w:rFonts w:hint="eastAsia" w:eastAsia="仿宋_GB2312"/>
          <w:sz w:val="32"/>
          <w:szCs w:val="24"/>
          <w:lang w:eastAsia="zh-CN"/>
        </w:rPr>
        <w:t>决算</w:t>
      </w:r>
      <w:r>
        <w:rPr>
          <w:rFonts w:hint="eastAsia" w:eastAsia="仿宋_GB2312"/>
          <w:sz w:val="32"/>
          <w:szCs w:val="24"/>
        </w:rPr>
        <w:t>支出情况表</w:t>
      </w:r>
    </w:p>
    <w:p>
      <w:pPr>
        <w:spacing w:line="600" w:lineRule="exact"/>
        <w:ind w:firstLine="640" w:firstLineChars="200"/>
        <w:jc w:val="left"/>
        <w:rPr>
          <w:rFonts w:hint="default" w:eastAsia="仿宋_GB2312"/>
          <w:sz w:val="32"/>
          <w:szCs w:val="24"/>
        </w:rPr>
      </w:pPr>
      <w:r>
        <w:rPr>
          <w:rFonts w:hint="default" w:eastAsia="仿宋_GB2312"/>
          <w:sz w:val="32"/>
          <w:szCs w:val="24"/>
        </w:rPr>
        <w:t>6</w:t>
      </w:r>
      <w:r>
        <w:rPr>
          <w:rFonts w:hint="eastAsia" w:eastAsia="仿宋_GB2312"/>
          <w:sz w:val="32"/>
          <w:szCs w:val="24"/>
        </w:rPr>
        <w:t>、社会保险基金</w:t>
      </w:r>
      <w:r>
        <w:rPr>
          <w:rFonts w:hint="eastAsia" w:eastAsia="仿宋_GB2312"/>
          <w:sz w:val="32"/>
          <w:szCs w:val="24"/>
          <w:lang w:eastAsia="zh-CN"/>
        </w:rPr>
        <w:t>决算</w:t>
      </w:r>
      <w:r>
        <w:rPr>
          <w:rFonts w:hint="eastAsia" w:eastAsia="仿宋_GB2312"/>
          <w:sz w:val="32"/>
          <w:szCs w:val="24"/>
        </w:rPr>
        <w:t>支出情况表</w:t>
      </w:r>
    </w:p>
    <w:p>
      <w:pPr>
        <w:spacing w:line="600" w:lineRule="exact"/>
        <w:ind w:firstLine="645"/>
        <w:jc w:val="left"/>
        <w:rPr>
          <w:rFonts w:hint="eastAsia" w:eastAsia="仿宋_GB2312"/>
          <w:sz w:val="32"/>
          <w:szCs w:val="24"/>
          <w:lang w:val="zh-CN" w:eastAsia="zh-CN"/>
        </w:rPr>
      </w:pPr>
    </w:p>
    <w:p>
      <w:pPr>
        <w:jc w:val="left"/>
        <w:rPr>
          <w:rFonts w:hint="eastAsia" w:ascii="方正小标宋_GBK" w:hAnsi="方正小标宋_GBK" w:eastAsia="方正小标宋_GBK"/>
          <w:sz w:val="36"/>
          <w:szCs w:val="24"/>
          <w:lang w:val="en-US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AB47AF"/>
    <w:multiLevelType w:val="multilevel"/>
    <w:tmpl w:val="C7AB47AF"/>
    <w:lvl w:ilvl="0" w:tentative="0">
      <w:start w:val="7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abstractNum w:abstractNumId="1">
    <w:nsid w:val="5148AE64"/>
    <w:multiLevelType w:val="multilevel"/>
    <w:tmpl w:val="5148AE64"/>
    <w:lvl w:ilvl="0" w:tentative="0">
      <w:start w:val="1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6A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jc w:val="both"/>
    </w:pPr>
    <w:rPr>
      <w:rFonts w:hint="default" w:ascii="Times New Roman" w:hAnsi="Times New Roman" w:eastAsia="宋体" w:cs="Times New Roman"/>
      <w:kern w:val="2"/>
      <w:sz w:val="21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hint="eastAsia" w:ascii="宋体" w:hAnsi="宋体"/>
      <w:kern w:val="0"/>
      <w:sz w:val="24"/>
      <w:szCs w:val="24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  <w:rPr>
      <w:rFonts w:hint="default" w:ascii="Calibri" w:hAnsi="Calibri"/>
      <w:sz w:val="21"/>
      <w:szCs w:val="24"/>
    </w:rPr>
  </w:style>
  <w:style w:type="paragraph" w:customStyle="1" w:styleId="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黑体" w:hAnsi="Calibri" w:eastAsia="黑体" w:cs="Times New Roman"/>
      <w:color w:val="00000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2021-09-13T02:29:10Z</dcterms:created>
  <dc:creator>Administrator</dc:creator>
  <cp:lastModifiedBy>罗子山向乐</cp:lastModifiedBy>
  <dcterms:modified xsi:type="dcterms:W3CDTF">2021-09-13T02:29:32Z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539EA28653DC4BB0AD4EE938326786E6</vt:lpwstr>
  </property>
</Properties>
</file>