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58FFAA">
      <w:pPr>
        <w:spacing w:line="240" w:lineRule="auto"/>
        <w:ind w:right="0" w:firstLine="1747" w:firstLineChars="500"/>
        <w:jc w:val="left"/>
        <w:rPr>
          <w:rFonts w:hint="eastAsia" w:ascii="仿宋" w:hAnsi="仿宋" w:eastAsia="仿宋" w:cs="仿宋"/>
          <w:b/>
          <w:bCs/>
          <w:spacing w:val="-6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pacing w:val="-6"/>
          <w:sz w:val="36"/>
          <w:szCs w:val="36"/>
        </w:rPr>
        <w:t>2023年度苏木溪瑶族乡人民政府</w:t>
      </w:r>
    </w:p>
    <w:p w14:paraId="393897C8">
      <w:pPr>
        <w:spacing w:line="240" w:lineRule="auto"/>
        <w:ind w:right="0" w:firstLine="2096" w:firstLineChars="600"/>
        <w:jc w:val="left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6"/>
          <w:sz w:val="36"/>
          <w:szCs w:val="36"/>
        </w:rPr>
        <w:t>部门整体</w:t>
      </w:r>
      <w:r>
        <w:rPr>
          <w:rFonts w:hint="eastAsia" w:ascii="仿宋" w:hAnsi="仿宋" w:eastAsia="仿宋" w:cs="仿宋"/>
          <w:b/>
          <w:bCs/>
          <w:spacing w:val="6"/>
          <w:sz w:val="36"/>
          <w:szCs w:val="36"/>
        </w:rPr>
        <w:t>支出</w:t>
      </w:r>
      <w:r>
        <w:rPr>
          <w:rFonts w:hint="eastAsia" w:ascii="仿宋" w:hAnsi="仿宋" w:eastAsia="仿宋" w:cs="仿宋"/>
          <w:b/>
          <w:bCs/>
          <w:spacing w:val="-16"/>
          <w:sz w:val="36"/>
          <w:szCs w:val="36"/>
        </w:rPr>
        <w:t>绩效自评报</w:t>
      </w:r>
      <w:r>
        <w:rPr>
          <w:rFonts w:hint="eastAsia" w:ascii="仿宋" w:hAnsi="仿宋" w:eastAsia="仿宋" w:cs="仿宋"/>
          <w:b/>
          <w:bCs/>
          <w:spacing w:val="-16"/>
          <w:sz w:val="36"/>
          <w:szCs w:val="36"/>
          <w:lang w:val="en-US" w:eastAsia="zh-CN"/>
        </w:rPr>
        <w:t>告</w:t>
      </w:r>
    </w:p>
    <w:p w14:paraId="598C47CB">
      <w:pPr>
        <w:spacing w:line="241" w:lineRule="auto"/>
        <w:rPr>
          <w:rFonts w:ascii="Arial"/>
          <w:sz w:val="21"/>
        </w:rPr>
      </w:pPr>
    </w:p>
    <w:p w14:paraId="4961D1D4">
      <w:pPr>
        <w:spacing w:line="241" w:lineRule="auto"/>
        <w:rPr>
          <w:rFonts w:ascii="Arial"/>
          <w:sz w:val="21"/>
        </w:rPr>
      </w:pPr>
    </w:p>
    <w:p w14:paraId="4C9E84B4">
      <w:pPr>
        <w:spacing w:line="241" w:lineRule="auto"/>
        <w:rPr>
          <w:rFonts w:ascii="Arial"/>
          <w:sz w:val="21"/>
        </w:rPr>
      </w:pPr>
    </w:p>
    <w:p w14:paraId="7014C376">
      <w:pPr>
        <w:spacing w:line="241" w:lineRule="auto"/>
        <w:rPr>
          <w:rFonts w:ascii="Arial"/>
          <w:sz w:val="21"/>
        </w:rPr>
      </w:pPr>
    </w:p>
    <w:p w14:paraId="6F044D1D">
      <w:pPr>
        <w:spacing w:line="241" w:lineRule="auto"/>
        <w:rPr>
          <w:rFonts w:ascii="Arial"/>
          <w:sz w:val="21"/>
        </w:rPr>
      </w:pPr>
    </w:p>
    <w:p w14:paraId="59FEA893">
      <w:pPr>
        <w:spacing w:line="241" w:lineRule="auto"/>
        <w:rPr>
          <w:rFonts w:ascii="Arial"/>
          <w:sz w:val="21"/>
        </w:rPr>
      </w:pPr>
    </w:p>
    <w:p w14:paraId="05344B8A">
      <w:pPr>
        <w:spacing w:line="241" w:lineRule="auto"/>
        <w:rPr>
          <w:rFonts w:ascii="Arial"/>
          <w:sz w:val="21"/>
        </w:rPr>
      </w:pPr>
    </w:p>
    <w:p w14:paraId="4053700C">
      <w:pPr>
        <w:spacing w:line="241" w:lineRule="auto"/>
        <w:rPr>
          <w:rFonts w:hint="eastAsia" w:ascii="仿宋" w:hAnsi="仿宋" w:eastAsia="仿宋" w:cs="仿宋"/>
          <w:sz w:val="30"/>
          <w:szCs w:val="30"/>
        </w:rPr>
      </w:pPr>
    </w:p>
    <w:p w14:paraId="7D404434">
      <w:pPr>
        <w:spacing w:line="241" w:lineRule="auto"/>
        <w:rPr>
          <w:rFonts w:hint="eastAsia" w:ascii="仿宋" w:hAnsi="仿宋" w:eastAsia="仿宋" w:cs="仿宋"/>
          <w:sz w:val="30"/>
          <w:szCs w:val="30"/>
        </w:rPr>
      </w:pPr>
    </w:p>
    <w:p w14:paraId="6645316D">
      <w:pPr>
        <w:spacing w:line="241" w:lineRule="auto"/>
        <w:rPr>
          <w:rFonts w:hint="eastAsia" w:ascii="仿宋" w:hAnsi="仿宋" w:eastAsia="仿宋" w:cs="仿宋"/>
          <w:sz w:val="30"/>
          <w:szCs w:val="30"/>
        </w:rPr>
      </w:pPr>
    </w:p>
    <w:p w14:paraId="697A69A7">
      <w:pPr>
        <w:spacing w:line="241" w:lineRule="auto"/>
        <w:rPr>
          <w:rFonts w:hint="eastAsia" w:ascii="仿宋" w:hAnsi="仿宋" w:eastAsia="仿宋" w:cs="仿宋"/>
          <w:sz w:val="30"/>
          <w:szCs w:val="30"/>
        </w:rPr>
      </w:pPr>
    </w:p>
    <w:p w14:paraId="4E3A6C79">
      <w:pPr>
        <w:spacing w:line="241" w:lineRule="auto"/>
        <w:rPr>
          <w:rFonts w:hint="eastAsia" w:ascii="仿宋" w:hAnsi="仿宋" w:eastAsia="仿宋" w:cs="仿宋"/>
          <w:sz w:val="30"/>
          <w:szCs w:val="30"/>
        </w:rPr>
      </w:pPr>
    </w:p>
    <w:p w14:paraId="7B321166">
      <w:pPr>
        <w:spacing w:line="241" w:lineRule="auto"/>
        <w:rPr>
          <w:rFonts w:hint="eastAsia" w:ascii="仿宋" w:hAnsi="仿宋" w:eastAsia="仿宋" w:cs="仿宋"/>
          <w:sz w:val="30"/>
          <w:szCs w:val="30"/>
        </w:rPr>
      </w:pPr>
    </w:p>
    <w:p w14:paraId="1A5AFD03">
      <w:pPr>
        <w:spacing w:line="241" w:lineRule="auto"/>
        <w:rPr>
          <w:rFonts w:hint="eastAsia" w:ascii="仿宋" w:hAnsi="仿宋" w:eastAsia="仿宋" w:cs="仿宋"/>
          <w:sz w:val="30"/>
          <w:szCs w:val="30"/>
        </w:rPr>
      </w:pPr>
    </w:p>
    <w:p w14:paraId="6D33182A">
      <w:pPr>
        <w:spacing w:line="241" w:lineRule="auto"/>
        <w:rPr>
          <w:rFonts w:hint="eastAsia" w:ascii="仿宋" w:hAnsi="仿宋" w:eastAsia="仿宋" w:cs="仿宋"/>
          <w:sz w:val="30"/>
          <w:szCs w:val="30"/>
        </w:rPr>
      </w:pPr>
    </w:p>
    <w:p w14:paraId="1E044362">
      <w:pPr>
        <w:spacing w:line="241" w:lineRule="auto"/>
        <w:rPr>
          <w:rFonts w:hint="eastAsia" w:ascii="仿宋" w:hAnsi="仿宋" w:eastAsia="仿宋" w:cs="仿宋"/>
          <w:sz w:val="30"/>
          <w:szCs w:val="30"/>
        </w:rPr>
      </w:pPr>
    </w:p>
    <w:p w14:paraId="7741B8B0">
      <w:pPr>
        <w:spacing w:line="241" w:lineRule="auto"/>
        <w:rPr>
          <w:rFonts w:hint="eastAsia" w:ascii="仿宋" w:hAnsi="仿宋" w:eastAsia="仿宋" w:cs="仿宋"/>
          <w:sz w:val="30"/>
          <w:szCs w:val="30"/>
        </w:rPr>
      </w:pPr>
    </w:p>
    <w:p w14:paraId="6AB5CC35">
      <w:pPr>
        <w:pStyle w:val="2"/>
        <w:spacing w:line="240" w:lineRule="auto"/>
        <w:ind w:right="0" w:firstLine="1038" w:firstLineChars="3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23"/>
          <w:sz w:val="30"/>
          <w:szCs w:val="30"/>
        </w:rPr>
        <w:t>部门(单位)名称：</w:t>
      </w:r>
      <w:r>
        <w:rPr>
          <w:rFonts w:hint="eastAsia" w:ascii="仿宋" w:hAnsi="仿宋" w:eastAsia="仿宋" w:cs="仿宋"/>
          <w:spacing w:val="23"/>
          <w:sz w:val="30"/>
          <w:szCs w:val="30"/>
          <w:u w:val="single" w:color="auto"/>
        </w:rPr>
        <w:t>苏木溪瑶族乡人民政府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 w14:paraId="4759CB7A">
      <w:pPr>
        <w:pStyle w:val="2"/>
        <w:spacing w:line="240" w:lineRule="auto"/>
        <w:ind w:left="3321" w:leftChars="0" w:right="0" w:firstLine="0" w:firstLineChars="0"/>
        <w:rPr>
          <w:rFonts w:hint="eastAsia" w:ascii="仿宋" w:hAnsi="仿宋" w:eastAsia="仿宋" w:cs="仿宋"/>
          <w:sz w:val="30"/>
          <w:szCs w:val="30"/>
        </w:rPr>
        <w:sectPr>
          <w:headerReference r:id="rId5" w:type="default"/>
          <w:pgSz w:w="11900" w:h="8400"/>
          <w:pgMar w:top="1" w:right="774" w:bottom="0" w:left="1785" w:header="0" w:footer="0" w:gutter="0"/>
          <w:cols w:equalWidth="0" w:num="1">
            <w:col w:w="9341"/>
          </w:cols>
        </w:sectPr>
      </w:pPr>
      <w:r>
        <w:rPr>
          <w:rFonts w:hint="eastAsia" w:ascii="仿宋" w:hAnsi="仿宋" w:eastAsia="仿宋" w:cs="仿宋"/>
          <w:spacing w:val="22"/>
          <w:sz w:val="30"/>
          <w:szCs w:val="30"/>
        </w:rPr>
        <w:t>2024年4月17日</w:t>
      </w:r>
    </w:p>
    <w:p w14:paraId="5EBFE61E">
      <w:pPr>
        <w:spacing w:before="85" w:line="291" w:lineRule="auto"/>
        <w:ind w:left="2908" w:right="1935" w:hanging="1420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26D45E84">
      <w:pPr>
        <w:spacing w:before="85" w:line="291" w:lineRule="auto"/>
        <w:ind w:left="2908" w:right="1935" w:hanging="1420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448D35A9">
      <w:pPr>
        <w:spacing w:before="85" w:line="291" w:lineRule="auto"/>
        <w:ind w:left="2908" w:right="1935" w:hanging="1420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7737053A">
      <w:pPr>
        <w:spacing w:before="85" w:line="291" w:lineRule="auto"/>
        <w:ind w:left="2908" w:right="1935" w:hanging="1420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18DF8764">
      <w:pPr>
        <w:spacing w:before="85" w:line="291" w:lineRule="auto"/>
        <w:ind w:left="2908" w:right="1935" w:hanging="1420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761ED187">
      <w:pPr>
        <w:spacing w:before="85" w:line="291" w:lineRule="auto"/>
        <w:ind w:left="2908" w:right="1935" w:hanging="1420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7A58D133">
      <w:pPr>
        <w:spacing w:before="85" w:line="291" w:lineRule="auto"/>
        <w:ind w:left="2908" w:right="1935" w:hanging="1420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75D4CD14">
      <w:pPr>
        <w:spacing w:before="85" w:line="291" w:lineRule="auto"/>
        <w:ind w:left="2908" w:right="1935" w:hanging="1420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05D89E5A">
      <w:pPr>
        <w:spacing w:before="85" w:line="291" w:lineRule="auto"/>
        <w:ind w:left="2908" w:right="1935" w:hanging="1420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55763173">
      <w:pPr>
        <w:spacing w:before="85" w:line="291" w:lineRule="auto"/>
        <w:ind w:left="2908" w:right="1935" w:hanging="1420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5B7E93D0">
      <w:pPr>
        <w:spacing w:before="85" w:line="291" w:lineRule="auto"/>
        <w:ind w:left="2908" w:right="1935" w:hanging="1420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6761FFD8">
      <w:pPr>
        <w:spacing w:before="85" w:line="291" w:lineRule="auto"/>
        <w:ind w:right="1935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2FB2256D">
      <w:pPr>
        <w:spacing w:before="85" w:line="291" w:lineRule="auto"/>
        <w:ind w:left="2908" w:right="1935" w:hanging="1420"/>
        <w:jc w:val="center"/>
        <w:rPr>
          <w:rFonts w:ascii="黑体" w:hAnsi="黑体" w:eastAsia="黑体" w:cs="黑体"/>
          <w:b/>
          <w:bCs/>
          <w:spacing w:val="10"/>
          <w:sz w:val="26"/>
          <w:szCs w:val="26"/>
        </w:rPr>
      </w:pPr>
    </w:p>
    <w:p w14:paraId="26B91C4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0"/>
        <w:jc w:val="center"/>
        <w:textAlignment w:val="baseline"/>
        <w:rPr>
          <w:rFonts w:hint="eastAsia" w:ascii="仿宋" w:hAnsi="仿宋" w:eastAsia="仿宋" w:cs="仿宋"/>
          <w:b/>
          <w:bCs/>
          <w:spacing w:val="1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pacing w:val="10"/>
          <w:sz w:val="36"/>
          <w:szCs w:val="36"/>
        </w:rPr>
        <w:t>2023年度苏木溪瑶族乡人民政府部门</w:t>
      </w:r>
    </w:p>
    <w:p w14:paraId="77A979D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0"/>
        <w:jc w:val="center"/>
        <w:textAlignment w:val="baseline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pacing w:val="10"/>
          <w:sz w:val="36"/>
          <w:szCs w:val="36"/>
        </w:rPr>
        <w:t>整体</w:t>
      </w:r>
      <w:r>
        <w:rPr>
          <w:rFonts w:hint="eastAsia" w:ascii="仿宋" w:hAnsi="仿宋" w:eastAsia="仿宋" w:cs="仿宋"/>
          <w:b/>
          <w:bCs/>
          <w:spacing w:val="15"/>
          <w:sz w:val="36"/>
          <w:szCs w:val="36"/>
        </w:rPr>
        <w:t>支出绩效自评报告</w:t>
      </w:r>
    </w:p>
    <w:p w14:paraId="755EF70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4" w:line="360" w:lineRule="auto"/>
        <w:ind w:left="3985"/>
        <w:textAlignment w:val="baseline"/>
        <w:rPr>
          <w:rFonts w:hint="eastAsia" w:ascii="仿宋" w:hAnsi="仿宋" w:eastAsia="仿宋" w:cs="仿宋"/>
          <w:sz w:val="30"/>
          <w:szCs w:val="30"/>
        </w:rPr>
      </w:pPr>
    </w:p>
    <w:p w14:paraId="591441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18" w:firstLineChars="200"/>
        <w:jc w:val="left"/>
        <w:textAlignment w:val="baseline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4"/>
          <w:sz w:val="30"/>
          <w:szCs w:val="30"/>
        </w:rPr>
        <w:t>一</w:t>
      </w:r>
      <w:r>
        <w:rPr>
          <w:rFonts w:hint="eastAsia" w:ascii="仿宋" w:hAnsi="仿宋" w:eastAsia="仿宋" w:cs="仿宋"/>
          <w:spacing w:val="-3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b/>
          <w:bCs/>
          <w:spacing w:val="4"/>
          <w:sz w:val="30"/>
          <w:szCs w:val="30"/>
        </w:rPr>
        <w:t>、部门基本情况</w:t>
      </w:r>
    </w:p>
    <w:p w14:paraId="3EC9803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46" w:firstLineChars="200"/>
        <w:jc w:val="left"/>
        <w:textAlignment w:val="baseline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11"/>
          <w:sz w:val="30"/>
          <w:szCs w:val="30"/>
        </w:rPr>
        <w:t>(</w:t>
      </w:r>
      <w:r>
        <w:rPr>
          <w:rFonts w:hint="eastAsia" w:ascii="仿宋" w:hAnsi="仿宋" w:eastAsia="仿宋" w:cs="仿宋"/>
          <w:spacing w:val="-44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b/>
          <w:bCs/>
          <w:spacing w:val="11"/>
          <w:sz w:val="30"/>
          <w:szCs w:val="30"/>
        </w:rPr>
        <w:t>一)部门职能与机构设置</w:t>
      </w:r>
    </w:p>
    <w:p w14:paraId="35B7ACB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36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9"/>
          <w:sz w:val="30"/>
          <w:szCs w:val="30"/>
        </w:rPr>
        <w:t>辰溪县苏木溪瑶族乡人民政府基本职能：承担促进经济</w:t>
      </w:r>
      <w:r>
        <w:rPr>
          <w:rFonts w:hint="eastAsia"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10"/>
          <w:sz w:val="30"/>
          <w:szCs w:val="30"/>
        </w:rPr>
        <w:t>发展、搞好公共服务、加强社会管理、维护社会稳定等综合</w:t>
      </w:r>
      <w:r>
        <w:rPr>
          <w:rFonts w:hint="eastAsia" w:ascii="仿宋" w:hAnsi="仿宋" w:eastAsia="仿宋" w:cs="仿宋"/>
          <w:spacing w:val="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5"/>
          <w:sz w:val="30"/>
          <w:szCs w:val="30"/>
        </w:rPr>
        <w:t>职能。具体职能如下：1、认真贡彻国家的方针政策、法律、</w:t>
      </w:r>
      <w:r>
        <w:rPr>
          <w:rFonts w:hint="eastAsia" w:ascii="仿宋" w:hAnsi="仿宋" w:eastAsia="仿宋" w:cs="仿宋"/>
          <w:spacing w:val="4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13"/>
          <w:sz w:val="30"/>
          <w:szCs w:val="30"/>
        </w:rPr>
        <w:t>法规，严格遵循财经纪律和各项规章制度。2、执行本级人</w:t>
      </w:r>
      <w:r>
        <w:rPr>
          <w:rFonts w:hint="eastAsia" w:ascii="仿宋" w:hAnsi="仿宋" w:eastAsia="仿宋" w:cs="仿宋"/>
          <w:spacing w:val="12"/>
          <w:sz w:val="30"/>
          <w:szCs w:val="30"/>
        </w:rPr>
        <w:t>民代表大会的决议和上级国家行政机关的决定和命令</w:t>
      </w:r>
      <w:r>
        <w:rPr>
          <w:rFonts w:hint="eastAsia" w:ascii="仿宋" w:hAnsi="仿宋" w:eastAsia="仿宋" w:cs="仿宋"/>
          <w:spacing w:val="11"/>
          <w:sz w:val="30"/>
          <w:szCs w:val="30"/>
        </w:rPr>
        <w:t>。3</w:t>
      </w:r>
      <w:r>
        <w:rPr>
          <w:rFonts w:hint="eastAsia" w:ascii="仿宋" w:hAnsi="仿宋" w:eastAsia="仿宋" w:cs="仿宋"/>
          <w:spacing w:val="11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pacing w:val="10"/>
          <w:sz w:val="30"/>
          <w:szCs w:val="30"/>
        </w:rPr>
        <w:t>执行本行政区域内的经济和社会发展计划、预算，管理本行政区域内的经济、教育、科学、文化、卫健、体育事业和财</w:t>
      </w:r>
      <w:r>
        <w:rPr>
          <w:rFonts w:hint="eastAsia" w:ascii="仿宋" w:hAnsi="仿宋" w:eastAsia="仿宋" w:cs="仿宋"/>
          <w:spacing w:val="14"/>
          <w:sz w:val="30"/>
          <w:szCs w:val="30"/>
        </w:rPr>
        <w:t>政、民政、司法行政等行政工作。4、保护社会主义的全民</w:t>
      </w:r>
      <w:r>
        <w:rPr>
          <w:rFonts w:hint="eastAsia" w:ascii="仿宋" w:hAnsi="仿宋" w:eastAsia="仿宋" w:cs="仿宋"/>
          <w:spacing w:val="10"/>
          <w:sz w:val="30"/>
          <w:szCs w:val="30"/>
        </w:rPr>
        <w:t>所有的财产和劳动群众集体所有的财产，保护公民私人所有</w:t>
      </w:r>
      <w:r>
        <w:rPr>
          <w:rFonts w:hint="eastAsia" w:ascii="仿宋" w:hAnsi="仿宋" w:eastAsia="仿宋" w:cs="仿宋"/>
          <w:spacing w:val="-8"/>
          <w:sz w:val="30"/>
          <w:szCs w:val="30"/>
        </w:rPr>
        <w:t>的合法财产，维护社会秩序，保障公民的人身权利、民主权</w:t>
      </w:r>
      <w:r>
        <w:rPr>
          <w:rFonts w:hint="eastAsia" w:ascii="仿宋" w:hAnsi="仿宋" w:eastAsia="仿宋" w:cs="仿宋"/>
          <w:spacing w:val="5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利和其他权利-5、保护各种经济组织的合法权益。</w:t>
      </w:r>
      <w:r>
        <w:rPr>
          <w:rFonts w:hint="eastAsia" w:ascii="仿宋" w:hAnsi="仿宋" w:eastAsia="仿宋" w:cs="仿宋"/>
          <w:spacing w:val="-5"/>
          <w:sz w:val="30"/>
          <w:szCs w:val="30"/>
        </w:rPr>
        <w:t>6、办理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上级人民政府交办的其他事项</w:t>
      </w:r>
    </w:p>
    <w:p w14:paraId="57A7707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11"/>
          <w:sz w:val="30"/>
          <w:szCs w:val="30"/>
        </w:rPr>
        <w:t>机构设置情况：苏木溪瑶族乡人民政府属全额行政机关，</w:t>
      </w:r>
      <w:r>
        <w:rPr>
          <w:rFonts w:hint="eastAsia" w:ascii="仿宋" w:hAnsi="仿宋" w:eastAsia="仿宋" w:cs="仿宋"/>
          <w:spacing w:val="14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0"/>
          <w:sz w:val="30"/>
          <w:szCs w:val="30"/>
        </w:rPr>
        <w:t>是一级部门预算单位，根据编制部门机构改革批复方案，内</w:t>
      </w:r>
      <w:r>
        <w:rPr>
          <w:rFonts w:hint="eastAsia" w:ascii="仿宋" w:hAnsi="仿宋" w:eastAsia="仿宋" w:cs="仿宋"/>
          <w:spacing w:val="-9"/>
          <w:sz w:val="30"/>
          <w:szCs w:val="30"/>
        </w:rPr>
        <w:t>设党政办公室、党建办公室、经济发展办公室、</w:t>
      </w:r>
      <w:r>
        <w:rPr>
          <w:rFonts w:hint="eastAsia" w:ascii="仿宋" w:hAnsi="仿宋" w:eastAsia="仿宋" w:cs="仿宋"/>
          <w:spacing w:val="-10"/>
          <w:sz w:val="30"/>
          <w:szCs w:val="30"/>
        </w:rPr>
        <w:t>社会事务办</w:t>
      </w:r>
      <w:r>
        <w:rPr>
          <w:rFonts w:hint="eastAsia" w:ascii="仿宋" w:hAnsi="仿宋" w:eastAsia="仿宋" w:cs="仿宋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公室、社会治安和应急管理办公室、自然资源和生态环境办公室、社会事务综合服务中心、农业综合服务中心、便民服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务中心、综合行政执法大队、财政所。</w:t>
      </w:r>
    </w:p>
    <w:p w14:paraId="2E7F6E9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26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6"/>
          <w:sz w:val="30"/>
          <w:szCs w:val="30"/>
        </w:rPr>
        <w:t>(二)人员惰况</w:t>
      </w:r>
    </w:p>
    <w:p w14:paraId="21A9C83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88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3"/>
          <w:sz w:val="30"/>
          <w:szCs w:val="30"/>
        </w:rPr>
        <w:t>人员惰况：截至2023年底，苏木溪瑶族乡人民政府核</w:t>
      </w:r>
      <w:r>
        <w:rPr>
          <w:rFonts w:hint="eastAsia" w:ascii="仿宋" w:hAnsi="仿宋" w:eastAsia="仿宋" w:cs="仿宋"/>
          <w:spacing w:val="8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5"/>
          <w:sz w:val="30"/>
          <w:szCs w:val="30"/>
        </w:rPr>
        <w:t>定人员编制41人，行政编制22人，事业编制</w:t>
      </w:r>
      <w:r>
        <w:rPr>
          <w:rFonts w:hint="eastAsia" w:ascii="仿宋" w:hAnsi="仿宋" w:eastAsia="仿宋" w:cs="仿宋"/>
          <w:spacing w:val="4"/>
          <w:sz w:val="30"/>
          <w:szCs w:val="30"/>
        </w:rPr>
        <w:t>19人；实际</w:t>
      </w:r>
      <w:r>
        <w:rPr>
          <w:rFonts w:hint="eastAsia" w:ascii="仿宋" w:hAnsi="仿宋" w:eastAsia="仿宋" w:cs="仿宋"/>
          <w:spacing w:val="9"/>
          <w:sz w:val="30"/>
          <w:szCs w:val="30"/>
        </w:rPr>
        <w:t>在编39人(行政编制20人，事业编制19人),</w:t>
      </w:r>
      <w:r>
        <w:rPr>
          <w:rFonts w:hint="eastAsia" w:ascii="仿宋" w:hAnsi="仿宋" w:eastAsia="仿宋" w:cs="仿宋"/>
          <w:spacing w:val="8"/>
          <w:sz w:val="30"/>
          <w:szCs w:val="30"/>
        </w:rPr>
        <w:t>财政实际供</w:t>
      </w:r>
      <w:r>
        <w:rPr>
          <w:rFonts w:hint="eastAsia" w:ascii="仿宋" w:hAnsi="仿宋" w:eastAsia="仿宋" w:cs="仿宋"/>
          <w:spacing w:val="-9"/>
          <w:sz w:val="30"/>
          <w:szCs w:val="30"/>
        </w:rPr>
        <w:t>给</w:t>
      </w:r>
      <w:r>
        <w:rPr>
          <w:rFonts w:hint="eastAsia" w:ascii="仿宋" w:hAnsi="仿宋" w:eastAsia="仿宋" w:cs="仿宋"/>
          <w:spacing w:val="-4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9"/>
          <w:sz w:val="30"/>
          <w:szCs w:val="30"/>
        </w:rPr>
        <w:t>42</w:t>
      </w:r>
      <w:r>
        <w:rPr>
          <w:rFonts w:hint="eastAsia" w:ascii="仿宋" w:hAnsi="仿宋" w:eastAsia="仿宋" w:cs="仿宋"/>
          <w:spacing w:val="-47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9"/>
          <w:sz w:val="30"/>
          <w:szCs w:val="30"/>
        </w:rPr>
        <w:t>人</w:t>
      </w:r>
      <w:r>
        <w:rPr>
          <w:rFonts w:hint="eastAsia" w:ascii="仿宋" w:hAnsi="仿宋" w:eastAsia="仿宋" w:cs="仿宋"/>
          <w:spacing w:val="-5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9"/>
          <w:sz w:val="30"/>
          <w:szCs w:val="30"/>
        </w:rPr>
        <w:t>。</w:t>
      </w:r>
    </w:p>
    <w:p w14:paraId="4B84B0A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82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-5"/>
          <w:sz w:val="30"/>
          <w:szCs w:val="30"/>
        </w:rPr>
        <w:t>(三)部门年度总体工作任务和重点工作任务</w:t>
      </w:r>
    </w:p>
    <w:p w14:paraId="0838127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76" w:firstLineChars="200"/>
        <w:jc w:val="left"/>
        <w:textAlignment w:val="baseline"/>
        <w:rPr>
          <w:rFonts w:hint="eastAsia" w:ascii="仿宋" w:hAnsi="仿宋" w:eastAsia="仿宋" w:cs="仿宋"/>
          <w:spacing w:val="-12"/>
          <w:sz w:val="30"/>
          <w:szCs w:val="30"/>
        </w:rPr>
      </w:pPr>
      <w:r>
        <w:rPr>
          <w:rFonts w:hint="eastAsia" w:ascii="仿宋" w:hAnsi="仿宋" w:eastAsia="仿宋" w:cs="仿宋"/>
          <w:spacing w:val="-6"/>
          <w:sz w:val="30"/>
          <w:szCs w:val="30"/>
        </w:rPr>
        <w:t>总体工作任务为执行乡人民代表大会的决议和上级国</w:t>
      </w:r>
      <w:r>
        <w:rPr>
          <w:rFonts w:hint="eastAsia" w:ascii="仿宋" w:hAnsi="仿宋" w:eastAsia="仿宋" w:cs="仿宋"/>
          <w:spacing w:val="-20"/>
          <w:sz w:val="30"/>
          <w:szCs w:val="30"/>
        </w:rPr>
        <w:t>家行政机关的决定和命令；发展和管理本辖区的经济、救育、</w:t>
      </w:r>
      <w:r>
        <w:rPr>
          <w:rFonts w:hint="eastAsia" w:ascii="仿宋" w:hAnsi="仿宋" w:eastAsia="仿宋" w:cs="仿宋"/>
          <w:spacing w:val="-16"/>
          <w:sz w:val="30"/>
          <w:szCs w:val="30"/>
        </w:rPr>
        <w:t>科学、文化、卫生、体育事业和财政、民政、公安、司法行</w:t>
      </w:r>
      <w:r>
        <w:rPr>
          <w:rFonts w:hint="eastAsia" w:ascii="仿宋" w:hAnsi="仿宋" w:eastAsia="仿宋" w:cs="仿宋"/>
          <w:spacing w:val="-13"/>
          <w:sz w:val="30"/>
          <w:szCs w:val="30"/>
        </w:rPr>
        <w:t>政、计划生育等行政工作；维护社会秩序，确保社会稳定，</w:t>
      </w:r>
      <w:r>
        <w:rPr>
          <w:rFonts w:hint="eastAsia" w:ascii="仿宋" w:hAnsi="仿宋" w:eastAsia="仿宋" w:cs="仿宋"/>
          <w:spacing w:val="6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2"/>
          <w:sz w:val="30"/>
          <w:szCs w:val="30"/>
        </w:rPr>
        <w:t>保障公民的人身权利、民主权利和其他权利.重点工作任务</w:t>
      </w:r>
      <w:r>
        <w:rPr>
          <w:rFonts w:hint="eastAsia" w:ascii="仿宋" w:hAnsi="仿宋" w:eastAsia="仿宋" w:cs="仿宋"/>
          <w:spacing w:val="15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6"/>
          <w:sz w:val="30"/>
          <w:szCs w:val="30"/>
        </w:rPr>
        <w:t>为做好防灾减灾、优抚安置、低保、扶贫救济等社会救助工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2"/>
          <w:sz w:val="30"/>
          <w:szCs w:val="30"/>
        </w:rPr>
        <w:t>作：开展疫情防控工作：乡村环境卫生整治工作等。</w:t>
      </w:r>
    </w:p>
    <w:p w14:paraId="3458AA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54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-12"/>
          <w:sz w:val="30"/>
          <w:szCs w:val="30"/>
        </w:rPr>
        <w:t>二</w:t>
      </w:r>
      <w:r>
        <w:rPr>
          <w:rFonts w:hint="eastAsia" w:ascii="仿宋" w:hAnsi="仿宋" w:eastAsia="仿宋" w:cs="仿宋"/>
          <w:spacing w:val="-5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b/>
          <w:bCs/>
          <w:spacing w:val="-12"/>
          <w:sz w:val="30"/>
          <w:szCs w:val="30"/>
        </w:rPr>
        <w:t>、一般公共预算支出情况</w:t>
      </w:r>
    </w:p>
    <w:p w14:paraId="76926D4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6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-14"/>
          <w:sz w:val="30"/>
          <w:szCs w:val="30"/>
        </w:rPr>
        <w:t>(一)基本支出惜况</w:t>
      </w:r>
    </w:p>
    <w:p w14:paraId="393AF5F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92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2"/>
          <w:sz w:val="30"/>
          <w:szCs w:val="30"/>
        </w:rPr>
        <w:t>2023年一般公共预算支出合计729.38万元，其中：基本支出709.65万元，占97.3%:基本支出中工资福利支</w:t>
      </w:r>
      <w:r>
        <w:rPr>
          <w:rFonts w:hint="eastAsia" w:ascii="仿宋" w:hAnsi="仿宋" w:eastAsia="仿宋" w:cs="仿宋"/>
          <w:spacing w:val="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6"/>
          <w:sz w:val="30"/>
          <w:szCs w:val="30"/>
        </w:rPr>
        <w:t>出517.16万元，占比70.9%,商品和服</w:t>
      </w:r>
      <w:r>
        <w:rPr>
          <w:rFonts w:hint="eastAsia" w:ascii="仿宋" w:hAnsi="仿宋" w:eastAsia="仿宋" w:cs="仿宋"/>
          <w:spacing w:val="5"/>
          <w:sz w:val="30"/>
          <w:szCs w:val="30"/>
        </w:rPr>
        <w:t>务支出224.64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万元，占比30.8%:对个人和家庭的补助4.58万元，占</w:t>
      </w:r>
      <w:r>
        <w:rPr>
          <w:rFonts w:hint="eastAsia" w:ascii="仿宋" w:hAnsi="仿宋" w:eastAsia="仿宋" w:cs="仿宋"/>
          <w:spacing w:val="13"/>
          <w:sz w:val="30"/>
          <w:szCs w:val="30"/>
        </w:rPr>
        <w:t>比0</w:t>
      </w:r>
      <w:r>
        <w:rPr>
          <w:rFonts w:hint="eastAsia" w:ascii="仿宋" w:hAnsi="仿宋" w:eastAsia="仿宋" w:cs="仿宋"/>
          <w:spacing w:val="-65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13"/>
          <w:sz w:val="30"/>
          <w:szCs w:val="30"/>
        </w:rPr>
        <w:t>.628%</w:t>
      </w:r>
      <w:r>
        <w:rPr>
          <w:rFonts w:hint="eastAsia" w:ascii="仿宋" w:hAnsi="仿宋" w:eastAsia="仿宋" w:cs="仿宋"/>
          <w:spacing w:val="-68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13"/>
          <w:sz w:val="30"/>
          <w:szCs w:val="30"/>
        </w:rPr>
        <w:t>.</w:t>
      </w:r>
    </w:p>
    <w:p w14:paraId="34F07BA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22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5"/>
          <w:sz w:val="30"/>
          <w:szCs w:val="30"/>
        </w:rPr>
        <w:t>(二)项目支出惰况</w:t>
      </w:r>
    </w:p>
    <w:p w14:paraId="0D0E334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96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pacing w:val="-1"/>
          <w:sz w:val="30"/>
          <w:szCs w:val="30"/>
        </w:rPr>
        <w:t>2023年一般公共预算支出合计729.38万元，其中项目</w:t>
      </w:r>
      <w:r>
        <w:rPr>
          <w:rFonts w:hint="eastAsia" w:ascii="仿宋" w:hAnsi="仿宋" w:eastAsia="仿宋" w:cs="仿宋"/>
          <w:spacing w:val="15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7"/>
          <w:sz w:val="30"/>
          <w:szCs w:val="30"/>
        </w:rPr>
        <w:t xml:space="preserve">支出57.4万元，占比7.87%;其中基础设施建设支出 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57.4万元，占项目支出100%;内涵农村改厕项目37.64</w:t>
      </w:r>
      <w:r>
        <w:rPr>
          <w:rFonts w:hint="eastAsia" w:ascii="仿宋" w:hAnsi="仿宋" w:eastAsia="仿宋" w:cs="仿宋"/>
          <w:spacing w:val="7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万元、政府公租房项目19.73万元</w:t>
      </w:r>
      <w:r>
        <w:rPr>
          <w:rFonts w:hint="eastAsia" w:ascii="仿宋" w:hAnsi="仿宋" w:eastAsia="仿宋" w:cs="仿宋"/>
          <w:spacing w:val="-1"/>
          <w:sz w:val="30"/>
          <w:szCs w:val="30"/>
          <w:lang w:eastAsia="zh-CN"/>
        </w:rPr>
        <w:t>。</w:t>
      </w:r>
    </w:p>
    <w:p w14:paraId="2149B0C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2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-10"/>
          <w:sz w:val="30"/>
          <w:szCs w:val="30"/>
        </w:rPr>
        <w:t>三、政府性基金预算支出情况</w:t>
      </w:r>
    </w:p>
    <w:p w14:paraId="416A2EB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96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1"/>
          <w:sz w:val="30"/>
          <w:szCs w:val="30"/>
        </w:rPr>
        <w:t>2023年政府性基金拨款0万元，拆迁和征地补偿支出0</w:t>
      </w:r>
      <w:r>
        <w:rPr>
          <w:rFonts w:hint="eastAsia" w:ascii="仿宋" w:hAnsi="仿宋" w:eastAsia="仿宋" w:cs="仿宋"/>
          <w:spacing w:val="13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万元，维修支出0万元。</w:t>
      </w:r>
      <w:r>
        <w:rPr>
          <w:rFonts w:hint="eastAsia" w:ascii="仿宋" w:hAnsi="仿宋" w:eastAsia="仿宋" w:cs="仿宋"/>
          <w:spacing w:val="-80"/>
          <w:sz w:val="30"/>
          <w:szCs w:val="30"/>
        </w:rPr>
        <w:t xml:space="preserve"> </w:t>
      </w:r>
    </w:p>
    <w:p w14:paraId="42F3EB6D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8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8"/>
          <w:sz w:val="30"/>
          <w:szCs w:val="30"/>
        </w:rPr>
        <w:t>国有资本经营预算支出情况</w:t>
      </w:r>
      <w:r>
        <w:rPr>
          <w:rFonts w:hint="eastAsia" w:ascii="仿宋" w:hAnsi="仿宋" w:eastAsia="仿宋" w:cs="仿宋"/>
          <w:spacing w:val="-8"/>
          <w:sz w:val="30"/>
          <w:szCs w:val="30"/>
          <w:lang w:eastAsia="zh-CN"/>
        </w:rPr>
        <w:t>、</w:t>
      </w:r>
    </w:p>
    <w:p w14:paraId="76DC48C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rightChars="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无</w:t>
      </w:r>
    </w:p>
    <w:p w14:paraId="2BBDC5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58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-11"/>
          <w:sz w:val="30"/>
          <w:szCs w:val="30"/>
        </w:rPr>
        <w:t>五、社会保险基金预算支出情况</w:t>
      </w:r>
    </w:p>
    <w:p w14:paraId="280F9AC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无</w:t>
      </w:r>
    </w:p>
    <w:p w14:paraId="185E893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2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-10"/>
          <w:sz w:val="30"/>
          <w:szCs w:val="30"/>
        </w:rPr>
        <w:t>六、部门整体支出绩效情况</w:t>
      </w:r>
    </w:p>
    <w:p w14:paraId="784DF8F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10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2"/>
          <w:sz w:val="30"/>
          <w:szCs w:val="30"/>
        </w:rPr>
        <w:t>(一)投入惰况分析</w:t>
      </w:r>
    </w:p>
    <w:p w14:paraId="65D6283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36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9"/>
          <w:sz w:val="30"/>
          <w:szCs w:val="30"/>
        </w:rPr>
        <w:t>2023</w:t>
      </w:r>
      <w:r>
        <w:rPr>
          <w:rFonts w:hint="eastAsia" w:ascii="仿宋" w:hAnsi="仿宋" w:eastAsia="仿宋" w:cs="仿宋"/>
          <w:spacing w:val="-33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9"/>
          <w:sz w:val="30"/>
          <w:szCs w:val="30"/>
        </w:rPr>
        <w:t>年全年预算收入803.76</w:t>
      </w:r>
      <w:r>
        <w:rPr>
          <w:rFonts w:hint="eastAsia" w:ascii="仿宋" w:hAnsi="仿宋" w:eastAsia="仿宋" w:cs="仿宋"/>
          <w:spacing w:val="-17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9"/>
          <w:sz w:val="30"/>
          <w:szCs w:val="30"/>
        </w:rPr>
        <w:t>万元，一</w:t>
      </w:r>
      <w:r>
        <w:rPr>
          <w:rFonts w:hint="eastAsia" w:ascii="仿宋" w:hAnsi="仿宋" w:eastAsia="仿宋" w:cs="仿宋"/>
          <w:spacing w:val="8"/>
          <w:sz w:val="30"/>
          <w:szCs w:val="30"/>
        </w:rPr>
        <w:t>般公共预算</w:t>
      </w:r>
      <w:r>
        <w:rPr>
          <w:rFonts w:hint="eastAsia" w:ascii="仿宋" w:hAnsi="仿宋" w:eastAsia="仿宋" w:cs="仿宋"/>
          <w:spacing w:val="5"/>
          <w:sz w:val="30"/>
          <w:szCs w:val="30"/>
        </w:rPr>
        <w:t>729.38万元，占比90.75%;政府性基金拨款0万元，</w:t>
      </w:r>
      <w:r>
        <w:rPr>
          <w:rFonts w:hint="eastAsia" w:ascii="仿宋" w:hAnsi="仿宋" w:eastAsia="仿宋" w:cs="仿宋"/>
          <w:spacing w:val="4"/>
          <w:sz w:val="30"/>
          <w:szCs w:val="30"/>
        </w:rPr>
        <w:t>占比</w:t>
      </w:r>
      <w:r>
        <w:rPr>
          <w:rFonts w:hint="eastAsia" w:ascii="仿宋" w:hAnsi="仿宋" w:eastAsia="仿宋" w:cs="仿宋"/>
          <w:spacing w:val="13"/>
          <w:sz w:val="30"/>
          <w:szCs w:val="30"/>
        </w:rPr>
        <w:t>0%;其他收入74.38万元，占比9.25%-全年预算收入较上</w:t>
      </w:r>
      <w:r>
        <w:rPr>
          <w:rFonts w:hint="eastAsia" w:ascii="仿宋" w:hAnsi="仿宋" w:eastAsia="仿宋" w:cs="仿宋"/>
          <w:sz w:val="30"/>
          <w:szCs w:val="30"/>
        </w:rPr>
        <w:t>年增加142.04万元，原因在于财政制度改革，一收一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支，</w:t>
      </w:r>
      <w:r>
        <w:rPr>
          <w:rFonts w:hint="eastAsia" w:ascii="仿宋" w:hAnsi="仿宋" w:eastAsia="仿宋" w:cs="仿宋"/>
          <w:spacing w:val="1"/>
          <w:sz w:val="30"/>
          <w:szCs w:val="30"/>
        </w:rPr>
        <w:t>上年年初动用财政零余颤制度。</w:t>
      </w:r>
    </w:p>
    <w:p w14:paraId="6D8D39E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30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7"/>
          <w:sz w:val="30"/>
          <w:szCs w:val="30"/>
        </w:rPr>
        <w:t>(二)执行管理惰况分析</w:t>
      </w:r>
    </w:p>
    <w:p w14:paraId="518C10F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28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7"/>
          <w:sz w:val="30"/>
          <w:szCs w:val="30"/>
        </w:rPr>
        <w:t>我镇及时组织财务人员进行预决算的编制，按时完成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2023年预算编制及公开，对本年度相应用款进行及时清理和处理，做到账账相符、账实相符、账证相符，按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先有预算再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支出的原则，及时处理相关事务；对年度绩效目标进行季度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9"/>
          <w:sz w:val="30"/>
          <w:szCs w:val="30"/>
        </w:rPr>
        <w:t>梳理和年度分析，及时上报相关报表；对专项预算提前细化，</w:t>
      </w:r>
      <w:r>
        <w:rPr>
          <w:rFonts w:hint="eastAsia" w:ascii="仿宋" w:hAnsi="仿宋" w:eastAsia="仿宋" w:cs="仿宋"/>
          <w:spacing w:val="4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分科目上报，做到收支平衡。</w:t>
      </w:r>
    </w:p>
    <w:p w14:paraId="6B06F9E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22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5"/>
          <w:sz w:val="30"/>
          <w:szCs w:val="30"/>
        </w:rPr>
        <w:t>(三)支出绩效惰况分析</w:t>
      </w:r>
    </w:p>
    <w:p w14:paraId="04B4C3C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16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4"/>
          <w:sz w:val="30"/>
          <w:szCs w:val="30"/>
        </w:rPr>
        <w:t>2023年决算支出为803.76万元，执行率为100%</w:t>
      </w:r>
      <w:r>
        <w:rPr>
          <w:rFonts w:hint="eastAsia" w:ascii="仿宋" w:hAnsi="仿宋" w:eastAsia="仿宋" w:cs="仿宋"/>
          <w:spacing w:val="3"/>
          <w:sz w:val="30"/>
          <w:szCs w:val="30"/>
        </w:rPr>
        <w:t>。2023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4"/>
          <w:sz w:val="30"/>
          <w:szCs w:val="30"/>
        </w:rPr>
        <w:t>年决算数较2022年有所上升，主要在公用经费及项</w:t>
      </w:r>
      <w:r>
        <w:rPr>
          <w:rFonts w:hint="eastAsia" w:ascii="仿宋" w:hAnsi="仿宋" w:eastAsia="仿宋" w:cs="仿宋"/>
          <w:spacing w:val="3"/>
          <w:sz w:val="30"/>
          <w:szCs w:val="30"/>
        </w:rPr>
        <w:t>目类支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出有所增加，用于项目建设导致经费增加，人员的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变动调整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也导致人员工资类经费有所增加。2023年人居环境</w:t>
      </w:r>
      <w:r>
        <w:rPr>
          <w:rFonts w:hint="eastAsia" w:ascii="仿宋" w:hAnsi="仿宋" w:eastAsia="仿宋" w:cs="仿宋"/>
          <w:spacing w:val="-5"/>
          <w:sz w:val="30"/>
          <w:szCs w:val="30"/>
        </w:rPr>
        <w:t>、乡村振兴、农村基础设施建设、防火防汛等工作都圆满完成，群众</w:t>
      </w:r>
      <w:r>
        <w:rPr>
          <w:rFonts w:hint="eastAsia" w:ascii="仿宋" w:hAnsi="仿宋" w:eastAsia="仿宋" w:cs="仿宋"/>
          <w:spacing w:val="34"/>
          <w:sz w:val="30"/>
          <w:szCs w:val="30"/>
        </w:rPr>
        <w:t>满意度</w:t>
      </w:r>
      <w:r>
        <w:rPr>
          <w:rFonts w:hint="eastAsia" w:cs="仿宋"/>
          <w:spacing w:val="34"/>
          <w:sz w:val="30"/>
          <w:szCs w:val="30"/>
          <w:lang w:val="en-US" w:eastAsia="zh-CN"/>
        </w:rPr>
        <w:t>较</w:t>
      </w:r>
      <w:r>
        <w:rPr>
          <w:rFonts w:hint="eastAsia" w:ascii="仿宋" w:hAnsi="仿宋" w:eastAsia="仿宋" w:cs="仿宋"/>
          <w:spacing w:val="34"/>
          <w:sz w:val="30"/>
          <w:szCs w:val="30"/>
        </w:rPr>
        <w:t>高</w:t>
      </w:r>
      <w:r>
        <w:rPr>
          <w:rFonts w:hint="eastAsia" w:ascii="仿宋" w:hAnsi="仿宋" w:eastAsia="仿宋" w:cs="仿宋"/>
          <w:spacing w:val="-55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34"/>
          <w:sz w:val="30"/>
          <w:szCs w:val="30"/>
        </w:rPr>
        <w:t>。</w:t>
      </w:r>
    </w:p>
    <w:p w14:paraId="240B1EC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98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24"/>
          <w:sz w:val="30"/>
          <w:szCs w:val="30"/>
        </w:rPr>
        <w:t>(</w:t>
      </w:r>
      <w:r>
        <w:rPr>
          <w:rFonts w:hint="eastAsia" w:cs="仿宋"/>
          <w:b/>
          <w:bCs/>
          <w:spacing w:val="24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pacing w:val="24"/>
          <w:sz w:val="30"/>
          <w:szCs w:val="30"/>
        </w:rPr>
        <w:t>)资产管理惰况</w:t>
      </w:r>
    </w:p>
    <w:p w14:paraId="1071546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04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1"/>
          <w:sz w:val="30"/>
          <w:szCs w:val="30"/>
        </w:rPr>
        <w:t>我镇严格按照《资产管理制度》,明确了资产配置</w:t>
      </w:r>
      <w:r>
        <w:rPr>
          <w:rFonts w:hint="eastAsia" w:ascii="仿宋" w:hAnsi="仿宋" w:eastAsia="仿宋" w:cs="仿宋"/>
          <w:sz w:val="30"/>
          <w:szCs w:val="30"/>
        </w:rPr>
        <w:t xml:space="preserve">、资 </w:t>
      </w:r>
      <w:r>
        <w:rPr>
          <w:rFonts w:hint="eastAsia" w:ascii="仿宋" w:hAnsi="仿宋" w:eastAsia="仿宋" w:cs="仿宋"/>
          <w:spacing w:val="-6"/>
          <w:sz w:val="30"/>
          <w:szCs w:val="30"/>
        </w:rPr>
        <w:t>产采购、资产使用、资产调配、资产报废等各环节的流程及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审批权限，并严格按服制度执行，以确保固定资产配置合理、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采购合规、使用高效、管理规范。一是指定由专</w:t>
      </w:r>
      <w:r>
        <w:rPr>
          <w:rFonts w:hint="eastAsia" w:ascii="仿宋" w:hAnsi="仿宋" w:eastAsia="仿宋" w:cs="仿宋"/>
          <w:spacing w:val="-5"/>
          <w:sz w:val="30"/>
          <w:szCs w:val="30"/>
        </w:rPr>
        <w:t>人负责资产</w:t>
      </w:r>
      <w:r>
        <w:rPr>
          <w:rFonts w:hint="eastAsia" w:ascii="仿宋" w:hAnsi="仿宋" w:eastAsia="仿宋" w:cs="仿宋"/>
          <w:spacing w:val="-15"/>
          <w:sz w:val="30"/>
          <w:szCs w:val="30"/>
        </w:rPr>
        <w:t>管理工作：二是共享共用，盘活存量资产。对打印机、传真机等均做到了共享共用：对于已达报废年限、尚可使用的资</w:t>
      </w:r>
      <w:r>
        <w:rPr>
          <w:rFonts w:hint="eastAsia" w:ascii="仿宋" w:hAnsi="仿宋" w:eastAsia="仿宋" w:cs="仿宋"/>
          <w:spacing w:val="3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5"/>
          <w:sz w:val="30"/>
          <w:szCs w:val="30"/>
        </w:rPr>
        <w:t>产，坚持能用则用的原则，最大程度发挥资产使用效益；三</w:t>
      </w:r>
      <w:r>
        <w:rPr>
          <w:rFonts w:hint="eastAsia"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5"/>
          <w:sz w:val="30"/>
          <w:szCs w:val="30"/>
        </w:rPr>
        <w:t>是合理配置、采购有序。我镇严格按照财政资产配置相关标</w:t>
      </w:r>
      <w:r>
        <w:rPr>
          <w:rFonts w:hint="eastAsia" w:ascii="仿宋" w:hAnsi="仿宋" w:eastAsia="仿宋" w:cs="仿宋"/>
          <w:spacing w:val="13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8"/>
          <w:sz w:val="30"/>
          <w:szCs w:val="30"/>
        </w:rPr>
        <w:t>准并结合单位资产使用惰况</w:t>
      </w:r>
      <w:r>
        <w:rPr>
          <w:rFonts w:hint="eastAsia" w:cs="仿宋"/>
          <w:spacing w:val="-8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pacing w:val="-8"/>
          <w:sz w:val="30"/>
          <w:szCs w:val="30"/>
        </w:rPr>
        <w:t>申抵采购。</w:t>
      </w:r>
      <w:r>
        <w:rPr>
          <w:rFonts w:hint="eastAsia" w:ascii="仿宋" w:hAnsi="仿宋" w:eastAsia="仿宋" w:cs="仿宋"/>
          <w:spacing w:val="-10"/>
          <w:sz w:val="30"/>
          <w:szCs w:val="30"/>
        </w:rPr>
        <w:t>截止2023年年末，苏木溪瑶族乡国有资产491.05万元</w:t>
      </w:r>
      <w:r>
        <w:rPr>
          <w:rFonts w:hint="eastAsia" w:cs="仿宋"/>
          <w:spacing w:val="-1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pacing w:val="-6"/>
          <w:sz w:val="30"/>
          <w:szCs w:val="30"/>
        </w:rPr>
        <w:t>占资产总额100%。固定资产总额491.05万元，土地、</w:t>
      </w:r>
      <w:r>
        <w:rPr>
          <w:rFonts w:hint="eastAsia" w:ascii="仿宋" w:hAnsi="仿宋" w:eastAsia="仿宋" w:cs="仿宋"/>
          <w:spacing w:val="-7"/>
          <w:sz w:val="30"/>
          <w:szCs w:val="30"/>
        </w:rPr>
        <w:t>房屋</w:t>
      </w:r>
      <w:r>
        <w:rPr>
          <w:rFonts w:hint="eastAsia" w:ascii="仿宋" w:hAnsi="仿宋" w:eastAsia="仿宋" w:cs="仿宋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spacing w:val="2"/>
          <w:sz w:val="30"/>
          <w:szCs w:val="30"/>
        </w:rPr>
        <w:t>及建筑物183.83万元，占比49.59%;设备3.4万元，占比</w:t>
      </w:r>
      <w:r>
        <w:rPr>
          <w:rFonts w:hint="eastAsia" w:ascii="仿宋" w:hAnsi="仿宋" w:eastAsia="仿宋" w:cs="仿宋"/>
          <w:spacing w:val="15"/>
          <w:sz w:val="30"/>
          <w:szCs w:val="30"/>
        </w:rPr>
        <w:t>0.92%;家具、用具2万元，占比0.54</w:t>
      </w:r>
      <w:r>
        <w:rPr>
          <w:rFonts w:hint="eastAsia" w:ascii="仿宋" w:hAnsi="仿宋" w:eastAsia="仿宋" w:cs="仿宋"/>
          <w:spacing w:val="14"/>
          <w:sz w:val="30"/>
          <w:szCs w:val="30"/>
        </w:rPr>
        <w:t>%。</w:t>
      </w:r>
    </w:p>
    <w:p w14:paraId="09CE5DC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50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-13"/>
          <w:sz w:val="30"/>
          <w:szCs w:val="30"/>
        </w:rPr>
        <w:t>七、存在的问题及原因分析</w:t>
      </w:r>
    </w:p>
    <w:p w14:paraId="2FC6D5C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56" w:firstLineChars="200"/>
        <w:jc w:val="left"/>
        <w:textAlignment w:val="baseline"/>
        <w:rPr>
          <w:rFonts w:hint="eastAsia" w:ascii="仿宋" w:hAnsi="仿宋" w:eastAsia="仿宋" w:cs="仿宋"/>
          <w:spacing w:val="-11"/>
          <w:sz w:val="30"/>
          <w:szCs w:val="30"/>
        </w:rPr>
      </w:pPr>
      <w:r>
        <w:rPr>
          <w:rFonts w:hint="eastAsia" w:ascii="仿宋" w:hAnsi="仿宋" w:eastAsia="仿宋" w:cs="仿宋"/>
          <w:spacing w:val="-11"/>
          <w:sz w:val="30"/>
          <w:szCs w:val="30"/>
        </w:rPr>
        <w:t>1.部门绩效目标设置不够完</w:t>
      </w:r>
      <w:r>
        <w:rPr>
          <w:rFonts w:hint="eastAsia" w:cs="仿宋"/>
          <w:spacing w:val="-11"/>
          <w:sz w:val="30"/>
          <w:szCs w:val="30"/>
          <w:lang w:val="en-US" w:eastAsia="zh-CN"/>
        </w:rPr>
        <w:t>全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。</w:t>
      </w:r>
    </w:p>
    <w:p w14:paraId="27E2736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24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19"/>
          <w:sz w:val="30"/>
          <w:szCs w:val="30"/>
        </w:rPr>
        <w:t>2.预算编制不够扎实。在预算执行过程中调整变动较大，</w:t>
      </w:r>
      <w:r>
        <w:rPr>
          <w:rFonts w:hint="eastAsia"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3"/>
          <w:sz w:val="30"/>
          <w:szCs w:val="30"/>
        </w:rPr>
        <w:t>客观存在实际支出与年初预算发生偏差。</w:t>
      </w:r>
    </w:p>
    <w:p w14:paraId="186F4D4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72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7"/>
          <w:sz w:val="30"/>
          <w:szCs w:val="30"/>
        </w:rPr>
        <w:t>3、部分款项支付不及时。</w:t>
      </w:r>
    </w:p>
    <w:p w14:paraId="0DEDA36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14" w:firstLineChars="200"/>
        <w:jc w:val="left"/>
        <w:textAlignment w:val="baseline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3"/>
          <w:sz w:val="30"/>
          <w:szCs w:val="30"/>
        </w:rPr>
        <w:t>八、下一步改进措施</w:t>
      </w:r>
    </w:p>
    <w:p w14:paraId="231C9A7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28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18"/>
          <w:sz w:val="30"/>
          <w:szCs w:val="30"/>
        </w:rPr>
        <w:t>1.进一步规范绩效目标编制。在编制绩效目标时，要求</w:t>
      </w:r>
      <w:r>
        <w:rPr>
          <w:rFonts w:hint="eastAsia"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9"/>
          <w:sz w:val="30"/>
          <w:szCs w:val="30"/>
        </w:rPr>
        <w:t>指向明确，细化量化、合理可行。进一步加强单位内部机构</w:t>
      </w:r>
      <w:r>
        <w:rPr>
          <w:rFonts w:hint="eastAsia" w:ascii="仿宋" w:hAnsi="仿宋" w:eastAsia="仿宋" w:cs="仿宋"/>
          <w:spacing w:val="18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9"/>
          <w:sz w:val="30"/>
          <w:szCs w:val="30"/>
        </w:rPr>
        <w:t>各部门的预算管理意识，严格按照预算编制的相关制度和要</w:t>
      </w:r>
      <w:r>
        <w:rPr>
          <w:rFonts w:hint="eastAsia" w:ascii="仿宋" w:hAnsi="仿宋" w:eastAsia="仿宋" w:cs="仿宋"/>
          <w:spacing w:val="11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4"/>
          <w:sz w:val="30"/>
          <w:szCs w:val="30"/>
        </w:rPr>
        <w:t>求进行预算编制。</w:t>
      </w:r>
    </w:p>
    <w:p w14:paraId="10B7274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28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18"/>
          <w:sz w:val="30"/>
          <w:szCs w:val="30"/>
        </w:rPr>
        <w:t>2.加快预算执行力度，强化预算约束。增强预算的刚性</w:t>
      </w:r>
      <w:r>
        <w:rPr>
          <w:rFonts w:hint="eastAsia" w:ascii="仿宋" w:hAnsi="仿宋" w:eastAsia="仿宋" w:cs="仿宋"/>
          <w:spacing w:val="7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spacing w:val="-15"/>
          <w:sz w:val="30"/>
          <w:szCs w:val="30"/>
        </w:rPr>
        <w:t>约束，严格做到“无预算不支出”,强化预算</w:t>
      </w:r>
      <w:r>
        <w:rPr>
          <w:rFonts w:hint="eastAsia" w:ascii="仿宋" w:hAnsi="仿宋" w:eastAsia="仿宋" w:cs="仿宋"/>
          <w:spacing w:val="-16"/>
          <w:sz w:val="30"/>
          <w:szCs w:val="30"/>
        </w:rPr>
        <w:t>对执行的控制。</w:t>
      </w:r>
    </w:p>
    <w:p w14:paraId="29498F0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15"/>
          <w:sz w:val="30"/>
          <w:szCs w:val="30"/>
        </w:rPr>
        <w:t>3.加强财务管理，严格财务审核。加强单位财务管理，</w:t>
      </w:r>
      <w:r>
        <w:rPr>
          <w:rFonts w:hint="eastAsia" w:ascii="仿宋" w:hAnsi="仿宋" w:eastAsia="仿宋" w:cs="仿宋"/>
          <w:spacing w:val="-16"/>
          <w:sz w:val="30"/>
          <w:szCs w:val="30"/>
        </w:rPr>
        <w:t>健全单位财务管理制度体系，规范单位财务行为。在费用报</w:t>
      </w:r>
      <w:r>
        <w:rPr>
          <w:rFonts w:hint="eastAsia" w:ascii="仿宋" w:hAnsi="仿宋" w:eastAsia="仿宋" w:cs="仿宋"/>
          <w:spacing w:val="18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5"/>
          <w:sz w:val="30"/>
          <w:szCs w:val="30"/>
        </w:rPr>
        <w:t>账支付时，按照预算规定的费用项目和用遮进行资金使用审</w:t>
      </w:r>
      <w:r>
        <w:rPr>
          <w:rFonts w:hint="eastAsia" w:ascii="仿宋" w:hAnsi="仿宋" w:eastAsia="仿宋" w:cs="仿宋"/>
          <w:spacing w:val="1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核、列抵支付、财务核算，杜绝超支现象的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发生。</w:t>
      </w:r>
    </w:p>
    <w:p w14:paraId="265AC6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2" w:firstLineChars="200"/>
        <w:jc w:val="left"/>
        <w:textAlignment w:val="baseline"/>
        <w:outlineLvl w:val="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pacing w:val="-15"/>
          <w:sz w:val="30"/>
          <w:szCs w:val="30"/>
        </w:rPr>
        <w:t>九、部门整体支出绩效自评结果拟应用和公开情况</w:t>
      </w:r>
    </w:p>
    <w:p w14:paraId="6764304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80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5"/>
          <w:sz w:val="30"/>
          <w:szCs w:val="30"/>
        </w:rPr>
        <w:t>我镇将于公开2023年决算苏木溪瑶族乡人民政府决算</w:t>
      </w:r>
      <w:r>
        <w:rPr>
          <w:rFonts w:hint="eastAsia" w:ascii="仿宋" w:hAnsi="仿宋" w:eastAsia="仿宋" w:cs="仿宋"/>
          <w:spacing w:val="-7"/>
          <w:sz w:val="30"/>
          <w:szCs w:val="30"/>
        </w:rPr>
        <w:t>抵告时同步在苏木溪瑶族乡门户网站上全文公开部门整体</w:t>
      </w:r>
      <w:r>
        <w:rPr>
          <w:rFonts w:hint="eastAsia" w:ascii="仿宋" w:hAnsi="仿宋" w:eastAsia="仿宋" w:cs="仿宋"/>
          <w:spacing w:val="-16"/>
          <w:sz w:val="30"/>
          <w:szCs w:val="30"/>
        </w:rPr>
        <w:t>支出绩效自评抵告，接受社会公众监督。通过开展绩效自评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6"/>
          <w:sz w:val="30"/>
          <w:szCs w:val="30"/>
        </w:rPr>
        <w:t>工作，一方面提高我镇工作人员的绩效管理意识，对自评过</w:t>
      </w:r>
      <w:r>
        <w:rPr>
          <w:rFonts w:hint="eastAsia" w:ascii="仿宋" w:hAnsi="仿宋" w:eastAsia="仿宋" w:cs="仿宋"/>
          <w:spacing w:val="-15"/>
          <w:sz w:val="30"/>
          <w:szCs w:val="30"/>
        </w:rPr>
        <w:t>程中发现的间题及时督促各部门加以整改，巩固绩效成果</w:t>
      </w:r>
      <w:r>
        <w:rPr>
          <w:rFonts w:hint="eastAsia" w:cs="仿宋"/>
          <w:spacing w:val="-15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pacing w:val="-18"/>
          <w:sz w:val="30"/>
          <w:szCs w:val="30"/>
        </w:rPr>
        <w:t>另一方面充分发挥绩效评价体系作用，做到绩效有目标，过</w:t>
      </w:r>
      <w:r>
        <w:rPr>
          <w:rFonts w:hint="eastAsia" w:ascii="仿宋" w:hAnsi="仿宋" w:eastAsia="仿宋" w:cs="仿宋"/>
          <w:spacing w:val="6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5"/>
          <w:sz w:val="30"/>
          <w:szCs w:val="30"/>
        </w:rPr>
        <w:t>程有监督，绩效有评价，评价有反馈，反馈有应用。</w:t>
      </w:r>
    </w:p>
    <w:p w14:paraId="6433C44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00" w:firstLineChars="20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4056380</wp:posOffset>
                </wp:positionH>
                <wp:positionV relativeFrom="paragraph">
                  <wp:posOffset>172720</wp:posOffset>
                </wp:positionV>
                <wp:extent cx="123190" cy="22352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190" cy="223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3C6A5C">
                            <w:pPr>
                              <w:spacing w:before="20" w:line="196" w:lineRule="auto"/>
                              <w:ind w:left="20"/>
                              <w:rPr>
                                <w:rFonts w:ascii="宋体" w:hAnsi="宋体" w:eastAsia="宋体" w:cs="宋体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15"/>
                                <w:sz w:val="14"/>
                                <w:szCs w:val="14"/>
                              </w:rPr>
                              <w:t>工卜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9.4pt;margin-top:13.6pt;height:17.6pt;width:9.7pt;z-index:251659264;mso-width-relative:page;mso-height-relative:page;" filled="f" stroked="f" coordsize="21600,21600" o:gfxdata="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3PtIQdYAAAAJAQAADwAAAAAAAAABACAAAAAiAAAAZHJzL2Rvd25yZXYueG1s&#10;UEsBAhQAFAAAAAgAh07iQEN7HqfBAQAAfwMAAA4AAAAAAAAAAQAgAAAAJQEAAGRycy9lMm9Eb2Mu&#10;eG1sUEsFBgAAAAAGAAYAWQEAAFgFAAAAAA==&#10;"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 w14:paraId="2B3C6A5C">
                      <w:pPr>
                        <w:spacing w:before="20" w:line="196" w:lineRule="auto"/>
                        <w:ind w:left="20"/>
                        <w:rPr>
                          <w:rFonts w:ascii="宋体" w:hAnsi="宋体" w:eastAsia="宋体" w:cs="宋体"/>
                          <w:sz w:val="14"/>
                          <w:szCs w:val="14"/>
                        </w:rPr>
                      </w:pPr>
                      <w:r>
                        <w:rPr>
                          <w:rFonts w:ascii="宋体" w:hAnsi="宋体" w:eastAsia="宋体" w:cs="宋体"/>
                          <w:spacing w:val="15"/>
                          <w:sz w:val="14"/>
                          <w:szCs w:val="14"/>
                        </w:rPr>
                        <w:t>工卜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pacing w:val="-6"/>
          <w:sz w:val="30"/>
          <w:szCs w:val="30"/>
        </w:rPr>
        <w:t>十，其他需要说明的情况</w:t>
      </w:r>
    </w:p>
    <w:p w14:paraId="4E6E587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jc w:val="left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8"/>
          <w:sz w:val="30"/>
          <w:szCs w:val="30"/>
        </w:rPr>
        <w:t>无</w:t>
      </w:r>
    </w:p>
    <w:p w14:paraId="276DC8C4">
      <w:pPr>
        <w:spacing w:line="240" w:lineRule="auto"/>
        <w:ind w:left="0" w:right="0" w:firstLine="0"/>
        <w:jc w:val="left"/>
        <w:rPr>
          <w:rFonts w:ascii="Arial"/>
          <w:sz w:val="21"/>
        </w:rPr>
      </w:pPr>
    </w:p>
    <w:p w14:paraId="00C8C710">
      <w:pPr>
        <w:spacing w:line="240" w:lineRule="auto"/>
        <w:ind w:left="0" w:right="0" w:firstLine="0"/>
        <w:jc w:val="left"/>
      </w:pPr>
      <w:r>
        <w:rPr>
          <w:position w:val="-2"/>
        </w:rPr>
        <w:drawing>
          <wp:inline distT="0" distB="0" distL="0" distR="0">
            <wp:extent cx="88265" cy="88900"/>
            <wp:effectExtent l="0" t="0" r="6985" b="635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864" cy="8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7C2B0">
      <w:pPr>
        <w:tabs>
          <w:tab w:val="left" w:pos="1240"/>
        </w:tabs>
        <w:spacing w:line="240" w:lineRule="auto"/>
        <w:ind w:left="0" w:right="0" w:firstLine="0"/>
        <w:jc w:val="right"/>
        <w:rPr>
          <w:spacing w:val="6"/>
          <w:sz w:val="25"/>
          <w:szCs w:val="25"/>
        </w:rPr>
      </w:pPr>
      <w:r>
        <w:rPr>
          <w:spacing w:val="-9"/>
          <w:sz w:val="25"/>
          <w:szCs w:val="25"/>
        </w:rPr>
        <w:t>展溪县苏木溪瑶族乡人民政府</w:t>
      </w:r>
    </w:p>
    <w:p w14:paraId="32965586">
      <w:pPr>
        <w:tabs>
          <w:tab w:val="left" w:pos="1240"/>
        </w:tabs>
        <w:spacing w:line="240" w:lineRule="auto"/>
        <w:ind w:left="0" w:right="0" w:firstLine="0"/>
        <w:jc w:val="center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pacing w:val="20"/>
          <w:sz w:val="25"/>
          <w:szCs w:val="25"/>
          <w:lang w:val="en-US" w:eastAsia="zh-CN"/>
        </w:rPr>
        <w:t xml:space="preserve">                               </w:t>
      </w:r>
      <w:r>
        <w:rPr>
          <w:rFonts w:ascii="宋体" w:hAnsi="宋体" w:eastAsia="宋体" w:cs="宋体"/>
          <w:spacing w:val="20"/>
          <w:sz w:val="25"/>
          <w:szCs w:val="25"/>
        </w:rPr>
        <w:t>2024年4月17日</w:t>
      </w:r>
    </w:p>
    <w:p w14:paraId="0D555A3A">
      <w:pPr>
        <w:pStyle w:val="2"/>
        <w:spacing w:before="38" w:line="313" w:lineRule="auto"/>
        <w:ind w:left="340" w:right="430"/>
        <w:jc w:val="both"/>
        <w:rPr>
          <w:spacing w:val="-12"/>
          <w:sz w:val="24"/>
          <w:szCs w:val="24"/>
        </w:rPr>
      </w:pPr>
    </w:p>
    <w:p w14:paraId="248E3B20">
      <w:pPr>
        <w:pStyle w:val="2"/>
        <w:spacing w:before="239" w:line="376" w:lineRule="auto"/>
        <w:ind w:left="1334" w:right="1820" w:firstLine="420"/>
        <w:rPr>
          <w:sz w:val="19"/>
          <w:szCs w:val="19"/>
        </w:rPr>
      </w:pPr>
    </w:p>
    <w:p w14:paraId="12F5A159">
      <w:pPr>
        <w:spacing w:line="315" w:lineRule="auto"/>
        <w:rPr>
          <w:rFonts w:ascii="Arial"/>
          <w:sz w:val="21"/>
        </w:rPr>
      </w:pPr>
    </w:p>
    <w:p w14:paraId="6FE9FA0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C8245D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B0A900"/>
    <w:multiLevelType w:val="singleLevel"/>
    <w:tmpl w:val="99B0A90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4YjE0Njc3MGIxYTQwNTZiNzY0NGVkNDg5Yzc1ODMifQ=="/>
  </w:docVars>
  <w:rsids>
    <w:rsidRoot w:val="7D4F06E8"/>
    <w:rsid w:val="756E7726"/>
    <w:rsid w:val="7D4F0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2337</Words>
  <Characters>2546</Characters>
  <Lines>0</Lines>
  <Paragraphs>0</Paragraphs>
  <TotalTime>10</TotalTime>
  <ScaleCrop>false</ScaleCrop>
  <LinksUpToDate>false</LinksUpToDate>
  <CharactersWithSpaces>2629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2024-10-23T03:13:00Z</dcterms:created>
  <dc:creator>Me</dc:creator>
  <cp:lastModifiedBy>86135</cp:lastModifiedBy>
  <dcterms:modified xsi:type="dcterms:W3CDTF">2024-11-04T09:49:15Z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0D767AA9C39448BDA995F332039D4ADB_13</vt:lpwstr>
  </property>
</Properties>
</file>