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6ADA7B">
      <w:pPr>
        <w:pageBreakBefore w:val="0"/>
        <w:wordWrap w:val="0"/>
        <w:spacing w:before="0" w:after="0" w:line="760" w:lineRule="atLeast"/>
        <w:ind w:left="0" w:right="0"/>
        <w:jc w:val="center"/>
        <w:textAlignment w:val="baseline"/>
        <w:rPr>
          <w:sz w:val="56"/>
        </w:rPr>
      </w:pPr>
      <w:r>
        <w:rPr>
          <w:rFonts w:ascii="宋体" w:hAnsi="宋体" w:eastAsia="宋体" w:cs="宋体"/>
          <w:b w:val="0"/>
          <w:i w:val="0"/>
          <w:color w:val="000000"/>
          <w:spacing w:val="0"/>
          <w:sz w:val="56"/>
        </w:rPr>
        <w:t>202</w:t>
      </w:r>
      <w:r>
        <w:rPr>
          <w:rFonts w:hint="eastAsia" w:ascii="宋体" w:hAnsi="宋体" w:eastAsia="宋体" w:cs="宋体"/>
          <w:b w:val="0"/>
          <w:i w:val="0"/>
          <w:color w:val="000000"/>
          <w:spacing w:val="0"/>
          <w:sz w:val="56"/>
          <w:lang w:val="en-US" w:eastAsia="zh-CN"/>
        </w:rPr>
        <w:t>4</w:t>
      </w:r>
      <w:r>
        <w:rPr>
          <w:rFonts w:ascii="宋体" w:hAnsi="宋体" w:eastAsia="宋体" w:cs="宋体"/>
          <w:b w:val="0"/>
          <w:i w:val="0"/>
          <w:color w:val="000000"/>
          <w:spacing w:val="0"/>
          <w:sz w:val="56"/>
        </w:rPr>
        <w:t>年度</w:t>
      </w:r>
      <w:r>
        <w:rPr>
          <w:rFonts w:hint="eastAsia" w:ascii="宋体" w:hAnsi="宋体" w:eastAsia="宋体" w:cs="宋体"/>
          <w:b w:val="0"/>
          <w:i w:val="0"/>
          <w:color w:val="000000"/>
          <w:spacing w:val="0"/>
          <w:sz w:val="56"/>
          <w:lang w:eastAsia="zh-CN"/>
        </w:rPr>
        <w:t>苏木溪瑶族乡人民政府</w:t>
      </w:r>
      <w:r>
        <w:rPr>
          <w:rFonts w:ascii="宋体" w:hAnsi="宋体" w:eastAsia="宋体" w:cs="宋体"/>
          <w:b w:val="0"/>
          <w:i w:val="0"/>
          <w:color w:val="000000"/>
          <w:spacing w:val="0"/>
          <w:sz w:val="56"/>
        </w:rPr>
        <w:t>部门整体支出绩效自评报告</w:t>
      </w:r>
    </w:p>
    <w:p w14:paraId="589D749C">
      <w:pPr>
        <w:pageBreakBefore w:val="0"/>
        <w:wordWrap w:val="0"/>
        <w:spacing w:before="0" w:after="0" w:line="760" w:lineRule="exact"/>
        <w:ind w:left="0" w:right="0"/>
        <w:jc w:val="center"/>
        <w:textAlignment w:val="baseline"/>
        <w:rPr>
          <w:sz w:val="56"/>
        </w:rPr>
      </w:pPr>
    </w:p>
    <w:p w14:paraId="7149E7CE">
      <w:pPr>
        <w:pageBreakBefore w:val="0"/>
        <w:wordWrap w:val="0"/>
        <w:spacing w:before="0" w:after="0" w:line="760" w:lineRule="exact"/>
        <w:ind w:left="0" w:right="0"/>
        <w:jc w:val="center"/>
        <w:textAlignment w:val="baseline"/>
        <w:rPr>
          <w:sz w:val="56"/>
        </w:rPr>
      </w:pPr>
    </w:p>
    <w:p w14:paraId="647C5C8F">
      <w:pPr>
        <w:pageBreakBefore w:val="0"/>
        <w:wordWrap w:val="0"/>
        <w:spacing w:before="0" w:after="0" w:line="760" w:lineRule="exact"/>
        <w:ind w:left="0" w:right="0"/>
        <w:jc w:val="center"/>
        <w:textAlignment w:val="baseline"/>
        <w:rPr>
          <w:sz w:val="56"/>
        </w:rPr>
      </w:pPr>
    </w:p>
    <w:p w14:paraId="62FE926F">
      <w:pPr>
        <w:pageBreakBefore w:val="0"/>
        <w:wordWrap w:val="0"/>
        <w:spacing w:before="0" w:after="0" w:line="760" w:lineRule="exact"/>
        <w:ind w:left="0" w:right="0"/>
        <w:jc w:val="center"/>
        <w:textAlignment w:val="baseline"/>
        <w:rPr>
          <w:sz w:val="56"/>
        </w:rPr>
      </w:pPr>
    </w:p>
    <w:p w14:paraId="76C65848">
      <w:pPr>
        <w:pageBreakBefore w:val="0"/>
        <w:wordWrap w:val="0"/>
        <w:spacing w:before="0" w:after="0" w:line="760" w:lineRule="exact"/>
        <w:ind w:left="0" w:right="0"/>
        <w:jc w:val="center"/>
        <w:textAlignment w:val="baseline"/>
        <w:rPr>
          <w:sz w:val="56"/>
        </w:rPr>
      </w:pPr>
    </w:p>
    <w:p w14:paraId="43AE86FC">
      <w:pPr>
        <w:pageBreakBefore w:val="0"/>
        <w:wordWrap w:val="0"/>
        <w:spacing w:before="0" w:after="0" w:line="760" w:lineRule="exact"/>
        <w:ind w:left="0" w:right="0"/>
        <w:jc w:val="center"/>
        <w:textAlignment w:val="baseline"/>
        <w:rPr>
          <w:sz w:val="56"/>
        </w:rPr>
      </w:pPr>
    </w:p>
    <w:p w14:paraId="31711058">
      <w:pPr>
        <w:pageBreakBefore w:val="0"/>
        <w:wordWrap w:val="0"/>
        <w:spacing w:before="0" w:after="0" w:line="760" w:lineRule="exact"/>
        <w:ind w:left="0" w:right="0"/>
        <w:jc w:val="center"/>
        <w:textAlignment w:val="baseline"/>
        <w:rPr>
          <w:sz w:val="56"/>
        </w:rPr>
      </w:pPr>
    </w:p>
    <w:p w14:paraId="51907E69">
      <w:pPr>
        <w:pageBreakBefore w:val="0"/>
        <w:wordWrap w:val="0"/>
        <w:spacing w:before="0" w:after="0" w:line="760" w:lineRule="exact"/>
        <w:ind w:left="0" w:right="0"/>
        <w:jc w:val="center"/>
        <w:textAlignment w:val="baseline"/>
        <w:rPr>
          <w:sz w:val="56"/>
        </w:rPr>
      </w:pPr>
    </w:p>
    <w:p w14:paraId="63663AE7">
      <w:pPr>
        <w:pageBreakBefore w:val="0"/>
        <w:wordWrap w:val="0"/>
        <w:spacing w:before="0" w:after="0" w:line="760" w:lineRule="exact"/>
        <w:ind w:left="0" w:right="0"/>
        <w:jc w:val="center"/>
        <w:textAlignment w:val="baseline"/>
        <w:rPr>
          <w:sz w:val="56"/>
        </w:rPr>
      </w:pPr>
    </w:p>
    <w:p w14:paraId="750DFF17">
      <w:pPr>
        <w:pageBreakBefore w:val="0"/>
        <w:wordWrap w:val="0"/>
        <w:spacing w:before="0" w:after="0" w:line="760" w:lineRule="exact"/>
        <w:ind w:left="0" w:right="0"/>
        <w:jc w:val="center"/>
        <w:textAlignment w:val="baseline"/>
        <w:rPr>
          <w:sz w:val="56"/>
        </w:rPr>
      </w:pPr>
    </w:p>
    <w:p w14:paraId="1175699C">
      <w:pPr>
        <w:pageBreakBefore w:val="0"/>
        <w:wordWrap w:val="0"/>
        <w:spacing w:before="0" w:after="0" w:line="740" w:lineRule="atLeast"/>
        <w:ind w:left="0" w:right="0"/>
        <w:jc w:val="center"/>
        <w:textAlignment w:val="baseline"/>
        <w:rPr>
          <w:sz w:val="37"/>
        </w:rPr>
      </w:pPr>
      <w:r>
        <w:rPr>
          <w:rFonts w:ascii="仿宋" w:hAnsi="仿宋" w:eastAsia="仿宋" w:cs="仿宋"/>
          <w:b w:val="0"/>
          <w:i w:val="0"/>
          <w:color w:val="000000"/>
          <w:spacing w:val="0"/>
          <w:sz w:val="37"/>
        </w:rPr>
        <w:t>部门(单位)名称：</w:t>
      </w:r>
      <w:r>
        <w:rPr>
          <w:rFonts w:ascii="仿宋" w:hAnsi="仿宋" w:eastAsia="仿宋" w:cs="仿宋"/>
          <w:b w:val="0"/>
          <w:i w:val="0"/>
          <w:color w:val="000000"/>
          <w:spacing w:val="0"/>
          <w:sz w:val="37"/>
          <w:u w:val="single"/>
        </w:rPr>
        <w:t xml:space="preserve">(盖章)     </w:t>
      </w:r>
    </w:p>
    <w:p w14:paraId="553FD999">
      <w:pPr>
        <w:pageBreakBefore w:val="0"/>
        <w:wordWrap w:val="0"/>
        <w:spacing w:before="200" w:after="0" w:line="540" w:lineRule="atLeast"/>
        <w:ind w:left="0" w:right="0"/>
        <w:jc w:val="both"/>
        <w:textAlignment w:val="baseline"/>
        <w:rPr>
          <w:rFonts w:ascii="仿宋" w:hAnsi="仿宋" w:eastAsia="仿宋" w:cs="仿宋"/>
          <w:b w:val="0"/>
          <w:i w:val="0"/>
          <w:color w:val="000000"/>
          <w:spacing w:val="0"/>
          <w:sz w:val="37"/>
        </w:rPr>
      </w:pPr>
      <w:r>
        <w:rPr>
          <w:rFonts w:ascii="仿宋" w:hAnsi="仿宋" w:eastAsia="仿宋" w:cs="仿宋"/>
          <w:b w:val="0"/>
          <w:i w:val="0"/>
          <w:color w:val="000000"/>
          <w:spacing w:val="0"/>
          <w:sz w:val="37"/>
        </w:rPr>
        <w:t xml:space="preserve">                       </w:t>
      </w:r>
    </w:p>
    <w:p w14:paraId="0C61DBC4">
      <w:pPr>
        <w:pageBreakBefore w:val="0"/>
        <w:wordWrap w:val="0"/>
        <w:spacing w:before="200" w:after="0" w:line="540" w:lineRule="atLeast"/>
        <w:ind w:left="0" w:right="0" w:firstLine="2960" w:firstLineChars="800"/>
        <w:jc w:val="both"/>
        <w:textAlignment w:val="baseline"/>
        <w:rPr>
          <w:sz w:val="37"/>
        </w:rPr>
      </w:pPr>
      <w:r>
        <w:rPr>
          <w:rFonts w:hint="eastAsia" w:ascii="仿宋" w:hAnsi="仿宋" w:eastAsia="仿宋" w:cs="仿宋"/>
          <w:b w:val="0"/>
          <w:i w:val="0"/>
          <w:color w:val="000000"/>
          <w:spacing w:val="0"/>
          <w:sz w:val="37"/>
          <w:lang w:val="en-US" w:eastAsia="zh-CN"/>
        </w:rPr>
        <w:t>2025</w:t>
      </w:r>
      <w:r>
        <w:rPr>
          <w:rFonts w:ascii="仿宋" w:hAnsi="仿宋" w:eastAsia="仿宋" w:cs="仿宋"/>
          <w:b w:val="0"/>
          <w:i w:val="0"/>
          <w:color w:val="000000"/>
          <w:spacing w:val="0"/>
          <w:sz w:val="37"/>
        </w:rPr>
        <w:t>年</w:t>
      </w:r>
      <w:r>
        <w:rPr>
          <w:rFonts w:hint="eastAsia" w:ascii="仿宋" w:hAnsi="仿宋" w:eastAsia="仿宋" w:cs="仿宋"/>
          <w:b w:val="0"/>
          <w:i w:val="0"/>
          <w:color w:val="000000"/>
          <w:spacing w:val="0"/>
          <w:sz w:val="37"/>
          <w:lang w:val="en-US" w:eastAsia="zh-CN"/>
        </w:rPr>
        <w:t>5</w:t>
      </w:r>
      <w:r>
        <w:rPr>
          <w:rFonts w:ascii="仿宋" w:hAnsi="仿宋" w:eastAsia="仿宋" w:cs="仿宋"/>
          <w:b w:val="0"/>
          <w:i w:val="0"/>
          <w:color w:val="000000"/>
          <w:spacing w:val="0"/>
          <w:sz w:val="37"/>
        </w:rPr>
        <w:t>月</w:t>
      </w:r>
      <w:r>
        <w:rPr>
          <w:rFonts w:hint="eastAsia" w:ascii="仿宋" w:hAnsi="仿宋" w:eastAsia="仿宋" w:cs="仿宋"/>
          <w:b w:val="0"/>
          <w:i w:val="0"/>
          <w:color w:val="000000"/>
          <w:spacing w:val="0"/>
          <w:sz w:val="37"/>
          <w:lang w:val="en-US" w:eastAsia="zh-CN"/>
        </w:rPr>
        <w:t>14</w:t>
      </w:r>
      <w:r>
        <w:rPr>
          <w:rFonts w:ascii="仿宋" w:hAnsi="仿宋" w:eastAsia="仿宋" w:cs="仿宋"/>
          <w:b w:val="0"/>
          <w:i w:val="0"/>
          <w:color w:val="000000"/>
          <w:spacing w:val="0"/>
          <w:sz w:val="37"/>
        </w:rPr>
        <w:t>日</w:t>
      </w:r>
    </w:p>
    <w:p w14:paraId="3C7EC87C">
      <w:pPr>
        <w:pageBreakBefore w:val="0"/>
        <w:wordWrap w:val="0"/>
        <w:spacing w:before="300" w:after="0" w:line="460" w:lineRule="atLeast"/>
        <w:ind w:left="4320" w:right="0"/>
        <w:jc w:val="both"/>
        <w:textAlignment w:val="baseline"/>
        <w:rPr>
          <w:sz w:val="33"/>
        </w:rPr>
      </w:pPr>
    </w:p>
    <w:p w14:paraId="5FB76B3C">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20" w:lineRule="exact"/>
        <w:ind w:left="0" w:right="0" w:firstLine="0"/>
        <w:jc w:val="center"/>
        <w:textAlignment w:val="auto"/>
        <w:rPr>
          <w:rFonts w:ascii="方正小标宋_GBK" w:hAnsi="方正小标宋_GBK" w:eastAsia="方正小标宋_GBK" w:cs="方正小标宋_GBK"/>
          <w:i w:val="0"/>
          <w:iCs w:val="0"/>
          <w:caps w:val="0"/>
          <w:color w:val="000000"/>
          <w:spacing w:val="0"/>
          <w:sz w:val="44"/>
          <w:szCs w:val="44"/>
        </w:rPr>
      </w:pPr>
      <w:r>
        <w:rPr>
          <w:rFonts w:hint="eastAsia" w:ascii="方正小标宋_GBK" w:hAnsi="方正小标宋_GBK" w:eastAsia="方正小标宋_GBK" w:cs="方正小标宋_GBK"/>
          <w:i w:val="0"/>
          <w:iCs w:val="0"/>
          <w:caps w:val="0"/>
          <w:color w:val="000000"/>
          <w:spacing w:val="0"/>
          <w:sz w:val="44"/>
          <w:szCs w:val="44"/>
          <w:shd w:val="clear" w:fill="FFFFFF"/>
        </w:rPr>
        <w:t>部门整体支出绩效自评报告</w:t>
      </w:r>
    </w:p>
    <w:p w14:paraId="3A54DE98">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20" w:lineRule="exact"/>
        <w:ind w:left="0" w:right="0" w:firstLine="0"/>
        <w:jc w:val="both"/>
        <w:textAlignment w:val="auto"/>
        <w:rPr>
          <w:rFonts w:ascii="仿宋_GB2312" w:eastAsia="仿宋_GB2312" w:cs="仿宋_GB2312"/>
          <w:i w:val="0"/>
          <w:iCs w:val="0"/>
          <w:caps w:val="0"/>
          <w:color w:val="000000"/>
          <w:spacing w:val="0"/>
          <w:sz w:val="24"/>
          <w:szCs w:val="24"/>
        </w:rPr>
      </w:pPr>
    </w:p>
    <w:p w14:paraId="3964EF03">
      <w:pPr>
        <w:widowControl/>
        <w:shd w:val="clear" w:color="auto" w:fill="FFFFFF"/>
        <w:spacing w:line="600" w:lineRule="atLeast"/>
        <w:ind w:firstLine="640"/>
        <w:rPr>
          <w:rFonts w:ascii="楷体" w:hAnsi="楷体" w:eastAsia="楷体"/>
          <w:b/>
          <w:spacing w:val="-2"/>
          <w:sz w:val="32"/>
          <w:szCs w:val="21"/>
        </w:rPr>
      </w:pPr>
      <w:r>
        <w:rPr>
          <w:rFonts w:ascii="楷体" w:hAnsi="楷体" w:eastAsia="楷体"/>
          <w:b/>
          <w:spacing w:val="-2"/>
          <w:sz w:val="32"/>
          <w:szCs w:val="32"/>
        </w:rPr>
        <w:t>一、部门概况</w:t>
      </w:r>
    </w:p>
    <w:p w14:paraId="3137318A">
      <w:pPr>
        <w:adjustRightInd w:val="0"/>
        <w:snapToGrid w:val="0"/>
        <w:spacing w:line="540" w:lineRule="atLeast"/>
        <w:ind w:firstLine="632" w:firstLineChars="200"/>
        <w:rPr>
          <w:rFonts w:ascii="仿宋" w:hAnsi="仿宋" w:eastAsia="仿宋" w:cs="仿宋"/>
          <w:kern w:val="0"/>
          <w:sz w:val="30"/>
          <w:szCs w:val="30"/>
        </w:rPr>
      </w:pPr>
      <w:r>
        <w:rPr>
          <w:rFonts w:ascii="仿宋" w:hAnsi="仿宋" w:eastAsia="仿宋"/>
          <w:spacing w:val="-2"/>
          <w:sz w:val="32"/>
          <w:szCs w:val="32"/>
        </w:rPr>
        <w:t>（一）部门基本情况</w:t>
      </w:r>
    </w:p>
    <w:p w14:paraId="0D80C008">
      <w:pPr>
        <w:adjustRightInd w:val="0"/>
        <w:snapToGrid w:val="0"/>
        <w:spacing w:line="540" w:lineRule="atLeast"/>
        <w:ind w:firstLine="632" w:firstLineChars="200"/>
        <w:rPr>
          <w:rFonts w:ascii="仿宋" w:hAnsi="仿宋" w:eastAsia="仿宋" w:cs="Times New Roman"/>
          <w:spacing w:val="-2"/>
          <w:sz w:val="32"/>
          <w:szCs w:val="32"/>
        </w:rPr>
      </w:pPr>
      <w:r>
        <w:rPr>
          <w:rFonts w:hint="eastAsia" w:ascii="仿宋" w:hAnsi="仿宋" w:eastAsia="仿宋" w:cs="Times New Roman"/>
          <w:spacing w:val="-2"/>
          <w:sz w:val="32"/>
          <w:szCs w:val="32"/>
        </w:rPr>
        <w:t>辰溪县苏木溪乡人民政府基本职能：承担促进经济发展、搞好公共服务、加强社会管理、维护社会稳定等综合职能。具体职能如下：1、认真贯彻国家的方针政策、法律、法规，严格遵循财经纪律和各项规章制度。2、执行本级人民代表大会的决议和上级国家行政机关的决定和命令。3、执行本行政区域内的经济和社会发展计划、预算，管理本行政区域内的经济、教育、科学、文化、卫健、体育事业和财政、民政、司法行政等行政工作。4、保护社会主义的全民所有的财产和劳动群众集体所有的财产，保护公民私人所有的合法财产，维护社会秩序，保障公民的人身权利、民主权利和其他权利。5、保护各种经济组织的合法权益。6、办理上级人民政府交办的其他事项。</w:t>
      </w:r>
    </w:p>
    <w:p w14:paraId="6E27FEE3">
      <w:pPr>
        <w:adjustRightInd w:val="0"/>
        <w:snapToGrid w:val="0"/>
        <w:spacing w:line="540" w:lineRule="atLeast"/>
        <w:ind w:firstLine="632" w:firstLineChars="200"/>
        <w:rPr>
          <w:rFonts w:hint="eastAsia" w:ascii="仿宋" w:hAnsi="仿宋" w:eastAsia="仿宋" w:cs="Times New Roman"/>
          <w:spacing w:val="-2"/>
          <w:sz w:val="32"/>
          <w:szCs w:val="32"/>
        </w:rPr>
      </w:pPr>
      <w:r>
        <w:rPr>
          <w:rFonts w:hint="eastAsia" w:ascii="仿宋" w:hAnsi="仿宋" w:eastAsia="仿宋" w:cs="Times New Roman"/>
          <w:spacing w:val="-2"/>
          <w:sz w:val="32"/>
          <w:szCs w:val="32"/>
        </w:rPr>
        <w:t>机构设置情况：苏木溪乡人民政府属全额行政机关，是一级部门预算单位，根据编制部门机构改革批复方案，内设党政办公室、党建办公室、经济发展办公室、社会事务办公室、社会治安和应急管理办公室、自然资源和生态环境办公室、社会事务综合服务中心、农业综合服务中心、便民服务中心、综合行政执法大队、财政所。</w:t>
      </w:r>
    </w:p>
    <w:p w14:paraId="54BE3398">
      <w:pPr>
        <w:pStyle w:val="6"/>
        <w:shd w:val="clear" w:color="auto" w:fill="FFFFFF"/>
        <w:spacing w:before="0" w:beforeAutospacing="0" w:after="0" w:afterAutospacing="0" w:line="540" w:lineRule="atLeast"/>
        <w:ind w:left="420" w:leftChars="200"/>
        <w:jc w:val="both"/>
        <w:rPr>
          <w:rFonts w:ascii="仿宋" w:hAnsi="仿宋" w:eastAsia="仿宋" w:cs="Times New Roman"/>
          <w:spacing w:val="-2"/>
          <w:sz w:val="32"/>
          <w:szCs w:val="32"/>
        </w:rPr>
      </w:pPr>
      <w:r>
        <w:rPr>
          <w:rFonts w:hint="eastAsia" w:ascii="仿宋" w:hAnsi="仿宋" w:eastAsia="仿宋" w:cs="Times New Roman"/>
          <w:spacing w:val="-2"/>
          <w:kern w:val="2"/>
          <w:sz w:val="32"/>
          <w:szCs w:val="32"/>
          <w:lang w:val="en-US" w:eastAsia="zh-CN" w:bidi="ar-SA"/>
        </w:rPr>
        <w:t>人员情况：截至2024年底，苏木溪乡人民政府核定人员编制42人，行政编制19人，事业编制23人；实际在编41人（行政编制19人，事业编制22人），财政实际供给41人。</w:t>
      </w:r>
    </w:p>
    <w:p w14:paraId="7DC114AB">
      <w:pPr>
        <w:widowControl/>
        <w:numPr>
          <w:ilvl w:val="0"/>
          <w:numId w:val="1"/>
        </w:numPr>
        <w:shd w:val="clear" w:color="auto" w:fill="FFFFFF"/>
        <w:spacing w:line="600" w:lineRule="atLeast"/>
        <w:ind w:firstLine="640"/>
        <w:rPr>
          <w:rFonts w:ascii="仿宋" w:hAnsi="仿宋" w:eastAsia="仿宋"/>
          <w:spacing w:val="-2"/>
          <w:sz w:val="32"/>
          <w:szCs w:val="32"/>
        </w:rPr>
      </w:pPr>
      <w:r>
        <w:rPr>
          <w:rFonts w:ascii="仿宋" w:hAnsi="仿宋" w:eastAsia="仿宋"/>
          <w:spacing w:val="-2"/>
          <w:sz w:val="32"/>
          <w:szCs w:val="32"/>
        </w:rPr>
        <w:t>部门整体支出规模、使用方向和主要内容、涉及范围等。</w:t>
      </w:r>
    </w:p>
    <w:p w14:paraId="1D42711A">
      <w:pPr>
        <w:widowControl/>
        <w:numPr>
          <w:ilvl w:val="0"/>
          <w:numId w:val="0"/>
        </w:numPr>
        <w:shd w:val="clear" w:color="auto" w:fill="FFFFFF"/>
        <w:spacing w:line="600" w:lineRule="atLeast"/>
        <w:ind w:firstLine="632" w:firstLineChars="200"/>
        <w:rPr>
          <w:rFonts w:ascii="仿宋" w:hAnsi="仿宋" w:eastAsia="仿宋"/>
          <w:spacing w:val="-2"/>
          <w:sz w:val="32"/>
          <w:szCs w:val="21"/>
        </w:rPr>
      </w:pPr>
      <w:r>
        <w:rPr>
          <w:rFonts w:hint="eastAsia" w:ascii="仿宋" w:hAnsi="仿宋" w:eastAsia="仿宋" w:cs="Times New Roman"/>
          <w:spacing w:val="-2"/>
          <w:sz w:val="32"/>
          <w:szCs w:val="32"/>
        </w:rPr>
        <w:t>总体工作任务为执行乡人民代表大会的决议和上级国家行政机关的决定和命令；发展和管理本辖区的经济、教育、科学、文化、卫生、体育事业和财政、民政、公安、司法行政、计划生育等行政工作；维护社会秩序，确保社会稳定，保障公民的人身权利、民主权利和其他权利。重点工作任务为做好防灾减灾、优抚安置、低保、扶贫救济等社会救助工作；开展疫情防控工作；乡村环境卫生整治工作等。</w:t>
      </w:r>
    </w:p>
    <w:p w14:paraId="6B1CECC3">
      <w:pPr>
        <w:widowControl/>
        <w:shd w:val="clear" w:color="auto" w:fill="FFFFFF"/>
        <w:spacing w:line="600" w:lineRule="atLeast"/>
        <w:ind w:firstLine="640"/>
        <w:rPr>
          <w:rFonts w:ascii="楷体" w:hAnsi="楷体" w:eastAsia="楷体"/>
          <w:b/>
          <w:spacing w:val="-2"/>
          <w:sz w:val="32"/>
          <w:szCs w:val="21"/>
        </w:rPr>
      </w:pPr>
      <w:r>
        <w:rPr>
          <w:rFonts w:ascii="楷体" w:hAnsi="楷体" w:eastAsia="楷体"/>
          <w:b/>
          <w:spacing w:val="-2"/>
          <w:sz w:val="32"/>
          <w:szCs w:val="32"/>
        </w:rPr>
        <w:t>二、部门整体支出管理及使用情况</w:t>
      </w:r>
    </w:p>
    <w:p w14:paraId="41EA1C81">
      <w:pPr>
        <w:widowControl/>
        <w:shd w:val="clear" w:color="auto" w:fill="FFFFFF"/>
        <w:spacing w:line="600" w:lineRule="atLeast"/>
        <w:ind w:firstLine="643"/>
        <w:rPr>
          <w:rFonts w:ascii="仿宋" w:hAnsi="仿宋" w:eastAsia="仿宋"/>
          <w:b/>
          <w:spacing w:val="-2"/>
          <w:sz w:val="32"/>
          <w:szCs w:val="21"/>
        </w:rPr>
      </w:pPr>
      <w:r>
        <w:rPr>
          <w:rFonts w:ascii="仿宋" w:hAnsi="仿宋" w:eastAsia="仿宋"/>
          <w:b/>
          <w:spacing w:val="-2"/>
          <w:sz w:val="32"/>
          <w:szCs w:val="32"/>
        </w:rPr>
        <w:t>（一）基本支出</w:t>
      </w:r>
    </w:p>
    <w:p w14:paraId="7F39E1DD">
      <w:pPr>
        <w:widowControl/>
        <w:shd w:val="clear" w:color="auto" w:fill="FFFFFF"/>
        <w:spacing w:line="600" w:lineRule="atLeast"/>
        <w:ind w:firstLine="640"/>
        <w:rPr>
          <w:rFonts w:ascii="仿宋" w:hAnsi="仿宋" w:eastAsia="仿宋"/>
          <w:spacing w:val="-2"/>
          <w:sz w:val="32"/>
          <w:szCs w:val="32"/>
        </w:rPr>
      </w:pPr>
      <w:r>
        <w:rPr>
          <w:rFonts w:ascii="仿宋" w:hAnsi="仿宋" w:eastAsia="仿宋"/>
          <w:spacing w:val="-2"/>
          <w:sz w:val="32"/>
          <w:szCs w:val="32"/>
        </w:rPr>
        <w:t>介绍基本支出的主要用途、范围以及资金的管理情况，尤其是“三公”经费的使用和管理情况。</w:t>
      </w:r>
    </w:p>
    <w:p w14:paraId="7C9EAAA3">
      <w:pPr>
        <w:widowControl/>
        <w:shd w:val="clear" w:color="auto" w:fill="FFFFFF"/>
        <w:spacing w:line="600" w:lineRule="atLeast"/>
        <w:ind w:firstLine="640"/>
        <w:rPr>
          <w:rFonts w:ascii="仿宋" w:hAnsi="仿宋" w:eastAsia="仿宋" w:cs="Times New Roman"/>
          <w:spacing w:val="-2"/>
          <w:sz w:val="32"/>
          <w:szCs w:val="32"/>
        </w:rPr>
      </w:pPr>
      <w:r>
        <w:rPr>
          <w:rFonts w:hint="eastAsia" w:ascii="仿宋" w:hAnsi="仿宋" w:eastAsia="仿宋" w:cs="Times New Roman"/>
          <w:spacing w:val="-2"/>
          <w:sz w:val="32"/>
          <w:szCs w:val="32"/>
        </w:rPr>
        <w:t xml:space="preserve"> </w:t>
      </w:r>
      <w:r>
        <w:rPr>
          <w:rFonts w:hint="eastAsia" w:ascii="仿宋" w:hAnsi="仿宋" w:eastAsia="仿宋" w:cs="Times New Roman"/>
          <w:spacing w:val="-2"/>
          <w:sz w:val="32"/>
          <w:szCs w:val="32"/>
          <w:lang w:eastAsia="zh-CN"/>
        </w:rPr>
        <w:t>2024</w:t>
      </w:r>
      <w:r>
        <w:rPr>
          <w:rFonts w:hint="eastAsia" w:ascii="仿宋" w:hAnsi="仿宋" w:eastAsia="仿宋" w:cs="Times New Roman"/>
          <w:spacing w:val="-2"/>
          <w:sz w:val="32"/>
          <w:szCs w:val="32"/>
        </w:rPr>
        <w:t>年共取得预算收入</w:t>
      </w:r>
      <w:r>
        <w:rPr>
          <w:rFonts w:hint="eastAsia" w:ascii="仿宋" w:hAnsi="仿宋" w:eastAsia="仿宋" w:cs="Times New Roman"/>
          <w:spacing w:val="-2"/>
          <w:sz w:val="32"/>
          <w:szCs w:val="32"/>
          <w:lang w:val="en-US" w:eastAsia="zh-CN"/>
        </w:rPr>
        <w:t>805.6</w:t>
      </w:r>
      <w:r>
        <w:rPr>
          <w:rFonts w:hint="eastAsia" w:ascii="仿宋" w:hAnsi="仿宋" w:eastAsia="仿宋" w:cs="Times New Roman"/>
          <w:spacing w:val="-2"/>
          <w:sz w:val="32"/>
          <w:szCs w:val="32"/>
        </w:rPr>
        <w:t>万元，其中：财政拨款收入</w:t>
      </w:r>
      <w:r>
        <w:rPr>
          <w:rFonts w:hint="eastAsia" w:ascii="仿宋" w:hAnsi="仿宋" w:eastAsia="仿宋" w:cs="Times New Roman"/>
          <w:spacing w:val="-2"/>
          <w:sz w:val="32"/>
          <w:szCs w:val="32"/>
          <w:lang w:val="en-US" w:eastAsia="zh-CN"/>
        </w:rPr>
        <w:t>725.4</w:t>
      </w:r>
      <w:r>
        <w:rPr>
          <w:rFonts w:hint="eastAsia" w:ascii="仿宋" w:hAnsi="仿宋" w:eastAsia="仿宋" w:cs="Times New Roman"/>
          <w:spacing w:val="-2"/>
          <w:sz w:val="32"/>
          <w:szCs w:val="32"/>
        </w:rPr>
        <w:t>万元，占</w:t>
      </w:r>
      <w:r>
        <w:rPr>
          <w:rFonts w:hint="eastAsia" w:ascii="仿宋" w:hAnsi="仿宋" w:eastAsia="仿宋" w:cs="Times New Roman"/>
          <w:spacing w:val="-2"/>
          <w:sz w:val="32"/>
          <w:szCs w:val="32"/>
          <w:lang w:val="en-US" w:eastAsia="zh-CN"/>
        </w:rPr>
        <w:t>90</w:t>
      </w:r>
      <w:r>
        <w:rPr>
          <w:rFonts w:hint="eastAsia" w:ascii="仿宋" w:hAnsi="仿宋" w:eastAsia="仿宋" w:cs="Times New Roman"/>
          <w:spacing w:val="-2"/>
          <w:sz w:val="32"/>
          <w:szCs w:val="32"/>
        </w:rPr>
        <w:t>%；上级补助收入0万元，占0%；事业收入0万元，占0%；经营收入</w:t>
      </w:r>
      <w:r>
        <w:rPr>
          <w:rFonts w:hint="eastAsia" w:ascii="仿宋" w:hAnsi="仿宋" w:eastAsia="仿宋" w:cs="Times New Roman"/>
          <w:spacing w:val="-2"/>
          <w:sz w:val="32"/>
          <w:szCs w:val="32"/>
          <w:lang w:val="en-US" w:eastAsia="zh-CN"/>
        </w:rPr>
        <w:t>0</w:t>
      </w:r>
      <w:r>
        <w:rPr>
          <w:rFonts w:hint="eastAsia" w:ascii="仿宋" w:hAnsi="仿宋" w:eastAsia="仿宋" w:cs="Times New Roman"/>
          <w:spacing w:val="-2"/>
          <w:sz w:val="32"/>
          <w:szCs w:val="32"/>
        </w:rPr>
        <w:t>万元，占0%；附属单位上缴收入0万元，占0%；其他收入</w:t>
      </w:r>
      <w:r>
        <w:rPr>
          <w:rFonts w:hint="eastAsia" w:ascii="仿宋" w:hAnsi="仿宋" w:eastAsia="仿宋" w:cs="Times New Roman"/>
          <w:spacing w:val="-2"/>
          <w:sz w:val="32"/>
          <w:szCs w:val="32"/>
          <w:lang w:val="en-US" w:eastAsia="zh-CN"/>
        </w:rPr>
        <w:t>80.2</w:t>
      </w:r>
      <w:r>
        <w:rPr>
          <w:rFonts w:hint="eastAsia" w:ascii="仿宋" w:hAnsi="仿宋" w:eastAsia="仿宋" w:cs="Times New Roman"/>
          <w:spacing w:val="-2"/>
          <w:sz w:val="32"/>
          <w:szCs w:val="32"/>
        </w:rPr>
        <w:t>万元，占</w:t>
      </w:r>
      <w:r>
        <w:rPr>
          <w:rFonts w:hint="eastAsia" w:ascii="仿宋" w:hAnsi="仿宋" w:eastAsia="仿宋" w:cs="Times New Roman"/>
          <w:spacing w:val="-2"/>
          <w:sz w:val="32"/>
          <w:szCs w:val="32"/>
          <w:lang w:val="en-US" w:eastAsia="zh-CN"/>
        </w:rPr>
        <w:t>9.95</w:t>
      </w:r>
      <w:r>
        <w:rPr>
          <w:rFonts w:hint="eastAsia" w:ascii="仿宋" w:hAnsi="仿宋" w:eastAsia="仿宋" w:cs="Times New Roman"/>
          <w:spacing w:val="-2"/>
          <w:sz w:val="32"/>
          <w:szCs w:val="32"/>
        </w:rPr>
        <w:t>%。</w:t>
      </w:r>
    </w:p>
    <w:p w14:paraId="08672C7F">
      <w:pPr>
        <w:widowControl/>
        <w:shd w:val="clear" w:color="auto" w:fill="FFFFFF"/>
        <w:spacing w:line="600" w:lineRule="atLeast"/>
        <w:ind w:firstLine="640"/>
        <w:rPr>
          <w:rFonts w:ascii="仿宋" w:hAnsi="仿宋" w:eastAsia="仿宋" w:cs="Times New Roman"/>
          <w:spacing w:val="-2"/>
          <w:sz w:val="32"/>
          <w:szCs w:val="32"/>
        </w:rPr>
      </w:pPr>
      <w:r>
        <w:rPr>
          <w:rFonts w:hint="eastAsia" w:ascii="仿宋" w:hAnsi="仿宋" w:eastAsia="仿宋" w:cs="Times New Roman"/>
          <w:spacing w:val="-2"/>
          <w:sz w:val="32"/>
          <w:szCs w:val="32"/>
        </w:rPr>
        <w:t>预算支出合计</w:t>
      </w:r>
      <w:r>
        <w:rPr>
          <w:rFonts w:hint="eastAsia" w:ascii="仿宋" w:hAnsi="仿宋" w:eastAsia="仿宋" w:cs="Times New Roman"/>
          <w:spacing w:val="-2"/>
          <w:sz w:val="32"/>
          <w:szCs w:val="32"/>
          <w:lang w:val="en-US" w:eastAsia="zh-CN"/>
        </w:rPr>
        <w:t>805.6</w:t>
      </w:r>
      <w:r>
        <w:rPr>
          <w:rFonts w:hint="eastAsia" w:ascii="仿宋" w:hAnsi="仿宋" w:eastAsia="仿宋" w:cs="Times New Roman"/>
          <w:spacing w:val="-2"/>
          <w:sz w:val="32"/>
          <w:szCs w:val="32"/>
        </w:rPr>
        <w:t>万元，其中：基本支出</w:t>
      </w:r>
      <w:r>
        <w:rPr>
          <w:rFonts w:hint="eastAsia" w:ascii="仿宋" w:hAnsi="仿宋" w:eastAsia="仿宋" w:cs="Times New Roman"/>
          <w:spacing w:val="-2"/>
          <w:sz w:val="32"/>
          <w:szCs w:val="32"/>
          <w:lang w:val="en-US" w:eastAsia="zh-CN"/>
        </w:rPr>
        <w:t>777.6</w:t>
      </w:r>
      <w:r>
        <w:rPr>
          <w:rFonts w:hint="eastAsia" w:ascii="仿宋" w:hAnsi="仿宋" w:eastAsia="仿宋" w:cs="Times New Roman"/>
          <w:spacing w:val="-2"/>
          <w:sz w:val="32"/>
          <w:szCs w:val="32"/>
        </w:rPr>
        <w:t>万元，占</w:t>
      </w:r>
      <w:r>
        <w:rPr>
          <w:rFonts w:hint="eastAsia" w:ascii="仿宋" w:hAnsi="仿宋" w:eastAsia="仿宋" w:cs="Times New Roman"/>
          <w:spacing w:val="-2"/>
          <w:sz w:val="32"/>
          <w:szCs w:val="32"/>
          <w:lang w:val="en-US" w:eastAsia="zh-CN"/>
        </w:rPr>
        <w:t>96.5</w:t>
      </w:r>
      <w:r>
        <w:rPr>
          <w:rFonts w:hint="eastAsia" w:ascii="仿宋" w:hAnsi="仿宋" w:eastAsia="仿宋" w:cs="Times New Roman"/>
          <w:spacing w:val="-2"/>
          <w:sz w:val="32"/>
          <w:szCs w:val="32"/>
        </w:rPr>
        <w:t>%；项目支出</w:t>
      </w:r>
      <w:r>
        <w:rPr>
          <w:rFonts w:hint="eastAsia" w:ascii="仿宋" w:hAnsi="仿宋" w:eastAsia="仿宋" w:cs="Times New Roman"/>
          <w:spacing w:val="-2"/>
          <w:sz w:val="32"/>
          <w:szCs w:val="32"/>
          <w:lang w:val="en-US" w:eastAsia="zh-CN"/>
        </w:rPr>
        <w:t>27.97</w:t>
      </w:r>
      <w:r>
        <w:rPr>
          <w:rFonts w:hint="eastAsia" w:ascii="仿宋" w:hAnsi="仿宋" w:eastAsia="仿宋" w:cs="Times New Roman"/>
          <w:spacing w:val="-2"/>
          <w:sz w:val="32"/>
          <w:szCs w:val="32"/>
        </w:rPr>
        <w:t>万元，占</w:t>
      </w:r>
      <w:r>
        <w:rPr>
          <w:rFonts w:hint="eastAsia" w:ascii="仿宋" w:hAnsi="仿宋" w:eastAsia="仿宋" w:cs="Times New Roman"/>
          <w:spacing w:val="-2"/>
          <w:sz w:val="32"/>
          <w:szCs w:val="32"/>
          <w:lang w:val="en-US" w:eastAsia="zh-CN"/>
        </w:rPr>
        <w:t>3.47</w:t>
      </w:r>
      <w:r>
        <w:rPr>
          <w:rFonts w:hint="eastAsia" w:ascii="仿宋" w:hAnsi="仿宋" w:eastAsia="仿宋" w:cs="Times New Roman"/>
          <w:spacing w:val="-2"/>
          <w:sz w:val="32"/>
          <w:szCs w:val="32"/>
        </w:rPr>
        <w:t>%；上缴上级支出0万元，占0 %；经营支出0万元，占0%；对附属单位补助支出0万元，占0%。</w:t>
      </w:r>
    </w:p>
    <w:p w14:paraId="5A7CB791">
      <w:pPr>
        <w:widowControl/>
        <w:shd w:val="clear" w:color="auto" w:fill="FFFFFF"/>
        <w:spacing w:line="600" w:lineRule="atLeast"/>
        <w:ind w:firstLine="640"/>
        <w:rPr>
          <w:rFonts w:hint="default" w:ascii="仿宋" w:hAnsi="仿宋" w:eastAsia="仿宋"/>
          <w:spacing w:val="-2"/>
          <w:sz w:val="32"/>
          <w:szCs w:val="32"/>
          <w:lang w:val="en-US" w:eastAsia="zh-CN"/>
        </w:rPr>
      </w:pPr>
      <w:r>
        <w:rPr>
          <w:rFonts w:hint="eastAsia" w:ascii="仿宋" w:hAnsi="仿宋" w:eastAsia="仿宋" w:cs="仿宋"/>
          <w:kern w:val="0"/>
          <w:sz w:val="30"/>
          <w:szCs w:val="30"/>
          <w:lang w:eastAsia="zh-CN"/>
        </w:rPr>
        <w:t>三公经费情况：</w:t>
      </w:r>
      <w:r>
        <w:rPr>
          <w:rFonts w:hint="eastAsia" w:ascii="仿宋" w:hAnsi="仿宋" w:eastAsia="仿宋" w:cs="仿宋"/>
          <w:kern w:val="0"/>
          <w:sz w:val="30"/>
          <w:szCs w:val="30"/>
          <w:lang w:val="en-US" w:eastAsia="zh-CN"/>
        </w:rPr>
        <w:t>2024年度三公经费预算收入25万元，2024年度三公经费决算支出万元，其中公务接待10.95万元，公务用车运行维护费5.17万元。</w:t>
      </w:r>
    </w:p>
    <w:p w14:paraId="79C86F13">
      <w:pPr>
        <w:widowControl/>
        <w:shd w:val="clear" w:color="auto" w:fill="FFFFFF"/>
        <w:spacing w:line="600" w:lineRule="atLeast"/>
        <w:ind w:firstLine="643"/>
        <w:rPr>
          <w:rFonts w:ascii="楷体" w:hAnsi="楷体" w:eastAsia="楷体"/>
          <w:b/>
          <w:spacing w:val="-2"/>
          <w:sz w:val="32"/>
          <w:szCs w:val="21"/>
        </w:rPr>
      </w:pPr>
      <w:r>
        <w:rPr>
          <w:rFonts w:ascii="楷体" w:hAnsi="楷体" w:eastAsia="楷体"/>
          <w:b/>
          <w:spacing w:val="-2"/>
          <w:sz w:val="32"/>
          <w:szCs w:val="32"/>
        </w:rPr>
        <w:t>（二）专项支出</w:t>
      </w:r>
    </w:p>
    <w:p w14:paraId="26F881D8">
      <w:pPr>
        <w:widowControl/>
        <w:shd w:val="clear" w:color="auto" w:fill="FFFFFF"/>
        <w:spacing w:line="600" w:lineRule="atLeast"/>
        <w:ind w:firstLine="640"/>
        <w:rPr>
          <w:rFonts w:hint="eastAsia" w:ascii="仿宋" w:hAnsi="仿宋" w:eastAsia="仿宋"/>
          <w:spacing w:val="-2"/>
          <w:sz w:val="32"/>
          <w:szCs w:val="32"/>
          <w:lang w:eastAsia="zh-CN"/>
        </w:rPr>
      </w:pPr>
      <w:r>
        <w:rPr>
          <w:rFonts w:hint="eastAsia" w:ascii="仿宋" w:hAnsi="仿宋" w:eastAsia="仿宋"/>
          <w:spacing w:val="-2"/>
          <w:sz w:val="32"/>
          <w:szCs w:val="32"/>
          <w:lang w:eastAsia="zh-CN"/>
        </w:rPr>
        <w:t>无</w:t>
      </w:r>
    </w:p>
    <w:p w14:paraId="519AD099">
      <w:pPr>
        <w:widowControl/>
        <w:shd w:val="clear" w:color="auto" w:fill="FFFFFF"/>
        <w:spacing w:line="600" w:lineRule="atLeast"/>
        <w:ind w:firstLine="640"/>
        <w:rPr>
          <w:rFonts w:ascii="楷体" w:hAnsi="楷体" w:eastAsia="楷体"/>
          <w:b/>
          <w:spacing w:val="-2"/>
          <w:sz w:val="32"/>
          <w:szCs w:val="21"/>
        </w:rPr>
      </w:pPr>
      <w:r>
        <w:rPr>
          <w:rFonts w:ascii="楷体" w:hAnsi="楷体" w:eastAsia="楷体"/>
          <w:b/>
          <w:spacing w:val="-2"/>
          <w:sz w:val="32"/>
          <w:szCs w:val="32"/>
        </w:rPr>
        <w:t>三、部门专项组织实施情况</w:t>
      </w:r>
    </w:p>
    <w:p w14:paraId="2157A409">
      <w:pPr>
        <w:adjustRightInd w:val="0"/>
        <w:snapToGrid w:val="0"/>
        <w:spacing w:line="540" w:lineRule="atLeast"/>
        <w:ind w:left="420" w:leftChars="200" w:firstLine="632" w:firstLineChars="200"/>
        <w:rPr>
          <w:rFonts w:hint="eastAsia" w:ascii="仿宋" w:hAnsi="仿宋" w:eastAsia="仿宋"/>
          <w:spacing w:val="-2"/>
          <w:sz w:val="32"/>
          <w:szCs w:val="21"/>
          <w:lang w:eastAsia="zh-CN"/>
        </w:rPr>
      </w:pPr>
      <w:r>
        <w:rPr>
          <w:rFonts w:hint="eastAsia" w:ascii="仿宋" w:hAnsi="仿宋" w:eastAsia="仿宋" w:cs="Times New Roman"/>
          <w:spacing w:val="-2"/>
          <w:sz w:val="32"/>
          <w:szCs w:val="32"/>
        </w:rPr>
        <w:t>采用“4E”评价法及平衡记分法，从经济性、效率性、效益性、公平性、群众满意度进行政府绩效评价。通过对比年末预决算数据来评估经济性、效益性、公平性，在日常工作中收集群众反馈问题及投诉来评估群众满意度，更加全面、细致的完成部门整体评价</w:t>
      </w:r>
      <w:r>
        <w:rPr>
          <w:rFonts w:hint="eastAsia" w:ascii="仿宋" w:hAnsi="仿宋" w:eastAsia="仿宋" w:cs="仿宋"/>
          <w:kern w:val="0"/>
          <w:sz w:val="30"/>
          <w:szCs w:val="30"/>
        </w:rPr>
        <w:t>。</w:t>
      </w:r>
    </w:p>
    <w:p w14:paraId="7CFEB8D2">
      <w:pPr>
        <w:widowControl/>
        <w:shd w:val="clear" w:color="auto" w:fill="FFFFFF"/>
        <w:spacing w:line="600" w:lineRule="atLeast"/>
        <w:ind w:firstLine="640"/>
        <w:rPr>
          <w:rFonts w:ascii="楷体" w:hAnsi="楷体" w:eastAsia="楷体"/>
          <w:b/>
          <w:spacing w:val="-2"/>
          <w:sz w:val="32"/>
          <w:szCs w:val="21"/>
        </w:rPr>
      </w:pPr>
      <w:r>
        <w:rPr>
          <w:rFonts w:ascii="楷体" w:hAnsi="楷体" w:eastAsia="楷体"/>
          <w:b/>
          <w:spacing w:val="-2"/>
          <w:sz w:val="32"/>
          <w:szCs w:val="32"/>
        </w:rPr>
        <w:t>四、资产管理情况</w:t>
      </w:r>
    </w:p>
    <w:p w14:paraId="7544E380">
      <w:pPr>
        <w:widowControl/>
        <w:shd w:val="clear" w:color="auto" w:fill="FFFFFF"/>
        <w:spacing w:line="600" w:lineRule="atLeast"/>
        <w:ind w:firstLine="640"/>
        <w:rPr>
          <w:rFonts w:ascii="仿宋" w:hAnsi="仿宋" w:eastAsia="仿宋"/>
          <w:spacing w:val="-2"/>
          <w:sz w:val="32"/>
          <w:szCs w:val="21"/>
        </w:rPr>
      </w:pPr>
      <w:r>
        <w:rPr>
          <w:rFonts w:hint="eastAsia" w:ascii="仿宋" w:hAnsi="仿宋" w:eastAsia="仿宋"/>
          <w:spacing w:val="-2"/>
          <w:sz w:val="32"/>
          <w:szCs w:val="32"/>
          <w:lang w:eastAsia="zh-CN"/>
        </w:rPr>
        <w:t>成立以分管办公室的领导为组长专门的资产管理领导小组，对本单位的资产情况进行摸底，整合使用，绝不超标，对于通用设备进行合理分配，杜绝出现浪费情况，对于需要采购的通用设备进行分级审批和电子卖场采购的程序采购安全科替代的办公用品，对超过使用年限的固定资产进行处理</w:t>
      </w:r>
      <w:r>
        <w:rPr>
          <w:rFonts w:ascii="仿宋" w:hAnsi="仿宋" w:eastAsia="仿宋"/>
          <w:spacing w:val="-2"/>
          <w:sz w:val="32"/>
          <w:szCs w:val="32"/>
        </w:rPr>
        <w:t>。</w:t>
      </w:r>
    </w:p>
    <w:p w14:paraId="26AD4250">
      <w:pPr>
        <w:widowControl/>
        <w:shd w:val="clear" w:color="auto" w:fill="FFFFFF"/>
        <w:spacing w:line="600" w:lineRule="atLeast"/>
        <w:ind w:firstLine="640"/>
        <w:rPr>
          <w:rFonts w:ascii="楷体" w:hAnsi="楷体" w:eastAsia="楷体"/>
          <w:b/>
          <w:spacing w:val="-2"/>
          <w:sz w:val="32"/>
          <w:szCs w:val="21"/>
        </w:rPr>
      </w:pPr>
      <w:r>
        <w:rPr>
          <w:rFonts w:ascii="楷体" w:hAnsi="楷体" w:eastAsia="楷体"/>
          <w:b/>
          <w:spacing w:val="-2"/>
          <w:sz w:val="32"/>
          <w:szCs w:val="32"/>
        </w:rPr>
        <w:t>五、部门整体支出绩效情况</w:t>
      </w:r>
    </w:p>
    <w:p w14:paraId="7D1BD68D">
      <w:pPr>
        <w:widowControl/>
        <w:shd w:val="clear" w:color="auto" w:fill="FFFFFF"/>
        <w:spacing w:line="600" w:lineRule="atLeast"/>
        <w:ind w:firstLine="640"/>
        <w:rPr>
          <w:rFonts w:ascii="仿宋" w:hAnsi="仿宋" w:eastAsia="仿宋" w:cs="Times New Roman"/>
          <w:spacing w:val="-2"/>
          <w:sz w:val="32"/>
          <w:szCs w:val="32"/>
        </w:rPr>
      </w:pPr>
      <w:r>
        <w:rPr>
          <w:rFonts w:hint="eastAsia" w:ascii="仿宋" w:hAnsi="仿宋" w:eastAsia="仿宋" w:cs="Times New Roman"/>
          <w:spacing w:val="-2"/>
          <w:sz w:val="32"/>
          <w:szCs w:val="32"/>
        </w:rPr>
        <w:t>项目预算编制合理，充分的预计项目支出并完整反应，预算执行率达</w:t>
      </w:r>
      <w:r>
        <w:rPr>
          <w:rFonts w:hint="eastAsia" w:ascii="仿宋" w:hAnsi="仿宋" w:eastAsia="仿宋" w:cs="Times New Roman"/>
          <w:spacing w:val="-2"/>
          <w:sz w:val="32"/>
          <w:szCs w:val="32"/>
          <w:lang w:val="en-US" w:eastAsia="zh-CN"/>
        </w:rPr>
        <w:t>标</w:t>
      </w:r>
      <w:r>
        <w:rPr>
          <w:rFonts w:hint="eastAsia" w:ascii="仿宋" w:hAnsi="仿宋" w:eastAsia="仿宋" w:cs="Times New Roman"/>
          <w:spacing w:val="-2"/>
          <w:sz w:val="32"/>
          <w:szCs w:val="32"/>
        </w:rPr>
        <w:t>，未出现截留、挤占、挪用、虚列支出等情况。项目采购方式合规、采购流程规范，本年度支出的所有资金均由县财政局国库支付，支出符合国家财经法规和财务管理制度规定以及有关专项资金管理办法的规定；资金拨付有完整的审批程序和手续；项目支出按规定经过评估论证。我单位不断改善行政管理、严格经费及资产管理；做好防汛抗旱、防治大气污染工作；督促和指导乡村抓好基础管理工作和安全生产工作；改进文风会风，精简会议，提高了行政效率，各方面工作得到社会大众的肯定和好评，在年度绩效考核中成绩优异。</w:t>
      </w:r>
    </w:p>
    <w:p w14:paraId="082B65AD">
      <w:pPr>
        <w:widowControl/>
        <w:shd w:val="clear" w:color="auto" w:fill="FFFFFF"/>
        <w:spacing w:line="600" w:lineRule="atLeast"/>
        <w:ind w:firstLine="640"/>
        <w:rPr>
          <w:rFonts w:ascii="楷体" w:hAnsi="楷体" w:eastAsia="楷体"/>
          <w:b/>
          <w:spacing w:val="-2"/>
          <w:sz w:val="32"/>
          <w:szCs w:val="21"/>
        </w:rPr>
      </w:pPr>
      <w:r>
        <w:rPr>
          <w:rFonts w:ascii="楷体" w:hAnsi="楷体" w:eastAsia="楷体"/>
          <w:b/>
          <w:spacing w:val="-2"/>
          <w:sz w:val="32"/>
          <w:szCs w:val="32"/>
        </w:rPr>
        <w:t>六、存在的主要问题</w:t>
      </w:r>
    </w:p>
    <w:p w14:paraId="5B62D429">
      <w:pPr>
        <w:widowControl/>
        <w:shd w:val="clear" w:color="auto" w:fill="FFFFFF"/>
        <w:spacing w:line="600" w:lineRule="atLeast"/>
        <w:ind w:firstLine="640"/>
        <w:rPr>
          <w:rFonts w:hint="default" w:ascii="Times New Roman" w:hAnsi="Times New Roman" w:eastAsia="仿宋" w:cs="Times New Roman"/>
          <w:sz w:val="32"/>
          <w:szCs w:val="32"/>
          <w:lang w:val="en-US" w:eastAsia="zh-CN"/>
        </w:rPr>
      </w:pPr>
      <w:r>
        <w:rPr>
          <w:rFonts w:hint="eastAsia" w:ascii="仿宋" w:hAnsi="仿宋" w:eastAsia="仿宋" w:cs="Times New Roman"/>
          <w:spacing w:val="-2"/>
          <w:sz w:val="32"/>
          <w:szCs w:val="32"/>
        </w:rPr>
        <w:t>存在的问题：1.预算编制工作有待细化。预算编制不够明确和细化，预算编制的合理性需要提高，预算执行力度还要进一步加强；2.公用经费控制有一定难度，基本为刚性支出</w:t>
      </w:r>
      <w:r>
        <w:rPr>
          <w:rFonts w:hint="eastAsia" w:ascii="仿宋" w:hAnsi="仿宋" w:eastAsia="仿宋" w:cs="Times New Roman"/>
          <w:spacing w:val="-2"/>
          <w:sz w:val="32"/>
          <w:szCs w:val="32"/>
          <w:lang w:eastAsia="zh-CN"/>
        </w:rPr>
        <w:t>；</w:t>
      </w:r>
    </w:p>
    <w:p w14:paraId="7CFDA8DC">
      <w:pPr>
        <w:widowControl/>
        <w:shd w:val="clear" w:color="auto" w:fill="FFFFFF"/>
        <w:spacing w:line="600" w:lineRule="atLeast"/>
        <w:ind w:firstLine="640"/>
        <w:rPr>
          <w:rFonts w:ascii="楷体" w:hAnsi="楷体" w:eastAsia="楷体"/>
          <w:b/>
          <w:spacing w:val="-2"/>
          <w:sz w:val="32"/>
          <w:szCs w:val="21"/>
        </w:rPr>
      </w:pPr>
      <w:r>
        <w:rPr>
          <w:rFonts w:ascii="楷体" w:hAnsi="楷体" w:eastAsia="楷体"/>
          <w:b/>
          <w:spacing w:val="-2"/>
          <w:sz w:val="32"/>
          <w:szCs w:val="32"/>
        </w:rPr>
        <w:t>七、改进措施和有关建议</w:t>
      </w:r>
    </w:p>
    <w:p w14:paraId="4D3A88CD">
      <w:pPr>
        <w:widowControl/>
        <w:shd w:val="clear" w:color="auto" w:fill="FFFFFF"/>
        <w:spacing w:line="600" w:lineRule="atLeast"/>
        <w:ind w:firstLine="640"/>
        <w:rPr>
          <w:rFonts w:ascii="仿宋" w:hAnsi="仿宋" w:eastAsia="仿宋"/>
          <w:spacing w:val="-2"/>
          <w:sz w:val="32"/>
          <w:szCs w:val="21"/>
        </w:rPr>
      </w:pPr>
      <w:r>
        <w:rPr>
          <w:rFonts w:hint="eastAsia" w:ascii="仿宋" w:hAnsi="仿宋" w:eastAsia="仿宋"/>
          <w:spacing w:val="-2"/>
          <w:sz w:val="32"/>
          <w:szCs w:val="32"/>
          <w:lang w:eastAsia="zh-CN"/>
        </w:rPr>
        <w:t>无</w:t>
      </w:r>
      <w:r>
        <w:rPr>
          <w:rFonts w:ascii="仿宋" w:hAnsi="仿宋" w:eastAsia="仿宋"/>
          <w:spacing w:val="-2"/>
          <w:sz w:val="32"/>
          <w:szCs w:val="32"/>
        </w:rPr>
        <w:t>。</w:t>
      </w:r>
    </w:p>
    <w:p w14:paraId="05097FCB">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20" w:lineRule="exact"/>
        <w:ind w:left="0" w:right="0" w:firstLine="0"/>
        <w:textAlignment w:val="auto"/>
        <w:rPr>
          <w:rFonts w:hint="default" w:ascii="Times New Roman" w:hAnsi="Times New Roman" w:cs="Times New Roman"/>
          <w:i w:val="0"/>
          <w:iCs w:val="0"/>
          <w:caps w:val="0"/>
          <w:color w:val="000000"/>
          <w:spacing w:val="0"/>
          <w:sz w:val="24"/>
          <w:szCs w:val="24"/>
        </w:rPr>
      </w:pPr>
    </w:p>
    <w:p w14:paraId="6765FDE8">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20" w:lineRule="exact"/>
        <w:ind w:right="0" w:firstLine="0"/>
        <w:jc w:val="left"/>
        <w:textAlignment w:val="auto"/>
        <w:rPr>
          <w:rFonts w:hint="default" w:ascii="Calibri" w:hAnsi="Calibri" w:cs="Calibri"/>
          <w:i w:val="0"/>
          <w:iCs w:val="0"/>
          <w:caps w:val="0"/>
          <w:color w:val="000000"/>
          <w:spacing w:val="0"/>
          <w:sz w:val="24"/>
          <w:szCs w:val="24"/>
        </w:rPr>
        <w:sectPr>
          <w:footerReference r:id="rId3" w:type="default"/>
          <w:pgSz w:w="11906" w:h="16838"/>
          <w:pgMar w:top="2098" w:right="1800" w:bottom="1984" w:left="1587" w:header="851" w:footer="992" w:gutter="0"/>
          <w:cols w:space="425" w:num="1"/>
          <w:docGrid w:type="lines" w:linePitch="312" w:charSpace="0"/>
        </w:sectPr>
      </w:pPr>
      <w:bookmarkStart w:id="0" w:name="_GoBack"/>
      <w:bookmarkEnd w:id="0"/>
    </w:p>
    <w:p w14:paraId="50D22D3B">
      <w:pPr>
        <w:widowControl w:val="0"/>
        <w:kinsoku/>
        <w:autoSpaceDE/>
        <w:autoSpaceDN/>
        <w:adjustRightInd/>
        <w:snapToGrid/>
        <w:spacing w:line="600" w:lineRule="exact"/>
        <w:jc w:val="both"/>
        <w:textAlignment w:val="auto"/>
        <w:rPr>
          <w:rFonts w:hint="default" w:ascii="Times New Roman" w:hAnsi="Times New Roman" w:eastAsia="仿宋_GB2312" w:cs="Times New Roman"/>
          <w:snapToGrid/>
          <w:color w:val="000000"/>
          <w:kern w:val="0"/>
          <w:sz w:val="32"/>
          <w:szCs w:val="32"/>
          <w:lang w:val="en-US" w:eastAsia="zh-CN" w:bidi="ar-SA"/>
        </w:rPr>
      </w:pPr>
    </w:p>
    <w:p w14:paraId="58FF45B0">
      <w:pPr>
        <w:rPr>
          <w:rFonts w:hint="default"/>
          <w:lang w:val="en-US" w:eastAsia="zh-CN"/>
        </w:rPr>
      </w:pPr>
    </w:p>
    <w:sectPr>
      <w:pgSz w:w="11906" w:h="16838"/>
      <w:pgMar w:top="2098" w:right="1800"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B30AAF22-50BC-4F01-B9EA-11451CEB309E}"/>
  </w:font>
  <w:font w:name="Calibri Light">
    <w:panose1 w:val="020F0302020204030204"/>
    <w:charset w:val="00"/>
    <w:family w:val="auto"/>
    <w:pitch w:val="default"/>
    <w:sig w:usb0="E4002EFF" w:usb1="C000247B" w:usb2="00000009" w:usb3="00000000" w:csb0="200001FF"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embedRegular r:id="rId2" w:fontKey="{85BA73D8-1F0B-413A-A8D3-1D5C8A3DB153}"/>
  </w:font>
  <w:font w:name="仿宋">
    <w:panose1 w:val="02010609060101010101"/>
    <w:charset w:val="86"/>
    <w:family w:val="auto"/>
    <w:pitch w:val="default"/>
    <w:sig w:usb0="800002BF" w:usb1="38CF7CFA" w:usb2="00000016" w:usb3="00000000" w:csb0="00040001" w:csb1="00000000"/>
    <w:embedRegular r:id="rId3" w:fontKey="{9CF74030-BDA2-4FCE-8DF9-0608269C44C0}"/>
  </w:font>
  <w:font w:name="方正小标宋_GBK">
    <w:panose1 w:val="02000000000000000000"/>
    <w:charset w:val="86"/>
    <w:family w:val="auto"/>
    <w:pitch w:val="default"/>
    <w:sig w:usb0="00000001" w:usb1="08000000" w:usb2="00000000" w:usb3="00000000" w:csb0="00040000" w:csb1="00000000"/>
    <w:embedRegular r:id="rId4" w:fontKey="{734EF793-86B9-413A-9E87-B1FAC8AC6079}"/>
  </w:font>
  <w:font w:name="仿宋_GB2312">
    <w:panose1 w:val="02010609030101010101"/>
    <w:charset w:val="86"/>
    <w:family w:val="auto"/>
    <w:pitch w:val="default"/>
    <w:sig w:usb0="00000001" w:usb1="080E0000" w:usb2="00000000" w:usb3="00000000" w:csb0="00040000" w:csb1="00000000"/>
    <w:embedRegular r:id="rId5" w:fontKey="{5FC89842-C017-49EE-BF93-FB127177473B}"/>
  </w:font>
  <w:font w:name="方正仿宋_GB2312">
    <w:altName w:val="仿宋"/>
    <w:panose1 w:val="02000000000000000000"/>
    <w:charset w:val="86"/>
    <w:family w:val="auto"/>
    <w:pitch w:val="default"/>
    <w:sig w:usb0="00000000" w:usb1="00000000" w:usb2="00000012" w:usb3="00000000" w:csb0="00040001" w:csb1="00000000"/>
    <w:embedRegular r:id="rId6" w:fontKey="{1AFF631E-FE2C-4B95-A726-76393B1C4625}"/>
  </w:font>
  <w:font w:name="方正仿宋_GBK">
    <w:altName w:val="Arial Unicode MS"/>
    <w:panose1 w:val="02000000000000000000"/>
    <w:charset w:val="86"/>
    <w:family w:val="auto"/>
    <w:pitch w:val="default"/>
    <w:sig w:usb0="00000000" w:usb1="00000000" w:usb2="00000000" w:usb3="00000000" w:csb0="00040000" w:csb1="00000000"/>
  </w:font>
  <w:font w:name="方正小标宋简体">
    <w:panose1 w:val="00000600000000000000"/>
    <w:charset w:val="86"/>
    <w:family w:val="auto"/>
    <w:pitch w:val="default"/>
    <w:sig w:usb0="800002BF" w:usb1="184F6CF8" w:usb2="00000012" w:usb3="00000000" w:csb0="00160001" w:csb1="12030000"/>
  </w:font>
  <w:font w:name="WPSEMBED1">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8B7506">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78EB873">
                          <w:pPr>
                            <w:pStyle w:val="4"/>
                          </w:pPr>
                          <w:r>
                            <w:rPr>
                              <w:rFonts w:hint="eastAsia" w:ascii="方正仿宋_GB2312" w:hAnsi="方正仿宋_GB2312" w:eastAsia="方正仿宋_GB2312" w:cs="方正仿宋_GB2312"/>
                              <w:sz w:val="28"/>
                              <w:szCs w:val="28"/>
                            </w:rPr>
                            <w:fldChar w:fldCharType="begin"/>
                          </w:r>
                          <w:r>
                            <w:rPr>
                              <w:rFonts w:hint="eastAsia" w:ascii="方正仿宋_GB2312" w:hAnsi="方正仿宋_GB2312" w:eastAsia="方正仿宋_GB2312" w:cs="方正仿宋_GB2312"/>
                              <w:sz w:val="28"/>
                              <w:szCs w:val="28"/>
                            </w:rPr>
                            <w:instrText xml:space="preserve"> PAGE  \* MERGEFORMAT </w:instrText>
                          </w:r>
                          <w:r>
                            <w:rPr>
                              <w:rFonts w:hint="eastAsia" w:ascii="方正仿宋_GB2312" w:hAnsi="方正仿宋_GB2312" w:eastAsia="方正仿宋_GB2312" w:cs="方正仿宋_GB2312"/>
                              <w:sz w:val="28"/>
                              <w:szCs w:val="28"/>
                            </w:rPr>
                            <w:fldChar w:fldCharType="separate"/>
                          </w:r>
                          <w:r>
                            <w:rPr>
                              <w:rFonts w:hint="eastAsia" w:ascii="方正仿宋_GB2312" w:hAnsi="方正仿宋_GB2312" w:eastAsia="方正仿宋_GB2312" w:cs="方正仿宋_GB2312"/>
                              <w:sz w:val="28"/>
                              <w:szCs w:val="28"/>
                            </w:rPr>
                            <w:t>1</w:t>
                          </w:r>
                          <w:r>
                            <w:rPr>
                              <w:rFonts w:hint="eastAsia" w:ascii="方正仿宋_GB2312" w:hAnsi="方正仿宋_GB2312" w:eastAsia="方正仿宋_GB2312" w:cs="方正仿宋_GB2312"/>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278EB873">
                    <w:pPr>
                      <w:pStyle w:val="4"/>
                    </w:pPr>
                    <w:r>
                      <w:rPr>
                        <w:rFonts w:hint="eastAsia" w:ascii="方正仿宋_GB2312" w:hAnsi="方正仿宋_GB2312" w:eastAsia="方正仿宋_GB2312" w:cs="方正仿宋_GB2312"/>
                        <w:sz w:val="28"/>
                        <w:szCs w:val="28"/>
                      </w:rPr>
                      <w:fldChar w:fldCharType="begin"/>
                    </w:r>
                    <w:r>
                      <w:rPr>
                        <w:rFonts w:hint="eastAsia" w:ascii="方正仿宋_GB2312" w:hAnsi="方正仿宋_GB2312" w:eastAsia="方正仿宋_GB2312" w:cs="方正仿宋_GB2312"/>
                        <w:sz w:val="28"/>
                        <w:szCs w:val="28"/>
                      </w:rPr>
                      <w:instrText xml:space="preserve"> PAGE  \* MERGEFORMAT </w:instrText>
                    </w:r>
                    <w:r>
                      <w:rPr>
                        <w:rFonts w:hint="eastAsia" w:ascii="方正仿宋_GB2312" w:hAnsi="方正仿宋_GB2312" w:eastAsia="方正仿宋_GB2312" w:cs="方正仿宋_GB2312"/>
                        <w:sz w:val="28"/>
                        <w:szCs w:val="28"/>
                      </w:rPr>
                      <w:fldChar w:fldCharType="separate"/>
                    </w:r>
                    <w:r>
                      <w:rPr>
                        <w:rFonts w:hint="eastAsia" w:ascii="方正仿宋_GB2312" w:hAnsi="方正仿宋_GB2312" w:eastAsia="方正仿宋_GB2312" w:cs="方正仿宋_GB2312"/>
                        <w:sz w:val="28"/>
                        <w:szCs w:val="28"/>
                      </w:rPr>
                      <w:t>1</w:t>
                    </w:r>
                    <w:r>
                      <w:rPr>
                        <w:rFonts w:hint="eastAsia" w:ascii="方正仿宋_GB2312" w:hAnsi="方正仿宋_GB2312" w:eastAsia="方正仿宋_GB2312" w:cs="方正仿宋_GB2312"/>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C26BE9E"/>
    <w:multiLevelType w:val="singleLevel"/>
    <w:tmpl w:val="7C26BE9E"/>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AzNDNmZGY5ODE4YTVlYjYxZjc0MjRkNGFmZDRkY2UifQ=="/>
    <w:docVar w:name="KSO_WPS_MARK_KEY" w:val="9920a277-c0c3-43b4-93d3-1636fe398e0b"/>
  </w:docVars>
  <w:rsids>
    <w:rsidRoot w:val="753C4E9B"/>
    <w:rsid w:val="046A73C6"/>
    <w:rsid w:val="05E95AA6"/>
    <w:rsid w:val="08FF033D"/>
    <w:rsid w:val="0ADA2C70"/>
    <w:rsid w:val="0C180A78"/>
    <w:rsid w:val="0CAF7D6D"/>
    <w:rsid w:val="0D276746"/>
    <w:rsid w:val="0D464D9C"/>
    <w:rsid w:val="0DD52794"/>
    <w:rsid w:val="0E956870"/>
    <w:rsid w:val="10C666A5"/>
    <w:rsid w:val="1223366A"/>
    <w:rsid w:val="143877FD"/>
    <w:rsid w:val="14425F5C"/>
    <w:rsid w:val="17C820DA"/>
    <w:rsid w:val="19E805B2"/>
    <w:rsid w:val="21D30B38"/>
    <w:rsid w:val="22FE234B"/>
    <w:rsid w:val="277E6F02"/>
    <w:rsid w:val="29990575"/>
    <w:rsid w:val="2AF6742D"/>
    <w:rsid w:val="2E833798"/>
    <w:rsid w:val="312A2265"/>
    <w:rsid w:val="34705DCF"/>
    <w:rsid w:val="36FC0F5D"/>
    <w:rsid w:val="375773F8"/>
    <w:rsid w:val="38CC5315"/>
    <w:rsid w:val="393E32BB"/>
    <w:rsid w:val="40A10D5C"/>
    <w:rsid w:val="419B2857"/>
    <w:rsid w:val="41D71DA8"/>
    <w:rsid w:val="449924EF"/>
    <w:rsid w:val="452F2A95"/>
    <w:rsid w:val="45D249F5"/>
    <w:rsid w:val="460B4B34"/>
    <w:rsid w:val="4C6611ED"/>
    <w:rsid w:val="552A0475"/>
    <w:rsid w:val="578D10CB"/>
    <w:rsid w:val="5A5915AC"/>
    <w:rsid w:val="5FDC6F9A"/>
    <w:rsid w:val="69BD1250"/>
    <w:rsid w:val="6A12486A"/>
    <w:rsid w:val="753C4E9B"/>
    <w:rsid w:val="77CA616D"/>
    <w:rsid w:val="781113A7"/>
    <w:rsid w:val="791E6510"/>
    <w:rsid w:val="7C8D4A41"/>
    <w:rsid w:val="7C9048DB"/>
    <w:rsid w:val="7CBF04E1"/>
    <w:rsid w:val="7FBE16B2"/>
    <w:rsid w:val="B6FF04E5"/>
    <w:rsid w:val="E9DF1962"/>
    <w:rsid w:val="EFFF8C08"/>
    <w:rsid w:val="FDEF7C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keepNext/>
      <w:keepLines/>
      <w:spacing w:line="560" w:lineRule="exact"/>
      <w:ind w:firstLine="200" w:firstLineChars="200"/>
      <w:outlineLvl w:val="1"/>
    </w:pPr>
    <w:rPr>
      <w:rFonts w:eastAsia="楷体_GB2312" w:asciiTheme="majorAscii" w:hAnsiTheme="majorAscii" w:cstheme="majorBidi"/>
      <w:bCs/>
      <w:sz w:val="32"/>
      <w:szCs w:val="32"/>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3">
    <w:name w:val="Body Text Indent"/>
    <w:basedOn w:val="1"/>
    <w:unhideWhenUsed/>
    <w:qFormat/>
    <w:uiPriority w:val="0"/>
    <w:pPr>
      <w:spacing w:beforeLines="0" w:afterLines="0"/>
      <w:ind w:firstLine="640" w:firstLineChars="200"/>
    </w:pPr>
    <w:rPr>
      <w:rFonts w:hint="default"/>
      <w:sz w:val="32"/>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paragraph" w:styleId="7">
    <w:name w:val="Body Text First Indent 2"/>
    <w:basedOn w:val="3"/>
    <w:unhideWhenUsed/>
    <w:qFormat/>
    <w:uiPriority w:val="99"/>
    <w:pPr>
      <w:spacing w:beforeLines="0" w:afterLines="0"/>
      <w:ind w:firstLine="420"/>
    </w:pPr>
    <w:rPr>
      <w:rFonts w:hint="default"/>
      <w:sz w:val="32"/>
    </w:rPr>
  </w:style>
  <w:style w:type="paragraph" w:customStyle="1" w:styleId="10">
    <w:name w:val="标题1"/>
    <w:basedOn w:val="2"/>
    <w:qFormat/>
    <w:uiPriority w:val="0"/>
    <w:rPr>
      <w:rFonts w:eastAsia="黑体"/>
    </w:rPr>
  </w:style>
  <w:style w:type="paragraph" w:customStyle="1" w:styleId="11">
    <w:name w:val="首行缩进"/>
    <w:basedOn w:val="1"/>
    <w:qFormat/>
    <w:uiPriority w:val="0"/>
    <w:pPr>
      <w:ind w:firstLine="480" w:firstLineChars="200"/>
    </w:pPr>
    <w:rPr>
      <w:lang w:val="zh-CN"/>
    </w:rPr>
  </w:style>
  <w:style w:type="table" w:customStyle="1" w:styleId="12">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2349</Words>
  <Characters>2564</Characters>
  <Lines>0</Lines>
  <Paragraphs>0</Paragraphs>
  <TotalTime>25</TotalTime>
  <ScaleCrop>false</ScaleCrop>
  <LinksUpToDate>false</LinksUpToDate>
  <CharactersWithSpaces>2750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2024-02-23T10:03:00Z</dcterms:created>
  <dc:creator>1402836399</dc:creator>
  <cp:lastModifiedBy>Z Q 全 </cp:lastModifiedBy>
  <cp:lastPrinted>2025-05-16T11:33:00Z</cp:lastPrinted>
  <dcterms:modified xsi:type="dcterms:W3CDTF">2025-09-10T02:29:39Z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38A899457E884FBDAC8805FE7EE96AF6_13</vt:lpwstr>
  </property>
  <property fmtid="{D5CDD505-2E9C-101B-9397-08002B2CF9AE}" pid="4" name="KSOTemplateDocerSaveRecord">
    <vt:lpwstr>eyJoZGlkIjoiZWUzMzJhZGU0MTg3ZGM0NjdlOTAzM2JmM2IzYjIxMGUiLCJ1c2VySWQiOiIzNzk0MzExODEifQ==</vt:lpwstr>
  </property>
</Properties>
</file>