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spacing w:line="600" w:lineRule="exact"/>
        <w:ind w:firstLine="663" w:firstLineChars="150"/>
        <w:rPr>
          <w:rFonts w:ascii="仿宋" w:hAnsi="仿宋" w:eastAsia="仿宋"/>
          <w:b/>
          <w:bCs/>
          <w:sz w:val="44"/>
          <w:szCs w:val="44"/>
        </w:rPr>
      </w:pPr>
      <w:r>
        <w:rPr>
          <w:rFonts w:hint="eastAsia" w:ascii="仿宋" w:hAnsi="仿宋" w:eastAsia="仿宋"/>
          <w:b/>
          <w:bCs/>
          <w:sz w:val="44"/>
          <w:szCs w:val="44"/>
          <w:lang w:eastAsia="zh-CN"/>
        </w:rPr>
        <w:t>2022</w:t>
      </w:r>
      <w:r>
        <w:rPr>
          <w:rFonts w:hint="eastAsia" w:ascii="仿宋" w:hAnsi="仿宋" w:eastAsia="仿宋"/>
          <w:b/>
          <w:bCs/>
          <w:sz w:val="44"/>
          <w:szCs w:val="44"/>
        </w:rPr>
        <w:t>年度潭湾镇人民政府</w:t>
      </w:r>
      <w:r>
        <w:rPr>
          <w:rFonts w:ascii="仿宋" w:hAnsi="仿宋" w:eastAsia="仿宋"/>
          <w:b/>
          <w:bCs/>
          <w:sz w:val="44"/>
          <w:szCs w:val="44"/>
        </w:rPr>
        <w:t>部门整体支出</w:t>
      </w:r>
    </w:p>
    <w:p>
      <w:pPr>
        <w:autoSpaceDE w:val="0"/>
        <w:autoSpaceDN w:val="0"/>
        <w:adjustRightInd w:val="0"/>
        <w:spacing w:line="520" w:lineRule="exact"/>
        <w:ind w:firstLine="3092" w:firstLineChars="700"/>
        <w:rPr>
          <w:rFonts w:ascii="仿宋" w:hAnsi="仿宋" w:eastAsia="仿宋"/>
          <w:b/>
          <w:bCs/>
          <w:sz w:val="44"/>
          <w:szCs w:val="44"/>
        </w:rPr>
      </w:pPr>
      <w:r>
        <w:rPr>
          <w:rFonts w:ascii="仿宋" w:hAnsi="仿宋" w:eastAsia="仿宋"/>
          <w:b/>
          <w:bCs/>
          <w:sz w:val="44"/>
          <w:szCs w:val="44"/>
        </w:rPr>
        <w:t>绩效评价报告</w:t>
      </w:r>
    </w:p>
    <w:p>
      <w:pPr>
        <w:spacing w:line="600" w:lineRule="exact"/>
        <w:ind w:left="210" w:firstLine="640"/>
        <w:jc w:val="center"/>
        <w:rPr>
          <w:rFonts w:ascii="仿宋" w:hAnsi="仿宋" w:eastAsia="仿宋" w:cs="仿宋"/>
          <w:sz w:val="32"/>
          <w:szCs w:val="32"/>
        </w:rPr>
      </w:pPr>
    </w:p>
    <w:p>
      <w:pPr>
        <w:spacing w:line="600" w:lineRule="exact"/>
        <w:ind w:left="210" w:firstLine="640"/>
        <w:jc w:val="center"/>
        <w:rPr>
          <w:rFonts w:ascii="仿宋" w:hAnsi="仿宋" w:eastAsia="仿宋" w:cs="仿宋"/>
          <w:sz w:val="32"/>
          <w:szCs w:val="32"/>
        </w:rPr>
      </w:pPr>
    </w:p>
    <w:p>
      <w:pPr>
        <w:spacing w:line="600" w:lineRule="exact"/>
        <w:ind w:left="210" w:firstLine="640"/>
        <w:jc w:val="center"/>
        <w:rPr>
          <w:rFonts w:ascii="仿宋" w:hAnsi="仿宋" w:eastAsia="仿宋" w:cs="仿宋"/>
          <w:sz w:val="32"/>
          <w:szCs w:val="32"/>
        </w:rPr>
      </w:pPr>
    </w:p>
    <w:p>
      <w:pPr>
        <w:spacing w:line="600" w:lineRule="exact"/>
        <w:ind w:left="210" w:firstLine="640"/>
        <w:jc w:val="center"/>
        <w:rPr>
          <w:rFonts w:ascii="仿宋" w:hAnsi="仿宋" w:eastAsia="仿宋" w:cs="仿宋"/>
          <w:sz w:val="32"/>
          <w:szCs w:val="32"/>
        </w:rPr>
      </w:pPr>
    </w:p>
    <w:p>
      <w:pPr>
        <w:spacing w:line="600" w:lineRule="exact"/>
        <w:ind w:left="210" w:firstLine="640"/>
        <w:jc w:val="center"/>
        <w:rPr>
          <w:rFonts w:ascii="仿宋" w:hAnsi="仿宋" w:eastAsia="仿宋" w:cs="仿宋"/>
          <w:sz w:val="32"/>
          <w:szCs w:val="32"/>
        </w:rPr>
      </w:pPr>
    </w:p>
    <w:p>
      <w:pPr>
        <w:spacing w:line="600" w:lineRule="exact"/>
        <w:ind w:left="210" w:firstLine="640"/>
        <w:jc w:val="center"/>
        <w:rPr>
          <w:rFonts w:ascii="仿宋" w:hAnsi="仿宋" w:eastAsia="仿宋" w:cs="仿宋"/>
          <w:sz w:val="32"/>
          <w:szCs w:val="32"/>
        </w:rPr>
      </w:pPr>
    </w:p>
    <w:p>
      <w:pPr>
        <w:spacing w:line="600" w:lineRule="exact"/>
        <w:ind w:firstLine="960" w:firstLineChars="300"/>
        <w:jc w:val="both"/>
        <w:rPr>
          <w:rFonts w:hint="eastAsia" w:ascii="楷体" w:hAnsi="楷体" w:eastAsia="楷体" w:cs="楷体"/>
          <w:b w:val="0"/>
          <w:bCs w:val="0"/>
          <w:i w:val="0"/>
          <w:iCs w:val="0"/>
          <w:caps w:val="0"/>
          <w:color w:val="000000"/>
          <w:spacing w:val="0"/>
          <w:sz w:val="32"/>
          <w:szCs w:val="32"/>
          <w:shd w:val="clear" w:fill="FFFFFF"/>
          <w:lang w:val="en-US" w:eastAsia="zh-CN"/>
        </w:rPr>
      </w:pPr>
      <w:r>
        <w:rPr>
          <w:rFonts w:hint="eastAsia" w:ascii="楷体" w:hAnsi="楷体" w:eastAsia="楷体" w:cs="楷体"/>
          <w:b w:val="0"/>
          <w:bCs w:val="0"/>
          <w:i w:val="0"/>
          <w:iCs w:val="0"/>
          <w:caps w:val="0"/>
          <w:color w:val="000000"/>
          <w:spacing w:val="0"/>
          <w:sz w:val="32"/>
          <w:szCs w:val="32"/>
          <w:shd w:val="clear" w:fill="FFFFFF"/>
          <w:lang w:val="en-US" w:eastAsia="zh-CN"/>
        </w:rPr>
        <w:t>单位名称（盖章）：辰溪县潭湾镇人民政府</w:t>
      </w:r>
    </w:p>
    <w:p>
      <w:pPr>
        <w:spacing w:line="600" w:lineRule="exact"/>
        <w:ind w:left="210" w:firstLine="2569" w:firstLineChars="803"/>
        <w:jc w:val="both"/>
        <w:rPr>
          <w:rFonts w:hint="default" w:ascii="黑体" w:hAnsi="宋体" w:eastAsia="黑体" w:cs="黑体"/>
          <w:b w:val="0"/>
          <w:bCs w:val="0"/>
          <w:i w:val="0"/>
          <w:iCs w:val="0"/>
          <w:caps w:val="0"/>
          <w:color w:val="000000"/>
          <w:spacing w:val="0"/>
          <w:sz w:val="32"/>
          <w:szCs w:val="32"/>
          <w:shd w:val="clear" w:fill="FFFFFF"/>
          <w:lang w:val="en-US" w:eastAsia="zh-CN"/>
        </w:rPr>
      </w:pPr>
      <w:r>
        <w:rPr>
          <w:rFonts w:ascii="楷体" w:hAnsi="楷体" w:eastAsia="楷体" w:cs="楷体"/>
          <w:b w:val="0"/>
          <w:bCs w:val="0"/>
          <w:i w:val="0"/>
          <w:iCs w:val="0"/>
          <w:caps w:val="0"/>
          <w:color w:val="000000"/>
          <w:spacing w:val="0"/>
          <w:sz w:val="32"/>
          <w:szCs w:val="32"/>
          <w:shd w:val="clear" w:fill="FFFFFF"/>
        </w:rPr>
        <w:t>202</w:t>
      </w:r>
      <w:r>
        <w:rPr>
          <w:rFonts w:hint="eastAsia" w:ascii="楷体" w:hAnsi="楷体" w:eastAsia="楷体" w:cs="楷体"/>
          <w:b w:val="0"/>
          <w:bCs w:val="0"/>
          <w:i w:val="0"/>
          <w:iCs w:val="0"/>
          <w:caps w:val="0"/>
          <w:color w:val="000000"/>
          <w:spacing w:val="0"/>
          <w:sz w:val="32"/>
          <w:szCs w:val="32"/>
          <w:shd w:val="clear" w:fill="FFFFFF"/>
          <w:lang w:val="en-US" w:eastAsia="zh-CN"/>
        </w:rPr>
        <w:t>3</w:t>
      </w:r>
      <w:r>
        <w:rPr>
          <w:rFonts w:hint="eastAsia" w:ascii="楷体" w:hAnsi="楷体" w:eastAsia="楷体" w:cs="楷体"/>
          <w:b w:val="0"/>
          <w:bCs w:val="0"/>
          <w:i w:val="0"/>
          <w:iCs w:val="0"/>
          <w:caps w:val="0"/>
          <w:color w:val="000000"/>
          <w:spacing w:val="0"/>
          <w:sz w:val="32"/>
          <w:szCs w:val="32"/>
          <w:shd w:val="clear" w:fill="FFFFFF"/>
        </w:rPr>
        <w:t>年</w:t>
      </w:r>
      <w:r>
        <w:rPr>
          <w:rFonts w:hint="eastAsia" w:ascii="楷体" w:hAnsi="楷体" w:eastAsia="楷体" w:cs="楷体"/>
          <w:b w:val="0"/>
          <w:bCs w:val="0"/>
          <w:i w:val="0"/>
          <w:iCs w:val="0"/>
          <w:caps w:val="0"/>
          <w:color w:val="000000"/>
          <w:spacing w:val="0"/>
          <w:sz w:val="32"/>
          <w:szCs w:val="32"/>
          <w:shd w:val="clear" w:fill="FFFFFF"/>
          <w:lang w:val="en-US" w:eastAsia="zh-CN"/>
        </w:rPr>
        <w:t>3</w:t>
      </w:r>
      <w:r>
        <w:rPr>
          <w:rFonts w:hint="eastAsia" w:ascii="楷体" w:hAnsi="楷体" w:eastAsia="楷体" w:cs="楷体"/>
          <w:b w:val="0"/>
          <w:bCs w:val="0"/>
          <w:i w:val="0"/>
          <w:iCs w:val="0"/>
          <w:caps w:val="0"/>
          <w:color w:val="000000"/>
          <w:spacing w:val="0"/>
          <w:sz w:val="32"/>
          <w:szCs w:val="32"/>
          <w:shd w:val="clear" w:fill="FFFFFF"/>
        </w:rPr>
        <w:t>月2</w:t>
      </w:r>
      <w:r>
        <w:rPr>
          <w:rFonts w:hint="eastAsia" w:ascii="楷体" w:hAnsi="楷体" w:eastAsia="楷体" w:cs="楷体"/>
          <w:b w:val="0"/>
          <w:bCs w:val="0"/>
          <w:i w:val="0"/>
          <w:iCs w:val="0"/>
          <w:caps w:val="0"/>
          <w:color w:val="000000"/>
          <w:spacing w:val="0"/>
          <w:sz w:val="32"/>
          <w:szCs w:val="32"/>
          <w:shd w:val="clear" w:fill="FFFFFF"/>
          <w:lang w:val="en-US" w:eastAsia="zh-CN"/>
        </w:rPr>
        <w:t>0</w:t>
      </w:r>
      <w:r>
        <w:rPr>
          <w:rFonts w:hint="eastAsia" w:ascii="楷体" w:hAnsi="楷体" w:eastAsia="楷体" w:cs="楷体"/>
          <w:b w:val="0"/>
          <w:bCs w:val="0"/>
          <w:i w:val="0"/>
          <w:iCs w:val="0"/>
          <w:caps w:val="0"/>
          <w:color w:val="000000"/>
          <w:spacing w:val="0"/>
          <w:sz w:val="32"/>
          <w:szCs w:val="32"/>
          <w:shd w:val="clear" w:fill="FFFFFF"/>
        </w:rPr>
        <w:t>日</w:t>
      </w:r>
    </w:p>
    <w:p>
      <w:pPr>
        <w:spacing w:line="600" w:lineRule="exact"/>
        <w:ind w:left="210" w:firstLine="640"/>
        <w:jc w:val="center"/>
        <w:rPr>
          <w:rFonts w:hint="eastAsia" w:ascii="黑体" w:hAnsi="宋体" w:eastAsia="黑体" w:cs="黑体"/>
          <w:b w:val="0"/>
          <w:bCs w:val="0"/>
          <w:i w:val="0"/>
          <w:iCs w:val="0"/>
          <w:caps w:val="0"/>
          <w:color w:val="000000"/>
          <w:spacing w:val="0"/>
          <w:sz w:val="32"/>
          <w:szCs w:val="32"/>
          <w:shd w:val="clear" w:fill="FFFFFF"/>
          <w:lang w:eastAsia="zh-CN"/>
        </w:rPr>
      </w:pPr>
    </w:p>
    <w:p>
      <w:pPr>
        <w:spacing w:line="600" w:lineRule="exact"/>
        <w:ind w:left="210" w:firstLine="640"/>
        <w:jc w:val="center"/>
        <w:rPr>
          <w:rFonts w:hint="eastAsia" w:ascii="黑体" w:hAnsi="宋体" w:eastAsia="黑体" w:cs="黑体"/>
          <w:i w:val="0"/>
          <w:iCs w:val="0"/>
          <w:caps w:val="0"/>
          <w:color w:val="000000"/>
          <w:spacing w:val="0"/>
          <w:sz w:val="28"/>
          <w:szCs w:val="28"/>
          <w:shd w:val="clear" w:fill="FFFFFF"/>
          <w:lang w:eastAsia="zh-CN"/>
        </w:rPr>
      </w:pPr>
    </w:p>
    <w:p>
      <w:pPr>
        <w:spacing w:line="600" w:lineRule="exact"/>
        <w:ind w:left="210" w:firstLine="640"/>
        <w:jc w:val="center"/>
        <w:rPr>
          <w:rFonts w:hint="eastAsia" w:ascii="黑体" w:hAnsi="宋体" w:eastAsia="黑体" w:cs="黑体"/>
          <w:i w:val="0"/>
          <w:iCs w:val="0"/>
          <w:caps w:val="0"/>
          <w:color w:val="000000"/>
          <w:spacing w:val="0"/>
          <w:sz w:val="28"/>
          <w:szCs w:val="28"/>
          <w:shd w:val="clear" w:fill="FFFFFF"/>
          <w:lang w:eastAsia="zh-CN"/>
        </w:rPr>
      </w:pPr>
    </w:p>
    <w:p>
      <w:pPr>
        <w:autoSpaceDE w:val="0"/>
        <w:autoSpaceDN w:val="0"/>
        <w:adjustRightInd w:val="0"/>
        <w:spacing w:line="520" w:lineRule="exact"/>
        <w:ind w:firstLine="723" w:firstLineChars="200"/>
        <w:rPr>
          <w:rFonts w:eastAsia="楷体_GB2312"/>
          <w:b/>
          <w:bCs/>
          <w:sz w:val="36"/>
          <w:szCs w:val="36"/>
        </w:rPr>
      </w:pPr>
      <w:r>
        <w:rPr>
          <w:rFonts w:hint="eastAsia" w:ascii="楷体_GB2312" w:eastAsia="楷体_GB2312" w:cs="楷体_GB2312"/>
          <w:b/>
          <w:bCs/>
          <w:sz w:val="36"/>
          <w:szCs w:val="36"/>
        </w:rPr>
        <w:t>一、部门基本情况</w:t>
      </w:r>
    </w:p>
    <w:p>
      <w:pPr>
        <w:spacing w:line="600" w:lineRule="exact"/>
        <w:ind w:firstLine="560"/>
        <w:rPr>
          <w:rFonts w:ascii="黑体" w:hAnsi="黑体" w:eastAsia="黑体" w:cs="黑体"/>
          <w:kern w:val="0"/>
          <w:sz w:val="32"/>
          <w:szCs w:val="32"/>
        </w:rPr>
      </w:pPr>
      <w:r>
        <w:rPr>
          <w:rFonts w:hint="eastAsia" w:ascii="黑体" w:hAnsi="黑体" w:eastAsia="黑体" w:cs="黑体"/>
          <w:kern w:val="0"/>
          <w:sz w:val="32"/>
          <w:szCs w:val="32"/>
        </w:rPr>
        <w:t>（一）部门职责与机构设置</w:t>
      </w:r>
    </w:p>
    <w:p>
      <w:pPr>
        <w:spacing w:line="600" w:lineRule="exact"/>
        <w:ind w:firstLine="560"/>
        <w:rPr>
          <w:rStyle w:val="10"/>
          <w:rFonts w:hint="eastAsia" w:ascii="仿宋" w:hAnsi="仿宋" w:eastAsia="仿宋" w:cs="仿宋"/>
          <w:kern w:val="2"/>
          <w:sz w:val="30"/>
          <w:szCs w:val="30"/>
          <w:lang w:val="en-US" w:eastAsia="zh-CN" w:bidi="ar-SA"/>
        </w:rPr>
      </w:pPr>
      <w:r>
        <w:rPr>
          <w:rStyle w:val="10"/>
          <w:rFonts w:hint="eastAsia" w:ascii="仿宋" w:hAnsi="仿宋" w:eastAsia="仿宋" w:cs="仿宋"/>
          <w:kern w:val="2"/>
          <w:sz w:val="30"/>
          <w:szCs w:val="30"/>
          <w:lang w:val="en-US" w:eastAsia="zh-CN" w:bidi="ar-SA"/>
        </w:rPr>
        <w:t>1、党政办公室：负责协助乡领导处理日常党务和行政管理工作；协助抓好纪检、监察、群团工作和精神文明建设；做好文秘、接待、后勤、信息、统计、档案、调研、督查工作；负责政策性文件、具体行政行为的审核和上报备案以及行政执法证件的使用管理，承办以乡政府为被告或被申请人的行政诉讼、行政赔偿和行政复议案件，具体承担依法行政、政务公开和行政执法监督的各项工作；联系联络人大、政协工作，承办乡党委、政府和上级主管部门交办的其他事项。</w:t>
      </w:r>
    </w:p>
    <w:p>
      <w:pPr>
        <w:spacing w:line="600" w:lineRule="exact"/>
        <w:ind w:firstLine="560"/>
        <w:rPr>
          <w:rStyle w:val="10"/>
          <w:rFonts w:hint="eastAsia" w:ascii="仿宋" w:hAnsi="仿宋" w:eastAsia="仿宋" w:cs="仿宋"/>
          <w:kern w:val="2"/>
          <w:sz w:val="30"/>
          <w:szCs w:val="30"/>
          <w:lang w:val="en-US" w:eastAsia="zh-CN" w:bidi="ar-SA"/>
        </w:rPr>
      </w:pPr>
      <w:r>
        <w:rPr>
          <w:rStyle w:val="10"/>
          <w:rFonts w:hint="eastAsia" w:ascii="仿宋" w:hAnsi="仿宋" w:eastAsia="仿宋" w:cs="仿宋"/>
          <w:kern w:val="2"/>
          <w:sz w:val="30"/>
          <w:szCs w:val="30"/>
          <w:lang w:val="en-US" w:eastAsia="zh-CN" w:bidi="ar-SA"/>
        </w:rPr>
        <w:t>2、党建办公室：按照干部管理权限，组织实施对干部的教育、培训、考核、奖惩、任免、后备干部的培养选拔和党员发展教育等工作；负责本单位干部职工心理健康关爱工作；承担基层党的政治建设、组织工作、宣传工作、统战工作、党风廉政建设和反腐败工作、党建带群团建设等职责；负责武装、民宗、群团和精神文明建设等工作。</w:t>
      </w:r>
    </w:p>
    <w:p>
      <w:pPr>
        <w:spacing w:line="600" w:lineRule="exact"/>
        <w:ind w:firstLine="560"/>
        <w:rPr>
          <w:rStyle w:val="10"/>
          <w:rFonts w:hint="eastAsia" w:ascii="仿宋" w:hAnsi="仿宋" w:eastAsia="仿宋" w:cs="仿宋"/>
          <w:kern w:val="2"/>
          <w:sz w:val="30"/>
          <w:szCs w:val="30"/>
          <w:lang w:val="en-US" w:eastAsia="zh-CN" w:bidi="ar-SA"/>
        </w:rPr>
      </w:pPr>
      <w:r>
        <w:rPr>
          <w:rStyle w:val="10"/>
          <w:rFonts w:hint="eastAsia" w:ascii="仿宋" w:hAnsi="仿宋" w:eastAsia="仿宋" w:cs="仿宋"/>
          <w:kern w:val="2"/>
          <w:sz w:val="30"/>
          <w:szCs w:val="30"/>
          <w:lang w:val="en-US" w:eastAsia="zh-CN" w:bidi="ar-SA"/>
        </w:rPr>
        <w:t>3、财政所：负责编制和执行乡政府财政预决算工作，管理预算内外资金、编制财政预算草案；负责管理和监督本乡所属行政事业单位的财务活动；负责财政收支管理，乡财政性资金债权管理；负责政府性项目及大额固定资金等方面的内审工作；负责党委会等会议决定事项的督办工作。</w:t>
      </w:r>
    </w:p>
    <w:p>
      <w:pPr>
        <w:spacing w:line="600" w:lineRule="exact"/>
        <w:ind w:firstLine="560"/>
        <w:rPr>
          <w:rStyle w:val="10"/>
          <w:rFonts w:hint="eastAsia" w:ascii="仿宋" w:hAnsi="仿宋" w:eastAsia="仿宋" w:cs="仿宋"/>
          <w:kern w:val="2"/>
          <w:sz w:val="30"/>
          <w:szCs w:val="30"/>
          <w:lang w:val="en-US" w:eastAsia="zh-CN" w:bidi="ar-SA"/>
        </w:rPr>
      </w:pPr>
      <w:r>
        <w:rPr>
          <w:rStyle w:val="10"/>
          <w:rFonts w:hint="eastAsia" w:ascii="仿宋" w:hAnsi="仿宋" w:eastAsia="仿宋" w:cs="仿宋"/>
          <w:kern w:val="2"/>
          <w:sz w:val="30"/>
          <w:szCs w:val="30"/>
          <w:lang w:val="en-US" w:eastAsia="zh-CN" w:bidi="ar-SA"/>
        </w:rPr>
        <w:t>4、经济发展办公室：贯彻国家对农业的方针、政策和法规，对农业产业结构调整，农业资源配置和产品品质改善实施服务；负责全乡农村经济发展规划和重要项目申报工作，指导全乡各村编制农村经济、项目立项，做好统计工作；引导各村深化农村经济体制改革，完善农村社会化服务体系，做好农业新技术的培训教育和职称评审工作；收集和反馈农业综合信息，为农业经济发展提供产前、产中、产后全方位服务，积极发展信息、中介、行业协会等社会服务组织；负责环境卫生工作；负责畜牧兽医的疫情监控及防疫工作；承担党委、政府和上级业务部门交办的其它工作。</w:t>
      </w:r>
    </w:p>
    <w:p>
      <w:pPr>
        <w:spacing w:line="600" w:lineRule="exact"/>
        <w:ind w:firstLine="560"/>
        <w:rPr>
          <w:rStyle w:val="10"/>
          <w:rFonts w:hint="eastAsia" w:ascii="仿宋" w:hAnsi="仿宋" w:eastAsia="仿宋" w:cs="仿宋"/>
          <w:kern w:val="2"/>
          <w:sz w:val="30"/>
          <w:szCs w:val="30"/>
          <w:lang w:val="en-US" w:eastAsia="zh-CN" w:bidi="ar-SA"/>
        </w:rPr>
      </w:pPr>
      <w:r>
        <w:rPr>
          <w:rStyle w:val="10"/>
          <w:rFonts w:hint="eastAsia" w:ascii="仿宋" w:hAnsi="仿宋" w:eastAsia="仿宋" w:cs="仿宋"/>
          <w:kern w:val="2"/>
          <w:sz w:val="30"/>
          <w:szCs w:val="30"/>
          <w:lang w:val="en-US" w:eastAsia="zh-CN" w:bidi="ar-SA"/>
        </w:rPr>
        <w:t>5、社会事务办公室：积极宣传贯彻《村民委员会组织法》，做好村民委员会换届选举的指导工作；负责行政区划，救灾、救济物资的管理与发放，灾民的安置，困难户的救济与扶贫，散居五保户的管理，积极开展社会募捐献爱心活动，负责残疾人事业的管理与协调；负责义务兵优待款及各项抚恤金的发放；负责民族宗教与侨务工作；负责城乡建设规划的编制，城镇、乡村建设工作；负责土地使用、管理及其相关工作；完成党委、政府分配的其它中心工作。</w:t>
      </w:r>
    </w:p>
    <w:p>
      <w:pPr>
        <w:spacing w:line="600" w:lineRule="exact"/>
        <w:ind w:firstLine="560"/>
        <w:rPr>
          <w:rStyle w:val="10"/>
          <w:rFonts w:hint="eastAsia" w:ascii="仿宋" w:hAnsi="仿宋" w:eastAsia="仿宋" w:cs="仿宋"/>
          <w:kern w:val="2"/>
          <w:sz w:val="30"/>
          <w:szCs w:val="30"/>
          <w:lang w:val="en-US" w:eastAsia="zh-CN" w:bidi="ar-SA"/>
        </w:rPr>
      </w:pPr>
      <w:r>
        <w:rPr>
          <w:rStyle w:val="10"/>
          <w:rFonts w:hint="eastAsia" w:ascii="仿宋" w:hAnsi="仿宋" w:eastAsia="仿宋" w:cs="仿宋"/>
          <w:kern w:val="2"/>
          <w:sz w:val="30"/>
          <w:szCs w:val="30"/>
          <w:lang w:val="en-US" w:eastAsia="zh-CN" w:bidi="ar-SA"/>
        </w:rPr>
        <w:t>6、社会治安和应急管理办公室：负责贯彻执行上级有关基层社会治安综合治理和应急管理工作的方针、政策和法律法规；健全乡、村两级社会治安（平安建设）、信访维稳、网格化管理等工作，指导协调民事纠纷调解处理工作；加强法制教育，广泛开展农村普法宣传；加强对外来人口的管理，开展 “两劳”人员的帮教工作，强化社会治安；负责安全生产监管、防汛抗旱、防灾减灾、抗震救灾、森林防火等工作；承办乡党委、政府和上级主管部门交办的其他事项。</w:t>
      </w:r>
    </w:p>
    <w:p>
      <w:pPr>
        <w:spacing w:line="600" w:lineRule="exact"/>
        <w:ind w:firstLine="560"/>
        <w:rPr>
          <w:rStyle w:val="10"/>
          <w:rFonts w:hint="eastAsia" w:ascii="仿宋" w:hAnsi="仿宋" w:eastAsia="仿宋" w:cs="仿宋"/>
          <w:kern w:val="2"/>
          <w:sz w:val="30"/>
          <w:szCs w:val="30"/>
          <w:lang w:val="en-US" w:eastAsia="zh-CN" w:bidi="ar-SA"/>
        </w:rPr>
      </w:pPr>
      <w:r>
        <w:rPr>
          <w:rStyle w:val="10"/>
          <w:rFonts w:hint="eastAsia" w:ascii="仿宋" w:hAnsi="仿宋" w:eastAsia="仿宋" w:cs="仿宋"/>
          <w:kern w:val="2"/>
          <w:sz w:val="30"/>
          <w:szCs w:val="30"/>
          <w:lang w:val="en-US" w:eastAsia="zh-CN" w:bidi="ar-SA"/>
        </w:rPr>
        <w:t>7、自然资源和生态环境办公室：负责实施村规划和村镇建设管理等工作。监督、指导公共基础设施建设等。按照管理权限，指导、协调和实施自然资源、林政管理、造林绿化、生态环境保护等工作，组织协调生态环境污染事故与生态破坏事件查处，承办乡党委、政府和上级主管部门交办的其他事项。</w:t>
      </w:r>
    </w:p>
    <w:p>
      <w:pPr>
        <w:spacing w:line="600" w:lineRule="exact"/>
        <w:ind w:firstLine="560"/>
        <w:rPr>
          <w:rStyle w:val="10"/>
          <w:rFonts w:hint="eastAsia" w:ascii="仿宋" w:hAnsi="仿宋" w:eastAsia="仿宋" w:cs="仿宋"/>
          <w:kern w:val="2"/>
          <w:sz w:val="30"/>
          <w:szCs w:val="30"/>
          <w:lang w:val="en-US" w:eastAsia="zh-CN" w:bidi="ar-SA"/>
        </w:rPr>
      </w:pPr>
      <w:r>
        <w:rPr>
          <w:rStyle w:val="10"/>
          <w:rFonts w:hint="eastAsia" w:ascii="仿宋" w:hAnsi="仿宋" w:eastAsia="仿宋" w:cs="仿宋"/>
          <w:kern w:val="2"/>
          <w:sz w:val="30"/>
          <w:szCs w:val="30"/>
          <w:lang w:val="en-US" w:eastAsia="zh-CN" w:bidi="ar-SA"/>
        </w:rPr>
        <w:t>8、农业综合服务中心。为乡镇直属公益一类事业单位。 负责宣传和贯彻执行农技、农机、水利、林业、畜牧水产、动物防疫、农村经营等方面的方针政策和法律法规，为辖区内农村、农业发展和提高农民科技文化水平提供技术支持和服务保障；负责农技、农机、水利、畜牧水产、动物防疫、林业等方面技术推广应用与指导，负责农作物病虫害监测与防治和农产品质量监管服务；负责水利基本建设的规划实施、辖区水利设施防洪保安与开发利用以及防汛抗旱工作；负责保护森林资源、推广林业科学技术、加强林区生态建设、森林防火与病虫害防治；做好其他相关社会服务工作。</w:t>
      </w:r>
    </w:p>
    <w:p>
      <w:pPr>
        <w:spacing w:line="600" w:lineRule="exact"/>
        <w:ind w:firstLine="562" w:firstLineChars="200"/>
        <w:rPr>
          <w:rFonts w:ascii="仿宋" w:hAnsi="仿宋" w:eastAsia="仿宋"/>
          <w:b/>
          <w:sz w:val="28"/>
          <w:szCs w:val="28"/>
        </w:rPr>
      </w:pPr>
      <w:r>
        <w:rPr>
          <w:rFonts w:hint="eastAsia" w:ascii="仿宋" w:hAnsi="仿宋" w:eastAsia="仿宋"/>
          <w:b/>
          <w:sz w:val="28"/>
          <w:szCs w:val="28"/>
        </w:rPr>
        <w:t>（</w:t>
      </w:r>
      <w:r>
        <w:rPr>
          <w:rFonts w:hint="eastAsia" w:ascii="黑体" w:hAnsi="黑体" w:eastAsia="黑体" w:cs="黑体"/>
          <w:kern w:val="0"/>
          <w:sz w:val="32"/>
          <w:szCs w:val="32"/>
        </w:rPr>
        <w:t>二）、人员情况</w:t>
      </w:r>
    </w:p>
    <w:p>
      <w:pPr>
        <w:spacing w:line="600" w:lineRule="exact"/>
        <w:ind w:firstLine="560"/>
        <w:rPr>
          <w:rStyle w:val="10"/>
          <w:rFonts w:hint="eastAsia" w:ascii="仿宋" w:hAnsi="仿宋" w:eastAsia="仿宋" w:cs="仿宋"/>
          <w:kern w:val="2"/>
          <w:sz w:val="30"/>
          <w:szCs w:val="30"/>
          <w:lang w:val="en-US" w:eastAsia="zh-CN" w:bidi="ar-SA"/>
        </w:rPr>
      </w:pPr>
      <w:r>
        <w:rPr>
          <w:rStyle w:val="10"/>
          <w:rFonts w:hint="eastAsia" w:ascii="仿宋" w:hAnsi="仿宋" w:eastAsia="仿宋" w:cs="仿宋"/>
          <w:kern w:val="2"/>
          <w:sz w:val="30"/>
          <w:szCs w:val="30"/>
          <w:lang w:val="en-US" w:eastAsia="zh-CN" w:bidi="ar-SA"/>
        </w:rPr>
        <w:t>人员情况：截至2022年底，潭湾镇人民政府核定人员编制83人，行政编制32人，事业编制51人；实际在编95人（行政编制31人，事业编制64人），财政实际供给95人。</w:t>
      </w:r>
    </w:p>
    <w:p>
      <w:pPr>
        <w:numPr>
          <w:ilvl w:val="0"/>
          <w:numId w:val="1"/>
        </w:numPr>
        <w:ind w:firstLine="560"/>
        <w:rPr>
          <w:rFonts w:ascii="黑体" w:hAnsi="黑体" w:eastAsia="黑体" w:cs="黑体"/>
          <w:kern w:val="0"/>
          <w:sz w:val="32"/>
          <w:szCs w:val="32"/>
        </w:rPr>
      </w:pPr>
      <w:r>
        <w:rPr>
          <w:rFonts w:hint="eastAsia" w:ascii="黑体" w:hAnsi="黑体" w:eastAsia="黑体" w:cs="黑体"/>
          <w:kern w:val="0"/>
          <w:sz w:val="32"/>
          <w:szCs w:val="32"/>
        </w:rPr>
        <w:t>、部门年度总体工作任务和重点工作任务</w:t>
      </w:r>
    </w:p>
    <w:p>
      <w:pPr>
        <w:spacing w:line="600" w:lineRule="exact"/>
        <w:ind w:firstLine="560"/>
        <w:rPr>
          <w:rStyle w:val="10"/>
          <w:rFonts w:hint="eastAsia" w:ascii="仿宋" w:hAnsi="仿宋" w:eastAsia="仿宋" w:cs="仿宋"/>
          <w:kern w:val="2"/>
          <w:sz w:val="30"/>
          <w:szCs w:val="30"/>
          <w:lang w:val="en-US" w:eastAsia="zh-CN" w:bidi="ar-SA"/>
        </w:rPr>
      </w:pPr>
      <w:r>
        <w:rPr>
          <w:rStyle w:val="10"/>
          <w:rFonts w:hint="eastAsia" w:ascii="仿宋" w:hAnsi="仿宋" w:eastAsia="仿宋" w:cs="仿宋"/>
          <w:kern w:val="2"/>
          <w:sz w:val="30"/>
          <w:szCs w:val="30"/>
          <w:lang w:val="en-US" w:eastAsia="zh-CN" w:bidi="ar-SA"/>
        </w:rPr>
        <w:t>为实现乡政府正常运转，各职能部门正常履职。按计划组织本级财政收入和地方税的征收，完成国家财政计划，不断培植税源，管好财政资金，增强财政实力。</w:t>
      </w:r>
    </w:p>
    <w:p>
      <w:pPr>
        <w:numPr>
          <w:ilvl w:val="0"/>
          <w:numId w:val="1"/>
        </w:numPr>
        <w:ind w:firstLine="560"/>
        <w:rPr>
          <w:rFonts w:ascii="黑体" w:hAnsi="黑体" w:eastAsia="黑体" w:cs="黑体"/>
          <w:kern w:val="0"/>
          <w:sz w:val="32"/>
          <w:szCs w:val="32"/>
        </w:rPr>
      </w:pPr>
      <w:r>
        <w:rPr>
          <w:rFonts w:hint="eastAsia" w:ascii="黑体" w:hAnsi="黑体" w:eastAsia="黑体" w:cs="黑体"/>
          <w:kern w:val="0"/>
          <w:sz w:val="32"/>
          <w:szCs w:val="32"/>
        </w:rPr>
        <w:t>、部门年度整体收支情况</w:t>
      </w:r>
    </w:p>
    <w:p>
      <w:pPr>
        <w:spacing w:line="600" w:lineRule="exact"/>
        <w:ind w:firstLine="560"/>
        <w:rPr>
          <w:rStyle w:val="10"/>
          <w:rFonts w:hint="eastAsia" w:ascii="仿宋" w:hAnsi="仿宋" w:eastAsia="仿宋" w:cs="仿宋"/>
          <w:kern w:val="2"/>
          <w:sz w:val="30"/>
          <w:szCs w:val="30"/>
          <w:lang w:val="en-US" w:eastAsia="zh-CN" w:bidi="ar-SA"/>
        </w:rPr>
      </w:pPr>
      <w:r>
        <w:rPr>
          <w:rStyle w:val="10"/>
          <w:rFonts w:hint="eastAsia" w:ascii="仿宋" w:hAnsi="仿宋" w:eastAsia="仿宋" w:cs="仿宋"/>
          <w:kern w:val="2"/>
          <w:sz w:val="30"/>
          <w:szCs w:val="30"/>
          <w:lang w:val="en-US" w:eastAsia="zh-CN" w:bidi="ar-SA"/>
        </w:rPr>
        <w:t>2022年度部门决算收入1254.8</w:t>
      </w:r>
      <w:r>
        <w:rPr>
          <w:rStyle w:val="10"/>
          <w:rFonts w:hint="default" w:ascii="仿宋" w:hAnsi="仿宋" w:eastAsia="仿宋" w:cs="仿宋"/>
          <w:kern w:val="2"/>
          <w:sz w:val="30"/>
          <w:szCs w:val="30"/>
          <w:lang w:eastAsia="zh-CN" w:bidi="ar-SA"/>
        </w:rPr>
        <w:t>5</w:t>
      </w:r>
      <w:r>
        <w:rPr>
          <w:rStyle w:val="10"/>
          <w:rFonts w:hint="eastAsia" w:ascii="仿宋" w:hAnsi="仿宋" w:eastAsia="仿宋" w:cs="仿宋"/>
          <w:kern w:val="2"/>
          <w:sz w:val="30"/>
          <w:szCs w:val="30"/>
          <w:lang w:val="en-US" w:eastAsia="zh-CN" w:bidi="ar-SA"/>
        </w:rPr>
        <w:t>万元，财政拨款收入 1254.8</w:t>
      </w:r>
      <w:r>
        <w:rPr>
          <w:rStyle w:val="10"/>
          <w:rFonts w:hint="default" w:ascii="仿宋" w:hAnsi="仿宋" w:eastAsia="仿宋" w:cs="仿宋"/>
          <w:kern w:val="2"/>
          <w:sz w:val="30"/>
          <w:szCs w:val="30"/>
          <w:lang w:eastAsia="zh-CN" w:bidi="ar-SA"/>
        </w:rPr>
        <w:t>5</w:t>
      </w:r>
      <w:r>
        <w:rPr>
          <w:rStyle w:val="10"/>
          <w:rFonts w:hint="eastAsia" w:ascii="仿宋" w:hAnsi="仿宋" w:eastAsia="仿宋" w:cs="仿宋"/>
          <w:kern w:val="2"/>
          <w:sz w:val="30"/>
          <w:szCs w:val="30"/>
          <w:lang w:val="en-US" w:eastAsia="zh-CN" w:bidi="ar-SA"/>
        </w:rPr>
        <w:t>万元。比上年减少784.</w:t>
      </w:r>
      <w:r>
        <w:rPr>
          <w:rStyle w:val="10"/>
          <w:rFonts w:hint="default" w:ascii="仿宋" w:hAnsi="仿宋" w:eastAsia="仿宋" w:cs="仿宋"/>
          <w:kern w:val="2"/>
          <w:sz w:val="30"/>
          <w:szCs w:val="30"/>
          <w:lang w:eastAsia="zh-CN" w:bidi="ar-SA"/>
        </w:rPr>
        <w:t>39</w:t>
      </w:r>
      <w:r>
        <w:rPr>
          <w:rStyle w:val="10"/>
          <w:rFonts w:hint="eastAsia" w:ascii="仿宋" w:hAnsi="仿宋" w:eastAsia="仿宋" w:cs="仿宋"/>
          <w:kern w:val="2"/>
          <w:sz w:val="30"/>
          <w:szCs w:val="30"/>
          <w:lang w:val="en-US" w:eastAsia="zh-CN" w:bidi="ar-SA"/>
        </w:rPr>
        <w:t>万元，减少38.5%，原因是实行零余额报账制度，一收一支，本年财政拨款收入减少。</w:t>
      </w:r>
    </w:p>
    <w:p>
      <w:pPr>
        <w:spacing w:line="600" w:lineRule="exact"/>
        <w:ind w:firstLine="560"/>
        <w:rPr>
          <w:rStyle w:val="10"/>
          <w:rFonts w:hint="default" w:ascii="仿宋" w:hAnsi="仿宋" w:eastAsia="仿宋" w:cs="仿宋"/>
          <w:kern w:val="2"/>
          <w:sz w:val="30"/>
          <w:szCs w:val="30"/>
          <w:lang w:val="en-US" w:eastAsia="zh-CN" w:bidi="ar-SA"/>
        </w:rPr>
      </w:pPr>
      <w:r>
        <w:rPr>
          <w:rStyle w:val="10"/>
          <w:rFonts w:hint="eastAsia" w:ascii="仿宋" w:hAnsi="仿宋" w:eastAsia="仿宋" w:cs="仿宋"/>
          <w:kern w:val="2"/>
          <w:sz w:val="30"/>
          <w:szCs w:val="30"/>
          <w:lang w:val="en-US" w:eastAsia="zh-CN" w:bidi="ar-SA"/>
        </w:rPr>
        <w:t>2022年度部门决算支出1495.7</w:t>
      </w:r>
      <w:r>
        <w:rPr>
          <w:rStyle w:val="10"/>
          <w:rFonts w:hint="default" w:ascii="仿宋" w:hAnsi="仿宋" w:eastAsia="仿宋" w:cs="仿宋"/>
          <w:kern w:val="2"/>
          <w:sz w:val="30"/>
          <w:szCs w:val="30"/>
          <w:lang w:eastAsia="zh-CN" w:bidi="ar-SA"/>
        </w:rPr>
        <w:t>5</w:t>
      </w:r>
      <w:r>
        <w:rPr>
          <w:rStyle w:val="10"/>
          <w:rFonts w:hint="eastAsia" w:ascii="仿宋" w:hAnsi="仿宋" w:eastAsia="仿宋" w:cs="仿宋"/>
          <w:kern w:val="2"/>
          <w:sz w:val="30"/>
          <w:szCs w:val="30"/>
          <w:lang w:val="en-US" w:eastAsia="zh-CN" w:bidi="ar-SA"/>
        </w:rPr>
        <w:t>万元，其中：一般公共预算财政拨款基本支出1495.7</w:t>
      </w:r>
      <w:r>
        <w:rPr>
          <w:rStyle w:val="10"/>
          <w:rFonts w:hint="default" w:ascii="仿宋" w:hAnsi="仿宋" w:eastAsia="仿宋" w:cs="仿宋"/>
          <w:kern w:val="2"/>
          <w:sz w:val="30"/>
          <w:szCs w:val="30"/>
          <w:lang w:eastAsia="zh-CN" w:bidi="ar-SA"/>
        </w:rPr>
        <w:t>5</w:t>
      </w:r>
      <w:r>
        <w:rPr>
          <w:rStyle w:val="10"/>
          <w:rFonts w:hint="eastAsia" w:ascii="仿宋" w:hAnsi="仿宋" w:eastAsia="仿宋" w:cs="仿宋"/>
          <w:kern w:val="2"/>
          <w:sz w:val="30"/>
          <w:szCs w:val="30"/>
          <w:lang w:val="en-US" w:eastAsia="zh-CN" w:bidi="ar-SA"/>
        </w:rPr>
        <w:t>万元，其中基本支出1467.14万元，占总支出的98.09%；项目支出28.6万元，占总支出的1.91%。主要用于以下方面</w:t>
      </w:r>
      <w:r>
        <w:rPr>
          <w:rStyle w:val="10"/>
          <w:rFonts w:hint="eastAsia" w:ascii="仿宋" w:hAnsi="仿宋" w:eastAsia="仿宋" w:cs="仿宋"/>
          <w:kern w:val="2"/>
          <w:sz w:val="30"/>
          <w:szCs w:val="30"/>
          <w:lang w:val="zh-CN" w:eastAsia="zh-CN" w:bidi="ar-SA"/>
        </w:rPr>
        <w:t>：</w:t>
      </w:r>
      <w:r>
        <w:rPr>
          <w:rStyle w:val="10"/>
          <w:rFonts w:hint="eastAsia" w:ascii="仿宋" w:hAnsi="仿宋" w:eastAsia="仿宋" w:cs="仿宋"/>
          <w:kern w:val="2"/>
          <w:sz w:val="30"/>
          <w:szCs w:val="30"/>
          <w:lang w:val="en-US" w:eastAsia="zh-CN" w:bidi="ar-SA"/>
        </w:rPr>
        <w:t>一般公共服务支出1371.13万元，占总支出的91.67%。社会保障和就业支出11</w:t>
      </w:r>
      <w:r>
        <w:rPr>
          <w:rStyle w:val="10"/>
          <w:rFonts w:hint="default" w:ascii="仿宋" w:hAnsi="仿宋" w:eastAsia="仿宋" w:cs="仿宋"/>
          <w:kern w:val="2"/>
          <w:sz w:val="30"/>
          <w:szCs w:val="30"/>
          <w:lang w:eastAsia="zh-CN" w:bidi="ar-SA"/>
        </w:rPr>
        <w:t>1</w:t>
      </w:r>
      <w:r>
        <w:rPr>
          <w:rStyle w:val="10"/>
          <w:rFonts w:hint="eastAsia" w:ascii="仿宋" w:hAnsi="仿宋" w:eastAsia="仿宋" w:cs="仿宋"/>
          <w:kern w:val="2"/>
          <w:sz w:val="30"/>
          <w:szCs w:val="30"/>
          <w:lang w:val="en-US" w:eastAsia="zh-CN" w:bidi="ar-SA"/>
        </w:rPr>
        <w:t>万元，占总支出的7.42%。城乡社区支出0.1万元；占总支出的0.01%。灾害防治及应急管理支出12万元，占总支出的0.8%。文化旅游体育与传媒支出1.52万元，占总支出的0.1%。</w:t>
      </w:r>
    </w:p>
    <w:p>
      <w:pPr>
        <w:spacing w:line="600" w:lineRule="exact"/>
        <w:ind w:firstLine="600" w:firstLineChars="200"/>
        <w:rPr>
          <w:rStyle w:val="10"/>
          <w:rFonts w:ascii="仿宋" w:hAnsi="仿宋" w:eastAsia="仿宋" w:cs="仿宋"/>
          <w:kern w:val="2"/>
          <w:sz w:val="30"/>
          <w:szCs w:val="30"/>
          <w:lang w:val="en-US" w:eastAsia="zh-CN" w:bidi="ar-SA"/>
        </w:rPr>
      </w:pPr>
      <w:r>
        <w:rPr>
          <w:rStyle w:val="10"/>
          <w:rFonts w:hint="eastAsia" w:ascii="仿宋" w:hAnsi="仿宋" w:eastAsia="仿宋" w:cs="仿宋"/>
          <w:kern w:val="2"/>
          <w:sz w:val="30"/>
          <w:szCs w:val="30"/>
          <w:lang w:val="en-US" w:eastAsia="zh-CN" w:bidi="ar-SA"/>
        </w:rPr>
        <w:t>“三公”经费财政拨款支出决算说明</w:t>
      </w:r>
    </w:p>
    <w:p>
      <w:pPr>
        <w:widowControl/>
        <w:ind w:firstLine="600" w:firstLineChars="200"/>
        <w:rPr>
          <w:rStyle w:val="10"/>
          <w:rFonts w:hint="eastAsia" w:ascii="仿宋" w:hAnsi="仿宋" w:eastAsia="仿宋" w:cs="仿宋"/>
          <w:kern w:val="2"/>
          <w:sz w:val="30"/>
          <w:szCs w:val="30"/>
          <w:lang w:val="en-US" w:eastAsia="zh-CN" w:bidi="ar-SA"/>
        </w:rPr>
      </w:pPr>
      <w:r>
        <w:rPr>
          <w:rStyle w:val="10"/>
          <w:rFonts w:hint="eastAsia" w:ascii="仿宋" w:hAnsi="仿宋" w:eastAsia="仿宋" w:cs="仿宋"/>
          <w:kern w:val="2"/>
          <w:sz w:val="30"/>
          <w:szCs w:val="30"/>
          <w:lang w:val="en-US" w:eastAsia="zh-CN" w:bidi="ar-SA"/>
        </w:rPr>
        <w:t>“三公”经费支出情况：2022年度</w:t>
      </w:r>
      <w:r>
        <w:rPr>
          <w:rStyle w:val="10"/>
          <w:rFonts w:ascii="仿宋" w:hAnsi="仿宋" w:eastAsia="仿宋" w:cs="仿宋"/>
          <w:kern w:val="2"/>
          <w:sz w:val="30"/>
          <w:szCs w:val="30"/>
          <w:lang w:val="en-US" w:eastAsia="zh-CN" w:bidi="ar-SA"/>
        </w:rPr>
        <w:t>“三公”经费财政拨款支出</w:t>
      </w:r>
      <w:r>
        <w:rPr>
          <w:rStyle w:val="10"/>
          <w:rFonts w:hint="default" w:ascii="仿宋" w:hAnsi="仿宋" w:eastAsia="仿宋" w:cs="仿宋"/>
          <w:kern w:val="2"/>
          <w:sz w:val="30"/>
          <w:szCs w:val="30"/>
          <w:lang w:eastAsia="zh-CN" w:bidi="ar-SA"/>
        </w:rPr>
        <w:t>10</w:t>
      </w:r>
      <w:r>
        <w:rPr>
          <w:rStyle w:val="10"/>
          <w:rFonts w:hint="eastAsia" w:ascii="仿宋" w:hAnsi="仿宋" w:eastAsia="仿宋" w:cs="仿宋"/>
          <w:kern w:val="2"/>
          <w:sz w:val="30"/>
          <w:szCs w:val="30"/>
          <w:lang w:val="en-US" w:eastAsia="zh-CN" w:bidi="ar-SA"/>
        </w:rPr>
        <w:t>万元，比上年减少13.8</w:t>
      </w:r>
      <w:r>
        <w:rPr>
          <w:rStyle w:val="10"/>
          <w:rFonts w:hint="default" w:ascii="仿宋" w:hAnsi="仿宋" w:eastAsia="仿宋" w:cs="仿宋"/>
          <w:kern w:val="2"/>
          <w:sz w:val="30"/>
          <w:szCs w:val="30"/>
          <w:lang w:eastAsia="zh-CN" w:bidi="ar-SA"/>
        </w:rPr>
        <w:t>4</w:t>
      </w:r>
      <w:r>
        <w:rPr>
          <w:rStyle w:val="10"/>
          <w:rFonts w:hint="eastAsia" w:ascii="仿宋" w:hAnsi="仿宋" w:eastAsia="仿宋" w:cs="仿宋"/>
          <w:kern w:val="2"/>
          <w:sz w:val="30"/>
          <w:szCs w:val="30"/>
          <w:lang w:val="en-US" w:eastAsia="zh-CN" w:bidi="ar-SA"/>
        </w:rPr>
        <w:t>万元，减少</w:t>
      </w:r>
      <w:r>
        <w:rPr>
          <w:rStyle w:val="10"/>
          <w:rFonts w:hint="default" w:ascii="仿宋" w:hAnsi="仿宋" w:eastAsia="仿宋" w:cs="仿宋"/>
          <w:kern w:val="2"/>
          <w:sz w:val="30"/>
          <w:szCs w:val="30"/>
          <w:lang w:eastAsia="zh-CN" w:bidi="ar-SA"/>
        </w:rPr>
        <w:t>58.47</w:t>
      </w:r>
      <w:r>
        <w:rPr>
          <w:rStyle w:val="10"/>
          <w:rFonts w:hint="eastAsia" w:ascii="仿宋" w:hAnsi="仿宋" w:eastAsia="仿宋" w:cs="仿宋"/>
          <w:kern w:val="2"/>
          <w:sz w:val="30"/>
          <w:szCs w:val="30"/>
          <w:lang w:val="en-US" w:eastAsia="zh-CN" w:bidi="ar-SA"/>
        </w:rPr>
        <w:t>%，变化的主要原因是2022年度部分三公费用还未报销</w:t>
      </w:r>
      <w:r>
        <w:rPr>
          <w:rStyle w:val="10"/>
          <w:rFonts w:hint="eastAsia" w:ascii="仿宋" w:hAnsi="仿宋" w:eastAsia="仿宋" w:cs="仿宋"/>
          <w:kern w:val="2"/>
          <w:sz w:val="30"/>
          <w:szCs w:val="30"/>
          <w:lang w:val="zh-CN" w:eastAsia="zh-CN" w:bidi="ar-SA"/>
        </w:rPr>
        <w:t>。其中：因公出国（境）费</w:t>
      </w:r>
      <w:r>
        <w:rPr>
          <w:rStyle w:val="10"/>
          <w:rFonts w:hint="eastAsia" w:ascii="仿宋" w:hAnsi="仿宋" w:eastAsia="仿宋" w:cs="仿宋"/>
          <w:kern w:val="2"/>
          <w:sz w:val="30"/>
          <w:szCs w:val="30"/>
          <w:lang w:val="en-US" w:eastAsia="zh-CN" w:bidi="ar-SA"/>
        </w:rPr>
        <w:t>完成0元，比上年增减0元，增加下降0%</w:t>
      </w:r>
      <w:r>
        <w:rPr>
          <w:rStyle w:val="10"/>
          <w:rFonts w:hint="eastAsia" w:ascii="仿宋" w:hAnsi="仿宋" w:eastAsia="仿宋" w:cs="仿宋"/>
          <w:kern w:val="2"/>
          <w:sz w:val="30"/>
          <w:szCs w:val="30"/>
          <w:lang w:val="zh-CN" w:eastAsia="zh-CN" w:bidi="ar-SA"/>
        </w:rPr>
        <w:t>；公务接待费</w:t>
      </w:r>
      <w:r>
        <w:rPr>
          <w:rStyle w:val="10"/>
          <w:rFonts w:hint="eastAsia" w:ascii="仿宋" w:hAnsi="仿宋" w:eastAsia="仿宋" w:cs="仿宋"/>
          <w:kern w:val="2"/>
          <w:sz w:val="30"/>
          <w:szCs w:val="30"/>
          <w:lang w:val="en-US" w:eastAsia="zh-CN" w:bidi="ar-SA"/>
        </w:rPr>
        <w:t>完成1.57万元，比上年减少5.55万元，减少77.95%，增减变化的主要原因是：2022年度部分接待费用还未报销</w:t>
      </w:r>
      <w:r>
        <w:rPr>
          <w:rStyle w:val="10"/>
          <w:rFonts w:hint="eastAsia" w:ascii="仿宋" w:hAnsi="仿宋" w:eastAsia="仿宋" w:cs="仿宋"/>
          <w:kern w:val="2"/>
          <w:sz w:val="30"/>
          <w:szCs w:val="30"/>
          <w:lang w:val="zh-CN" w:eastAsia="zh-CN" w:bidi="ar-SA"/>
        </w:rPr>
        <w:t>；公务用车购置及运行维护费</w:t>
      </w:r>
      <w:r>
        <w:rPr>
          <w:rStyle w:val="10"/>
          <w:rFonts w:hint="eastAsia" w:ascii="仿宋" w:hAnsi="仿宋" w:eastAsia="仿宋" w:cs="仿宋"/>
          <w:kern w:val="2"/>
          <w:sz w:val="30"/>
          <w:szCs w:val="30"/>
          <w:lang w:val="en-US" w:eastAsia="zh-CN" w:bidi="ar-SA"/>
        </w:rPr>
        <w:t>完成8.4</w:t>
      </w:r>
      <w:r>
        <w:rPr>
          <w:rStyle w:val="10"/>
          <w:rFonts w:hint="default" w:ascii="仿宋" w:hAnsi="仿宋" w:eastAsia="仿宋" w:cs="仿宋"/>
          <w:kern w:val="2"/>
          <w:sz w:val="30"/>
          <w:szCs w:val="30"/>
          <w:lang w:eastAsia="zh-CN" w:bidi="ar-SA"/>
        </w:rPr>
        <w:t>3</w:t>
      </w:r>
      <w:r>
        <w:rPr>
          <w:rStyle w:val="10"/>
          <w:rFonts w:hint="eastAsia" w:ascii="仿宋" w:hAnsi="仿宋" w:eastAsia="仿宋" w:cs="仿宋"/>
          <w:kern w:val="2"/>
          <w:sz w:val="30"/>
          <w:szCs w:val="30"/>
          <w:lang w:val="en-US" w:eastAsia="zh-CN" w:bidi="ar-SA"/>
        </w:rPr>
        <w:t>万元，比上年减少8.</w:t>
      </w:r>
      <w:r>
        <w:rPr>
          <w:rStyle w:val="10"/>
          <w:rFonts w:hint="default" w:ascii="仿宋" w:hAnsi="仿宋" w:eastAsia="仿宋" w:cs="仿宋"/>
          <w:kern w:val="2"/>
          <w:sz w:val="30"/>
          <w:szCs w:val="30"/>
          <w:lang w:eastAsia="zh-CN" w:bidi="ar-SA"/>
        </w:rPr>
        <w:t>29</w:t>
      </w:r>
      <w:r>
        <w:rPr>
          <w:rStyle w:val="10"/>
          <w:rFonts w:hint="eastAsia" w:ascii="仿宋" w:hAnsi="仿宋" w:eastAsia="仿宋" w:cs="仿宋"/>
          <w:kern w:val="2"/>
          <w:sz w:val="30"/>
          <w:szCs w:val="30"/>
          <w:lang w:val="en-US" w:eastAsia="zh-CN" w:bidi="ar-SA"/>
        </w:rPr>
        <w:t>万元，减少49.</w:t>
      </w:r>
      <w:r>
        <w:rPr>
          <w:rStyle w:val="10"/>
          <w:rFonts w:hint="default" w:ascii="仿宋" w:hAnsi="仿宋" w:eastAsia="仿宋" w:cs="仿宋"/>
          <w:kern w:val="2"/>
          <w:sz w:val="30"/>
          <w:szCs w:val="30"/>
          <w:lang w:eastAsia="zh-CN" w:bidi="ar-SA"/>
        </w:rPr>
        <w:t>58</w:t>
      </w:r>
      <w:r>
        <w:rPr>
          <w:rStyle w:val="10"/>
          <w:rFonts w:hint="eastAsia" w:ascii="仿宋" w:hAnsi="仿宋" w:eastAsia="仿宋" w:cs="仿宋"/>
          <w:kern w:val="2"/>
          <w:sz w:val="30"/>
          <w:szCs w:val="30"/>
          <w:lang w:val="en-US" w:eastAsia="zh-CN" w:bidi="ar-SA"/>
        </w:rPr>
        <w:t>%，增减变化的主要原因是：认真贯彻落实中央“八项规定”精神和厉行节约要求，进一步从严控制“三公”经费开支，全年实际支出比预算有所节约。</w:t>
      </w:r>
    </w:p>
    <w:p>
      <w:pPr>
        <w:autoSpaceDE w:val="0"/>
        <w:autoSpaceDN w:val="0"/>
        <w:adjustRightInd w:val="0"/>
        <w:spacing w:line="520" w:lineRule="exact"/>
        <w:ind w:firstLine="723" w:firstLineChars="200"/>
        <w:rPr>
          <w:rFonts w:ascii="楷体_GB2312" w:eastAsia="楷体_GB2312" w:cs="楷体_GB2312"/>
          <w:b/>
          <w:bCs/>
          <w:sz w:val="36"/>
          <w:szCs w:val="36"/>
        </w:rPr>
      </w:pPr>
      <w:r>
        <w:rPr>
          <w:rFonts w:hint="eastAsia" w:ascii="楷体_GB2312" w:eastAsia="楷体_GB2312" w:cs="楷体_GB2312"/>
          <w:b/>
          <w:bCs/>
          <w:sz w:val="36"/>
          <w:szCs w:val="36"/>
        </w:rPr>
        <w:t>二、部门整体评价工作开展</w:t>
      </w:r>
    </w:p>
    <w:p>
      <w:pPr>
        <w:ind w:firstLine="640" w:firstLineChars="200"/>
        <w:rPr>
          <w:rFonts w:ascii="黑体" w:hAnsi="黑体" w:eastAsia="黑体" w:cs="黑体"/>
          <w:kern w:val="0"/>
          <w:sz w:val="32"/>
          <w:szCs w:val="32"/>
        </w:rPr>
      </w:pPr>
      <w:r>
        <w:rPr>
          <w:rFonts w:hint="eastAsia" w:ascii="黑体" w:hAnsi="黑体" w:eastAsia="黑体" w:cs="黑体"/>
          <w:kern w:val="0"/>
          <w:sz w:val="32"/>
          <w:szCs w:val="32"/>
        </w:rPr>
        <w:t>（一）绩效评价实施过程情况</w:t>
      </w:r>
    </w:p>
    <w:p>
      <w:pPr>
        <w:pStyle w:val="4"/>
        <w:shd w:val="clear" w:color="auto" w:fill="FFFFFF"/>
        <w:spacing w:before="0" w:beforeAutospacing="0" w:after="0" w:afterAutospacing="0" w:line="450" w:lineRule="atLeast"/>
        <w:ind w:firstLine="600" w:firstLineChars="200"/>
        <w:rPr>
          <w:rStyle w:val="10"/>
          <w:rFonts w:ascii="仿宋" w:hAnsi="仿宋" w:eastAsia="仿宋" w:cs="仿宋"/>
          <w:kern w:val="2"/>
          <w:sz w:val="30"/>
          <w:szCs w:val="30"/>
          <w:lang w:val="en-US" w:eastAsia="zh-CN" w:bidi="ar-SA"/>
        </w:rPr>
      </w:pPr>
      <w:r>
        <w:rPr>
          <w:rStyle w:val="10"/>
          <w:rFonts w:hint="eastAsia" w:ascii="仿宋" w:hAnsi="仿宋" w:eastAsia="仿宋" w:cs="仿宋"/>
          <w:kern w:val="2"/>
          <w:sz w:val="30"/>
          <w:szCs w:val="30"/>
          <w:lang w:val="en-US" w:eastAsia="zh-CN" w:bidi="ar-SA"/>
        </w:rPr>
        <w:t>1.前期准备。我镇制定了部门整体支出绩效评价的工作方案、评价指标，明确了绩效目标。</w:t>
      </w:r>
    </w:p>
    <w:p>
      <w:pPr>
        <w:pStyle w:val="4"/>
        <w:shd w:val="clear" w:color="auto" w:fill="FFFFFF"/>
        <w:spacing w:before="0" w:beforeAutospacing="0" w:after="0" w:afterAutospacing="0" w:line="450" w:lineRule="atLeast"/>
        <w:rPr>
          <w:rStyle w:val="10"/>
          <w:rFonts w:ascii="仿宋" w:hAnsi="仿宋" w:eastAsia="仿宋" w:cs="仿宋"/>
          <w:kern w:val="2"/>
          <w:sz w:val="30"/>
          <w:szCs w:val="30"/>
          <w:lang w:val="en-US" w:eastAsia="zh-CN" w:bidi="ar-SA"/>
        </w:rPr>
      </w:pPr>
      <w:r>
        <w:rPr>
          <w:rStyle w:val="10"/>
          <w:rFonts w:hint="eastAsia" w:ascii="仿宋" w:hAnsi="仿宋" w:eastAsia="仿宋" w:cs="仿宋"/>
          <w:kern w:val="2"/>
          <w:sz w:val="30"/>
          <w:szCs w:val="30"/>
          <w:lang w:val="en-US" w:eastAsia="zh-CN" w:bidi="ar-SA"/>
        </w:rPr>
        <w:t>　　2.组织实施，结合绩效目标，按确定的评价指标体系、评分标准、评价方法和相关的工作程序和步骤，通过核实数据、查阅资料、发放调查问卷、归纳汇总等步骤在规定的时间节点内开展绩效自评工作。</w:t>
      </w:r>
    </w:p>
    <w:p>
      <w:pPr>
        <w:ind w:firstLine="600" w:firstLineChars="200"/>
        <w:rPr>
          <w:rStyle w:val="10"/>
          <w:rFonts w:ascii="仿宋" w:hAnsi="仿宋" w:eastAsia="仿宋" w:cs="仿宋"/>
          <w:kern w:val="2"/>
          <w:sz w:val="30"/>
          <w:szCs w:val="30"/>
          <w:lang w:val="en-US" w:eastAsia="zh-CN" w:bidi="ar-SA"/>
        </w:rPr>
      </w:pPr>
      <w:r>
        <w:rPr>
          <w:rStyle w:val="10"/>
          <w:rFonts w:hint="eastAsia" w:ascii="仿宋" w:hAnsi="仿宋" w:eastAsia="仿宋" w:cs="仿宋"/>
          <w:kern w:val="2"/>
          <w:sz w:val="30"/>
          <w:szCs w:val="30"/>
          <w:lang w:val="en-US" w:eastAsia="zh-CN" w:bidi="ar-SA"/>
        </w:rPr>
        <w:t>3.分析评价，撰写报告。</w:t>
      </w:r>
    </w:p>
    <w:p>
      <w:pPr>
        <w:ind w:firstLine="640" w:firstLineChars="200"/>
        <w:rPr>
          <w:rFonts w:ascii="黑体" w:hAnsi="黑体" w:eastAsia="黑体" w:cs="黑体"/>
          <w:kern w:val="0"/>
          <w:sz w:val="32"/>
          <w:szCs w:val="32"/>
        </w:rPr>
      </w:pPr>
      <w:r>
        <w:rPr>
          <w:rFonts w:hint="eastAsia" w:ascii="黑体" w:hAnsi="黑体" w:eastAsia="黑体" w:cs="黑体"/>
          <w:kern w:val="0"/>
          <w:sz w:val="32"/>
          <w:szCs w:val="32"/>
        </w:rPr>
        <w:t>（二）绩效评价整体结果</w:t>
      </w:r>
    </w:p>
    <w:p>
      <w:pPr>
        <w:ind w:firstLine="600" w:firstLineChars="200"/>
        <w:rPr>
          <w:rStyle w:val="10"/>
          <w:rFonts w:hint="eastAsia" w:ascii="仿宋" w:hAnsi="仿宋" w:eastAsia="仿宋" w:cs="仿宋"/>
          <w:kern w:val="2"/>
          <w:sz w:val="30"/>
          <w:szCs w:val="30"/>
          <w:lang w:val="en-US" w:eastAsia="zh-CN" w:bidi="ar-SA"/>
        </w:rPr>
      </w:pPr>
      <w:r>
        <w:rPr>
          <w:rStyle w:val="10"/>
          <w:rFonts w:hint="eastAsia" w:ascii="仿宋" w:hAnsi="仿宋" w:eastAsia="仿宋" w:cs="仿宋"/>
          <w:kern w:val="2"/>
          <w:sz w:val="30"/>
          <w:szCs w:val="30"/>
          <w:lang w:val="en-US" w:eastAsia="zh-CN" w:bidi="ar-SA"/>
        </w:rPr>
        <w:t>项目预算编制合理，充分的预计项目支出并完整反应，预算执行率达100%，未出现截留、挤占、挪用、虚列支出等情况。项目采购方式合规、采购流程规范，本年度支出的所有资金均由县财政局国库支付，支出符合国家财经法规和财务管理制度规定以及有关专项资金管理办法的规定；资金拨付有完整的审批程序和手续；项目支出按规定经过评估论证。我单位不断改善行政管理、严格经费及资产管理；做好防汛抗旱、防治大气污染工作；督促和指导乡村抓好基础管理工作和安全生产工作；改进文风会风，精简会议，提高了行政效率，各方面工作得到社会大众的肯定和好评，在年度绩效考核中成绩优异。</w:t>
      </w:r>
    </w:p>
    <w:p>
      <w:pPr>
        <w:autoSpaceDE w:val="0"/>
        <w:autoSpaceDN w:val="0"/>
        <w:adjustRightInd w:val="0"/>
        <w:spacing w:line="520" w:lineRule="exact"/>
        <w:ind w:firstLine="723" w:firstLineChars="200"/>
        <w:rPr>
          <w:rFonts w:hint="eastAsia" w:ascii="楷体_GB2312" w:eastAsia="楷体_GB2312" w:cs="楷体_GB2312"/>
          <w:b/>
          <w:bCs/>
          <w:sz w:val="36"/>
          <w:szCs w:val="36"/>
        </w:rPr>
      </w:pPr>
      <w:r>
        <w:rPr>
          <w:rFonts w:hint="eastAsia" w:ascii="楷体_GB2312" w:eastAsia="楷体_GB2312" w:cs="楷体_GB2312"/>
          <w:b/>
          <w:bCs/>
          <w:sz w:val="36"/>
          <w:szCs w:val="36"/>
          <w:lang w:eastAsia="zh-CN"/>
        </w:rPr>
        <w:t>三、资产管理</w:t>
      </w:r>
      <w:r>
        <w:rPr>
          <w:rFonts w:hint="eastAsia" w:ascii="楷体_GB2312" w:eastAsia="楷体_GB2312" w:cs="楷体_GB2312"/>
          <w:b/>
          <w:bCs/>
          <w:sz w:val="36"/>
          <w:szCs w:val="36"/>
        </w:rPr>
        <w:t>情况</w:t>
      </w:r>
    </w:p>
    <w:p>
      <w:pPr>
        <w:widowControl/>
        <w:ind w:firstLine="600" w:firstLineChars="200"/>
        <w:rPr>
          <w:rFonts w:hint="eastAsia" w:ascii="仿宋" w:hAnsi="仿宋" w:eastAsia="仿宋" w:cs="仿宋"/>
          <w:i w:val="0"/>
          <w:iCs w:val="0"/>
          <w:caps w:val="0"/>
          <w:color w:val="000000"/>
          <w:spacing w:val="0"/>
          <w:sz w:val="32"/>
          <w:szCs w:val="32"/>
          <w:shd w:val="clear" w:fill="FFFFFF"/>
        </w:rPr>
      </w:pPr>
      <w:r>
        <w:rPr>
          <w:rStyle w:val="10"/>
          <w:rFonts w:hint="eastAsia" w:ascii="仿宋" w:hAnsi="仿宋" w:eastAsia="仿宋" w:cs="仿宋"/>
          <w:sz w:val="30"/>
          <w:szCs w:val="30"/>
        </w:rPr>
        <w:t>为进一步规范和加强我</w:t>
      </w:r>
      <w:r>
        <w:rPr>
          <w:rStyle w:val="10"/>
          <w:rFonts w:hint="eastAsia" w:ascii="仿宋" w:hAnsi="仿宋" w:eastAsia="仿宋" w:cs="仿宋"/>
          <w:sz w:val="30"/>
          <w:szCs w:val="30"/>
          <w:lang w:eastAsia="zh-CN"/>
        </w:rPr>
        <w:t>镇</w:t>
      </w:r>
      <w:r>
        <w:rPr>
          <w:rStyle w:val="10"/>
          <w:rFonts w:hint="eastAsia" w:ascii="仿宋" w:hAnsi="仿宋" w:eastAsia="仿宋" w:cs="仿宋"/>
          <w:sz w:val="30"/>
          <w:szCs w:val="30"/>
        </w:rPr>
        <w:t>国有资产管理，有效防控资产管理活动风险，维护资产的安全和完整，提高资产使用效益，明确了我单位内部在资产配置、使用、处置等方面的分工合作、操作程序和管理权限。制定了资产管理制度，严格按照财政部门现行资产管理的流程进行资产管理。本单位资产总额（账面净值，下同）</w:t>
      </w:r>
      <w:r>
        <w:rPr>
          <w:rStyle w:val="10"/>
          <w:rFonts w:hint="eastAsia" w:ascii="仿宋" w:hAnsi="仿宋" w:eastAsia="仿宋" w:cs="仿宋"/>
          <w:sz w:val="30"/>
          <w:szCs w:val="30"/>
          <w:lang w:val="en-US" w:eastAsia="zh-CN"/>
        </w:rPr>
        <w:t>748.45</w:t>
      </w:r>
      <w:r>
        <w:rPr>
          <w:rStyle w:val="10"/>
          <w:rFonts w:hint="eastAsia" w:ascii="仿宋" w:hAnsi="仿宋" w:eastAsia="仿宋" w:cs="仿宋"/>
          <w:sz w:val="30"/>
          <w:szCs w:val="30"/>
        </w:rPr>
        <w:t>万元，较上年</w:t>
      </w:r>
      <w:r>
        <w:rPr>
          <w:rStyle w:val="10"/>
          <w:rFonts w:hint="eastAsia" w:ascii="仿宋" w:hAnsi="仿宋" w:eastAsia="仿宋" w:cs="仿宋"/>
          <w:sz w:val="30"/>
          <w:szCs w:val="30"/>
          <w:lang w:eastAsia="zh-CN"/>
        </w:rPr>
        <w:t>减少</w:t>
      </w:r>
      <w:r>
        <w:rPr>
          <w:rStyle w:val="10"/>
          <w:rFonts w:hint="eastAsia" w:ascii="仿宋" w:hAnsi="仿宋" w:eastAsia="仿宋" w:cs="仿宋"/>
          <w:sz w:val="30"/>
          <w:szCs w:val="30"/>
          <w:lang w:val="en-US" w:eastAsia="zh-CN"/>
        </w:rPr>
        <w:t>22.22</w:t>
      </w:r>
      <w:r>
        <w:rPr>
          <w:rStyle w:val="10"/>
          <w:rFonts w:hint="eastAsia" w:ascii="仿宋" w:hAnsi="仿宋" w:eastAsia="仿宋" w:cs="仿宋"/>
          <w:sz w:val="30"/>
          <w:szCs w:val="30"/>
        </w:rPr>
        <w:t>%，</w:t>
      </w:r>
      <w:r>
        <w:rPr>
          <w:rStyle w:val="10"/>
          <w:rFonts w:hint="eastAsia" w:ascii="仿宋" w:hAnsi="仿宋" w:eastAsia="仿宋" w:cs="仿宋"/>
          <w:sz w:val="30"/>
          <w:szCs w:val="30"/>
          <w:lang w:eastAsia="zh-CN"/>
        </w:rPr>
        <w:t>其中固定资产</w:t>
      </w:r>
      <w:r>
        <w:rPr>
          <w:rStyle w:val="10"/>
          <w:rFonts w:hint="eastAsia" w:ascii="仿宋" w:hAnsi="仿宋" w:eastAsia="仿宋" w:cs="仿宋"/>
          <w:sz w:val="30"/>
          <w:szCs w:val="30"/>
          <w:lang w:val="en-US" w:eastAsia="zh-CN"/>
        </w:rPr>
        <w:t>299.27万元。</w:t>
      </w:r>
      <w:r>
        <w:rPr>
          <w:rStyle w:val="10"/>
          <w:rFonts w:hint="eastAsia" w:ascii="仿宋" w:hAnsi="仿宋" w:eastAsia="仿宋" w:cs="仿宋"/>
          <w:sz w:val="30"/>
          <w:szCs w:val="30"/>
        </w:rPr>
        <w:t>负债总额</w:t>
      </w:r>
      <w:r>
        <w:rPr>
          <w:rStyle w:val="10"/>
          <w:rFonts w:hint="eastAsia" w:ascii="仿宋" w:hAnsi="仿宋" w:eastAsia="仿宋" w:cs="仿宋"/>
          <w:sz w:val="30"/>
          <w:szCs w:val="30"/>
          <w:lang w:val="en-US" w:eastAsia="zh-CN"/>
        </w:rPr>
        <w:t>245.53</w:t>
      </w:r>
      <w:r>
        <w:rPr>
          <w:rStyle w:val="10"/>
          <w:rFonts w:hint="eastAsia" w:ascii="仿宋" w:hAnsi="仿宋" w:eastAsia="仿宋" w:cs="仿宋"/>
          <w:sz w:val="30"/>
          <w:szCs w:val="30"/>
        </w:rPr>
        <w:t>万元,较上</w:t>
      </w:r>
      <w:r>
        <w:rPr>
          <w:rStyle w:val="10"/>
          <w:rFonts w:hint="eastAsia" w:ascii="仿宋" w:hAnsi="仿宋" w:eastAsia="仿宋" w:cs="仿宋"/>
          <w:sz w:val="30"/>
          <w:szCs w:val="30"/>
          <w:lang w:eastAsia="zh-CN"/>
        </w:rPr>
        <w:t>年不变</w:t>
      </w:r>
      <w:r>
        <w:rPr>
          <w:rStyle w:val="10"/>
          <w:rFonts w:hint="eastAsia" w:ascii="仿宋" w:hAnsi="仿宋" w:eastAsia="仿宋" w:cs="仿宋"/>
          <w:sz w:val="30"/>
          <w:szCs w:val="30"/>
        </w:rPr>
        <w:t>。净资产</w:t>
      </w:r>
      <w:r>
        <w:rPr>
          <w:rStyle w:val="10"/>
          <w:rFonts w:hint="eastAsia" w:ascii="仿宋" w:hAnsi="仿宋" w:eastAsia="仿宋" w:cs="仿宋"/>
          <w:sz w:val="30"/>
          <w:szCs w:val="30"/>
          <w:lang w:val="en-US" w:eastAsia="zh-CN"/>
        </w:rPr>
        <w:t>502.92</w:t>
      </w:r>
      <w:r>
        <w:rPr>
          <w:rStyle w:val="10"/>
          <w:rFonts w:hint="eastAsia" w:ascii="仿宋" w:hAnsi="仿宋" w:eastAsia="仿宋" w:cs="仿宋"/>
          <w:sz w:val="30"/>
          <w:szCs w:val="30"/>
        </w:rPr>
        <w:t>万元,较上年</w:t>
      </w:r>
      <w:r>
        <w:rPr>
          <w:rStyle w:val="10"/>
          <w:rFonts w:hint="eastAsia" w:ascii="仿宋" w:hAnsi="仿宋" w:eastAsia="仿宋" w:cs="仿宋"/>
          <w:sz w:val="30"/>
          <w:szCs w:val="30"/>
          <w:lang w:eastAsia="zh-CN"/>
        </w:rPr>
        <w:t>减少</w:t>
      </w:r>
      <w:r>
        <w:rPr>
          <w:rStyle w:val="10"/>
          <w:rFonts w:hint="eastAsia" w:ascii="仿宋" w:hAnsi="仿宋" w:eastAsia="仿宋" w:cs="仿宋"/>
          <w:sz w:val="30"/>
          <w:szCs w:val="30"/>
        </w:rPr>
        <w:t xml:space="preserve"> </w:t>
      </w:r>
      <w:r>
        <w:rPr>
          <w:rStyle w:val="10"/>
          <w:rFonts w:hint="eastAsia" w:ascii="仿宋" w:hAnsi="仿宋" w:eastAsia="仿宋" w:cs="仿宋"/>
          <w:sz w:val="30"/>
          <w:szCs w:val="30"/>
          <w:lang w:val="en-US" w:eastAsia="zh-CN"/>
        </w:rPr>
        <w:t>29.83</w:t>
      </w:r>
      <w:r>
        <w:rPr>
          <w:rStyle w:val="10"/>
          <w:rFonts w:hint="eastAsia" w:ascii="仿宋" w:hAnsi="仿宋" w:eastAsia="仿宋" w:cs="仿宋"/>
          <w:sz w:val="30"/>
          <w:szCs w:val="30"/>
        </w:rPr>
        <w:t>%。</w:t>
      </w:r>
      <w:r>
        <w:rPr>
          <w:rFonts w:ascii="仿宋" w:hAnsi="仿宋" w:eastAsia="仿宋" w:cs="仿宋"/>
          <w:i w:val="0"/>
          <w:iCs w:val="0"/>
          <w:caps w:val="0"/>
          <w:color w:val="000000"/>
          <w:spacing w:val="0"/>
          <w:sz w:val="32"/>
          <w:szCs w:val="32"/>
          <w:shd w:val="clear" w:fill="FFFFFF"/>
        </w:rPr>
        <w:t>变动较大的原因是</w:t>
      </w:r>
      <w:r>
        <w:rPr>
          <w:rFonts w:hint="eastAsia" w:ascii="仿宋" w:hAnsi="仿宋" w:eastAsia="仿宋" w:cs="仿宋"/>
          <w:i w:val="0"/>
          <w:iCs w:val="0"/>
          <w:caps w:val="0"/>
          <w:color w:val="000000"/>
          <w:spacing w:val="0"/>
          <w:sz w:val="32"/>
          <w:szCs w:val="32"/>
          <w:shd w:val="clear" w:fill="FFFFFF"/>
        </w:rPr>
        <w:t>当年下达未使用结余指标不再补做收入，财政应返还额度为0，资产减少。</w:t>
      </w:r>
    </w:p>
    <w:p>
      <w:pPr>
        <w:autoSpaceDE w:val="0"/>
        <w:autoSpaceDN w:val="0"/>
        <w:adjustRightInd w:val="0"/>
        <w:spacing w:line="520" w:lineRule="exact"/>
        <w:ind w:firstLine="723" w:firstLineChars="200"/>
        <w:rPr>
          <w:rFonts w:hint="eastAsia" w:ascii="楷体_GB2312" w:eastAsia="楷体_GB2312" w:cs="楷体_GB2312"/>
          <w:b/>
          <w:bCs/>
          <w:sz w:val="36"/>
          <w:szCs w:val="36"/>
          <w:lang w:eastAsia="zh-CN"/>
        </w:rPr>
      </w:pPr>
      <w:r>
        <w:rPr>
          <w:rFonts w:hint="eastAsia" w:ascii="楷体_GB2312" w:eastAsia="楷体_GB2312" w:cs="楷体_GB2312"/>
          <w:b/>
          <w:bCs/>
          <w:sz w:val="36"/>
          <w:szCs w:val="36"/>
          <w:lang w:eastAsia="zh-CN"/>
        </w:rPr>
        <w:t>四</w:t>
      </w:r>
      <w:r>
        <w:rPr>
          <w:rFonts w:hint="eastAsia" w:ascii="楷体_GB2312" w:eastAsia="楷体_GB2312" w:cs="楷体_GB2312"/>
          <w:b/>
          <w:bCs/>
          <w:sz w:val="36"/>
          <w:szCs w:val="36"/>
        </w:rPr>
        <w:t>、部门整体支出绩效</w:t>
      </w:r>
      <w:r>
        <w:rPr>
          <w:rFonts w:hint="eastAsia" w:ascii="楷体_GB2312" w:eastAsia="楷体_GB2312" w:cs="楷体_GB2312"/>
          <w:b/>
          <w:bCs/>
          <w:sz w:val="36"/>
          <w:szCs w:val="36"/>
          <w:lang w:eastAsia="zh-CN"/>
        </w:rPr>
        <w:t>情况</w:t>
      </w:r>
    </w:p>
    <w:p>
      <w:pPr>
        <w:ind w:firstLine="600" w:firstLineChars="200"/>
        <w:rPr>
          <w:rStyle w:val="10"/>
          <w:rFonts w:hint="eastAsia" w:ascii="仿宋" w:hAnsi="仿宋" w:eastAsia="仿宋" w:cs="仿宋"/>
          <w:kern w:val="2"/>
          <w:sz w:val="30"/>
          <w:szCs w:val="30"/>
          <w:lang w:val="en-US" w:eastAsia="zh-CN" w:bidi="ar-SA"/>
        </w:rPr>
      </w:pPr>
      <w:r>
        <w:rPr>
          <w:rStyle w:val="10"/>
          <w:rFonts w:hint="eastAsia" w:ascii="仿宋" w:hAnsi="仿宋" w:eastAsia="仿宋" w:cs="仿宋"/>
          <w:kern w:val="2"/>
          <w:sz w:val="30"/>
          <w:szCs w:val="30"/>
          <w:lang w:val="en-US" w:eastAsia="zh-CN" w:bidi="ar-SA"/>
        </w:rPr>
        <w:t>（一）投入情况分析，</w:t>
      </w:r>
    </w:p>
    <w:p>
      <w:pPr>
        <w:ind w:firstLine="600" w:firstLineChars="200"/>
        <w:rPr>
          <w:rStyle w:val="10"/>
          <w:rFonts w:hint="default" w:ascii="仿宋" w:hAnsi="仿宋" w:eastAsia="仿宋" w:cs="仿宋"/>
          <w:kern w:val="2"/>
          <w:sz w:val="30"/>
          <w:szCs w:val="30"/>
          <w:lang w:val="en-US" w:eastAsia="zh-CN" w:bidi="ar-SA"/>
        </w:rPr>
      </w:pPr>
      <w:r>
        <w:rPr>
          <w:rStyle w:val="10"/>
          <w:rFonts w:hint="eastAsia" w:ascii="仿宋" w:hAnsi="仿宋" w:eastAsia="仿宋" w:cs="仿宋"/>
          <w:kern w:val="2"/>
          <w:sz w:val="30"/>
          <w:szCs w:val="30"/>
          <w:lang w:val="en-US" w:eastAsia="zh-CN" w:bidi="ar-SA"/>
        </w:rPr>
        <w:t>按时完成2022年预算编制及公开，预算收入</w:t>
      </w:r>
      <w:bookmarkStart w:id="0" w:name="_GoBack"/>
      <w:r>
        <w:rPr>
          <w:rStyle w:val="10"/>
          <w:rFonts w:hint="eastAsia" w:ascii="仿宋" w:hAnsi="仿宋" w:eastAsia="仿宋" w:cs="仿宋"/>
          <w:kern w:val="2"/>
          <w:sz w:val="30"/>
          <w:szCs w:val="30"/>
          <w:lang w:val="en-US" w:eastAsia="zh-CN" w:bidi="ar-SA"/>
        </w:rPr>
        <w:t>1254.8</w:t>
      </w:r>
      <w:r>
        <w:rPr>
          <w:rStyle w:val="10"/>
          <w:rFonts w:hint="default" w:ascii="仿宋" w:hAnsi="仿宋" w:eastAsia="仿宋" w:cs="仿宋"/>
          <w:kern w:val="2"/>
          <w:sz w:val="30"/>
          <w:szCs w:val="30"/>
          <w:lang w:eastAsia="zh-CN" w:bidi="ar-SA"/>
        </w:rPr>
        <w:t>5</w:t>
      </w:r>
      <w:bookmarkEnd w:id="0"/>
      <w:r>
        <w:rPr>
          <w:rStyle w:val="10"/>
          <w:rFonts w:hint="eastAsia" w:ascii="仿宋" w:hAnsi="仿宋" w:eastAsia="仿宋" w:cs="仿宋"/>
          <w:kern w:val="2"/>
          <w:sz w:val="30"/>
          <w:szCs w:val="30"/>
          <w:lang w:val="en-US" w:eastAsia="zh-CN" w:bidi="ar-SA"/>
        </w:rPr>
        <w:t>万元，较上年减少784.</w:t>
      </w:r>
      <w:r>
        <w:rPr>
          <w:rStyle w:val="10"/>
          <w:rFonts w:hint="default" w:ascii="仿宋" w:hAnsi="仿宋" w:eastAsia="仿宋" w:cs="仿宋"/>
          <w:kern w:val="2"/>
          <w:sz w:val="30"/>
          <w:szCs w:val="30"/>
          <w:lang w:eastAsia="zh-CN" w:bidi="ar-SA"/>
        </w:rPr>
        <w:t>39</w:t>
      </w:r>
      <w:r>
        <w:rPr>
          <w:rStyle w:val="10"/>
          <w:rFonts w:hint="eastAsia" w:ascii="仿宋" w:hAnsi="仿宋" w:eastAsia="仿宋" w:cs="仿宋"/>
          <w:kern w:val="2"/>
          <w:sz w:val="30"/>
          <w:szCs w:val="30"/>
          <w:lang w:val="en-US" w:eastAsia="zh-CN" w:bidi="ar-SA"/>
        </w:rPr>
        <w:t>万元，预算支出1495.7</w:t>
      </w:r>
      <w:r>
        <w:rPr>
          <w:rStyle w:val="10"/>
          <w:rFonts w:hint="default" w:ascii="仿宋" w:hAnsi="仿宋" w:eastAsia="仿宋" w:cs="仿宋"/>
          <w:kern w:val="2"/>
          <w:sz w:val="30"/>
          <w:szCs w:val="30"/>
          <w:lang w:eastAsia="zh-CN" w:bidi="ar-SA"/>
        </w:rPr>
        <w:t>5</w:t>
      </w:r>
      <w:r>
        <w:rPr>
          <w:rStyle w:val="10"/>
          <w:rFonts w:hint="eastAsia" w:ascii="仿宋" w:hAnsi="仿宋" w:eastAsia="仿宋" w:cs="仿宋"/>
          <w:kern w:val="2"/>
          <w:sz w:val="30"/>
          <w:szCs w:val="30"/>
          <w:lang w:val="en-US" w:eastAsia="zh-CN" w:bidi="ar-SA"/>
        </w:rPr>
        <w:t>万元。全年目标有1：贯彻执行规划建设，基础设施建设，稳定和完善农村基本经营管理全面实施下政府各项决策部署，确保各项工作目标任务圆满完成。2 ：计划完成公务车辆运行费支出预算金额的100%。3：计划完成公务接待支出预算金额的100% 。4：计划完成基本支出预算金额的100%。所有目标均根据往年部门整体绩效及政府日常工作设立。</w:t>
      </w:r>
    </w:p>
    <w:p>
      <w:pPr>
        <w:ind w:firstLine="600" w:firstLineChars="200"/>
        <w:rPr>
          <w:rStyle w:val="10"/>
          <w:rFonts w:hint="eastAsia" w:ascii="仿宋" w:hAnsi="仿宋" w:eastAsia="仿宋" w:cs="仿宋"/>
          <w:kern w:val="2"/>
          <w:sz w:val="30"/>
          <w:szCs w:val="30"/>
          <w:lang w:val="en-US" w:eastAsia="zh-CN" w:bidi="ar-SA"/>
        </w:rPr>
      </w:pPr>
      <w:r>
        <w:rPr>
          <w:rStyle w:val="10"/>
          <w:rFonts w:hint="eastAsia" w:ascii="仿宋" w:hAnsi="仿宋" w:eastAsia="仿宋" w:cs="仿宋"/>
          <w:kern w:val="2"/>
          <w:sz w:val="30"/>
          <w:szCs w:val="30"/>
          <w:lang w:val="en-US" w:eastAsia="zh-CN" w:bidi="ar-SA"/>
        </w:rPr>
        <w:t>（二）执行管理情况分析</w:t>
      </w:r>
    </w:p>
    <w:p>
      <w:pPr>
        <w:ind w:firstLine="600" w:firstLineChars="200"/>
        <w:rPr>
          <w:rStyle w:val="10"/>
          <w:rFonts w:hint="eastAsia" w:ascii="仿宋" w:hAnsi="仿宋" w:eastAsia="仿宋" w:cs="仿宋"/>
          <w:kern w:val="2"/>
          <w:sz w:val="30"/>
          <w:szCs w:val="30"/>
          <w:lang w:val="en-US" w:eastAsia="zh-CN" w:bidi="ar-SA"/>
        </w:rPr>
      </w:pPr>
      <w:r>
        <w:rPr>
          <w:rStyle w:val="10"/>
          <w:rFonts w:hint="eastAsia" w:ascii="仿宋" w:hAnsi="仿宋" w:eastAsia="仿宋" w:cs="仿宋"/>
          <w:kern w:val="2"/>
          <w:sz w:val="30"/>
          <w:szCs w:val="30"/>
          <w:lang w:val="en-US" w:eastAsia="zh-CN" w:bidi="ar-SA"/>
        </w:rPr>
        <w:t>2022年决算支出为1495.7</w:t>
      </w:r>
      <w:r>
        <w:rPr>
          <w:rStyle w:val="10"/>
          <w:rFonts w:hint="default" w:ascii="仿宋" w:hAnsi="仿宋" w:eastAsia="仿宋" w:cs="仿宋"/>
          <w:kern w:val="2"/>
          <w:sz w:val="30"/>
          <w:szCs w:val="30"/>
          <w:lang w:eastAsia="zh-CN" w:bidi="ar-SA"/>
        </w:rPr>
        <w:t>5</w:t>
      </w:r>
      <w:r>
        <w:rPr>
          <w:rStyle w:val="10"/>
          <w:rFonts w:hint="eastAsia" w:ascii="仿宋" w:hAnsi="仿宋" w:eastAsia="仿宋" w:cs="仿宋"/>
          <w:kern w:val="2"/>
          <w:sz w:val="30"/>
          <w:szCs w:val="30"/>
          <w:lang w:val="en-US" w:eastAsia="zh-CN" w:bidi="ar-SA"/>
        </w:rPr>
        <w:t>万元，执行率为100%。2022年决算数较2021年有所下降，主要原因是实行零余额报账制度，一收一支，本年财政拨款收入减少相应支出减少。</w:t>
      </w:r>
    </w:p>
    <w:p>
      <w:pPr>
        <w:ind w:firstLine="600" w:firstLineChars="200"/>
        <w:rPr>
          <w:rStyle w:val="10"/>
          <w:rFonts w:hint="eastAsia" w:ascii="仿宋" w:hAnsi="仿宋" w:eastAsia="仿宋" w:cs="仿宋"/>
          <w:kern w:val="2"/>
          <w:sz w:val="30"/>
          <w:szCs w:val="30"/>
          <w:lang w:val="en-US" w:eastAsia="zh-CN" w:bidi="ar-SA"/>
        </w:rPr>
      </w:pPr>
      <w:r>
        <w:rPr>
          <w:rStyle w:val="10"/>
          <w:rFonts w:hint="eastAsia" w:ascii="仿宋" w:hAnsi="仿宋" w:eastAsia="仿宋" w:cs="仿宋"/>
          <w:kern w:val="2"/>
          <w:sz w:val="30"/>
          <w:szCs w:val="30"/>
          <w:lang w:val="en-US" w:eastAsia="zh-CN" w:bidi="ar-SA"/>
        </w:rPr>
        <w:t>（三）支出绩效情况分析</w:t>
      </w:r>
    </w:p>
    <w:p>
      <w:pPr>
        <w:ind w:firstLine="600" w:firstLineChars="200"/>
        <w:rPr>
          <w:rStyle w:val="10"/>
          <w:rFonts w:hint="eastAsia" w:ascii="仿宋" w:hAnsi="仿宋" w:eastAsia="仿宋" w:cs="仿宋"/>
          <w:kern w:val="2"/>
          <w:sz w:val="30"/>
          <w:szCs w:val="30"/>
          <w:lang w:val="en-US" w:eastAsia="zh-CN" w:bidi="ar-SA"/>
        </w:rPr>
      </w:pPr>
      <w:r>
        <w:rPr>
          <w:rStyle w:val="10"/>
          <w:rFonts w:hint="eastAsia" w:ascii="仿宋" w:hAnsi="仿宋" w:eastAsia="仿宋" w:cs="仿宋"/>
          <w:kern w:val="2"/>
          <w:sz w:val="30"/>
          <w:szCs w:val="30"/>
          <w:lang w:val="en-US" w:eastAsia="zh-CN" w:bidi="ar-SA"/>
        </w:rPr>
        <w:t>2022年决算支出为1495.7</w:t>
      </w:r>
      <w:r>
        <w:rPr>
          <w:rStyle w:val="10"/>
          <w:rFonts w:hint="default" w:ascii="仿宋" w:hAnsi="仿宋" w:eastAsia="仿宋" w:cs="仿宋"/>
          <w:kern w:val="2"/>
          <w:sz w:val="30"/>
          <w:szCs w:val="30"/>
          <w:lang w:eastAsia="zh-CN" w:bidi="ar-SA"/>
        </w:rPr>
        <w:t>5</w:t>
      </w:r>
      <w:r>
        <w:rPr>
          <w:rStyle w:val="10"/>
          <w:rFonts w:hint="eastAsia" w:ascii="仿宋" w:hAnsi="仿宋" w:eastAsia="仿宋" w:cs="仿宋"/>
          <w:kern w:val="2"/>
          <w:sz w:val="30"/>
          <w:szCs w:val="30"/>
          <w:lang w:val="en-US" w:eastAsia="zh-CN" w:bidi="ar-SA"/>
        </w:rPr>
        <w:t>万元，其中基本支出为1467.14万元，项目支出28.6万元，贯彻执行规划建设，基础设施建设，稳定和完善农村基本经营管理全面实施下政府各项决策部署，确保各项工作目标任务圆满完成。</w:t>
      </w:r>
    </w:p>
    <w:p>
      <w:pPr>
        <w:autoSpaceDE w:val="0"/>
        <w:autoSpaceDN w:val="0"/>
        <w:adjustRightInd w:val="0"/>
        <w:spacing w:line="520" w:lineRule="exact"/>
        <w:ind w:firstLine="723" w:firstLineChars="200"/>
        <w:rPr>
          <w:rFonts w:ascii="楷体_GB2312" w:eastAsia="楷体_GB2312" w:cs="楷体_GB2312"/>
          <w:b/>
          <w:bCs/>
          <w:sz w:val="36"/>
          <w:szCs w:val="36"/>
        </w:rPr>
      </w:pPr>
      <w:r>
        <w:rPr>
          <w:rFonts w:hint="eastAsia" w:ascii="楷体_GB2312" w:eastAsia="楷体_GB2312" w:cs="楷体_GB2312"/>
          <w:b/>
          <w:bCs/>
          <w:sz w:val="36"/>
          <w:szCs w:val="36"/>
          <w:lang w:eastAsia="zh-CN"/>
        </w:rPr>
        <w:t>五</w:t>
      </w:r>
      <w:r>
        <w:rPr>
          <w:rFonts w:hint="eastAsia" w:ascii="楷体_GB2312" w:eastAsia="楷体_GB2312" w:cs="楷体_GB2312"/>
          <w:b/>
          <w:bCs/>
          <w:sz w:val="36"/>
          <w:szCs w:val="36"/>
        </w:rPr>
        <w:t>、存在的</w:t>
      </w:r>
      <w:r>
        <w:rPr>
          <w:rFonts w:hint="eastAsia" w:ascii="楷体_GB2312" w:eastAsia="楷体_GB2312" w:cs="楷体_GB2312"/>
          <w:b/>
          <w:bCs/>
          <w:sz w:val="36"/>
          <w:szCs w:val="36"/>
          <w:lang w:eastAsia="zh-CN"/>
        </w:rPr>
        <w:t>主要</w:t>
      </w:r>
      <w:r>
        <w:rPr>
          <w:rFonts w:hint="eastAsia" w:ascii="楷体_GB2312" w:eastAsia="楷体_GB2312" w:cs="楷体_GB2312"/>
          <w:b/>
          <w:bCs/>
          <w:sz w:val="36"/>
          <w:szCs w:val="36"/>
        </w:rPr>
        <w:t>问题</w:t>
      </w:r>
    </w:p>
    <w:p>
      <w:pPr>
        <w:ind w:firstLine="600" w:firstLineChars="200"/>
        <w:rPr>
          <w:rStyle w:val="10"/>
          <w:rFonts w:hint="eastAsia" w:ascii="仿宋" w:hAnsi="仿宋" w:eastAsia="仿宋" w:cs="仿宋"/>
          <w:kern w:val="2"/>
          <w:sz w:val="30"/>
          <w:szCs w:val="30"/>
          <w:lang w:val="en-US" w:eastAsia="zh-CN" w:bidi="ar-SA"/>
        </w:rPr>
      </w:pPr>
      <w:r>
        <w:rPr>
          <w:rStyle w:val="10"/>
          <w:rFonts w:hint="eastAsia" w:ascii="仿宋" w:hAnsi="仿宋" w:eastAsia="仿宋" w:cs="仿宋"/>
          <w:kern w:val="2"/>
          <w:sz w:val="30"/>
          <w:szCs w:val="30"/>
          <w:lang w:val="en-US" w:eastAsia="zh-CN" w:bidi="ar-SA"/>
        </w:rPr>
        <w:t>存在的问题：1.预算编制工作有待细化。预算编制不够明确和细化，预算编制的合理性需要提高，预算执行力度还要进一步加强；2.公用经费控制有一定难度，基本为刚性支出。</w:t>
      </w:r>
    </w:p>
    <w:p>
      <w:pPr>
        <w:numPr>
          <w:ilvl w:val="0"/>
          <w:numId w:val="0"/>
        </w:numPr>
        <w:autoSpaceDE w:val="0"/>
        <w:autoSpaceDN w:val="0"/>
        <w:adjustRightInd w:val="0"/>
        <w:spacing w:line="520" w:lineRule="exact"/>
        <w:ind w:firstLine="723" w:firstLineChars="200"/>
        <w:rPr>
          <w:rFonts w:ascii="楷体_GB2312" w:eastAsia="楷体_GB2312" w:cs="楷体_GB2312"/>
          <w:b/>
          <w:bCs/>
          <w:sz w:val="36"/>
          <w:szCs w:val="36"/>
        </w:rPr>
      </w:pPr>
      <w:r>
        <w:rPr>
          <w:rFonts w:hint="eastAsia" w:ascii="楷体_GB2312" w:eastAsia="楷体_GB2312" w:cs="楷体_GB2312"/>
          <w:b/>
          <w:bCs/>
          <w:sz w:val="36"/>
          <w:szCs w:val="36"/>
          <w:lang w:eastAsia="zh-CN"/>
        </w:rPr>
        <w:t>六、</w:t>
      </w:r>
      <w:r>
        <w:rPr>
          <w:rFonts w:hint="eastAsia" w:ascii="楷体_GB2312" w:eastAsia="楷体_GB2312" w:cs="楷体_GB2312"/>
          <w:b/>
          <w:bCs/>
          <w:sz w:val="36"/>
          <w:szCs w:val="36"/>
        </w:rPr>
        <w:t>整改措施和建议</w:t>
      </w:r>
    </w:p>
    <w:p>
      <w:pPr>
        <w:ind w:firstLine="600" w:firstLineChars="200"/>
        <w:rPr>
          <w:rStyle w:val="10"/>
          <w:rFonts w:hint="eastAsia" w:ascii="仿宋" w:hAnsi="仿宋" w:eastAsia="仿宋" w:cs="仿宋"/>
          <w:kern w:val="2"/>
          <w:sz w:val="30"/>
          <w:szCs w:val="30"/>
          <w:lang w:val="en-US" w:eastAsia="zh-CN" w:bidi="ar-SA"/>
        </w:rPr>
      </w:pPr>
      <w:r>
        <w:rPr>
          <w:rStyle w:val="10"/>
          <w:rFonts w:hint="eastAsia" w:ascii="仿宋" w:hAnsi="仿宋" w:eastAsia="仿宋" w:cs="仿宋"/>
          <w:kern w:val="2"/>
          <w:sz w:val="30"/>
          <w:szCs w:val="30"/>
          <w:lang w:val="en-US" w:eastAsia="zh-CN" w:bidi="ar-SA"/>
        </w:rPr>
        <w:t>1.细化预算编制工作，认真做好预算的编制。进一步加强单位内部机构各股室的预算管理意识，严格按照预算编制的相关制度和要求进行预算编制；全面编制预算项目，优先保障固定性的、相对刚性的费用支出项目，尽量压缩变动性的、有控制空间的费用项目，进一步提高预算编制的科学性、严谨性和可控性。加强内部预算编制的审核和预算控制指标的下达。</w:t>
      </w:r>
    </w:p>
    <w:p>
      <w:pPr>
        <w:ind w:firstLine="600" w:firstLineChars="200"/>
        <w:rPr>
          <w:rStyle w:val="10"/>
          <w:rFonts w:hint="default" w:ascii="仿宋" w:hAnsi="仿宋" w:eastAsia="仿宋" w:cs="仿宋"/>
          <w:kern w:val="2"/>
          <w:sz w:val="30"/>
          <w:szCs w:val="30"/>
          <w:lang w:val="en-US" w:eastAsia="zh-CN" w:bidi="ar-SA"/>
        </w:rPr>
      </w:pPr>
      <w:r>
        <w:rPr>
          <w:rStyle w:val="10"/>
          <w:rFonts w:hint="eastAsia" w:ascii="仿宋" w:hAnsi="仿宋" w:eastAsia="仿宋" w:cs="仿宋"/>
          <w:kern w:val="2"/>
          <w:sz w:val="30"/>
          <w:szCs w:val="30"/>
          <w:lang w:val="en-US" w:eastAsia="zh-CN" w:bidi="ar-SA"/>
        </w:rPr>
        <w:t>2. 加强财务管理，严格财务审核。加强单位财务管理，健全单位财务管理制度体系，规范单位财务行为。在费用报账支付时，按照预算规定的费用项目和用途进行资金使用审核、列报支付、财务核算，杜绝超支现象的发生。</w:t>
      </w:r>
    </w:p>
    <w:p>
      <w:pPr>
        <w:spacing w:line="560" w:lineRule="exact"/>
        <w:rPr>
          <w:rFonts w:hint="eastAsia" w:ascii="黑体" w:hAnsi="宋体" w:eastAsia="黑体" w:cs="宋体"/>
          <w:kern w:val="0"/>
          <w:sz w:val="32"/>
          <w:szCs w:val="32"/>
        </w:rPr>
      </w:pPr>
      <w:r>
        <w:rPr>
          <w:rFonts w:hint="eastAsia" w:ascii="黑体" w:hAnsi="宋体" w:eastAsia="黑体" w:cs="宋体"/>
          <w:kern w:val="0"/>
          <w:sz w:val="32"/>
          <w:szCs w:val="32"/>
        </w:rPr>
        <w:t>附件</w:t>
      </w:r>
      <w:r>
        <w:rPr>
          <w:rFonts w:hint="eastAsia" w:ascii="黑体" w:hAnsi="宋体" w:eastAsia="黑体" w:cs="宋体"/>
          <w:kern w:val="0"/>
          <w:sz w:val="32"/>
          <w:szCs w:val="32"/>
          <w:lang w:val="en-US" w:eastAsia="zh-CN"/>
        </w:rPr>
        <w:t>1</w:t>
      </w:r>
    </w:p>
    <w:p>
      <w:pPr>
        <w:spacing w:line="560" w:lineRule="exact"/>
        <w:jc w:val="center"/>
        <w:rPr>
          <w:rFonts w:ascii="宋体" w:hAnsi="宋体" w:cs="宋体"/>
          <w:kern w:val="0"/>
          <w:sz w:val="24"/>
        </w:rPr>
      </w:pPr>
      <w:r>
        <w:rPr>
          <w:rFonts w:hint="eastAsia" w:ascii="方正小标宋_GBK" w:hAnsi="宋体" w:eastAsia="方正小标宋_GBK" w:cs="宋体"/>
          <w:kern w:val="0"/>
          <w:sz w:val="36"/>
          <w:szCs w:val="36"/>
        </w:rPr>
        <w:t>部门整体支出绩效评价</w:t>
      </w:r>
      <w:r>
        <w:rPr>
          <w:rFonts w:hint="eastAsia" w:ascii="方正小标宋_GBK" w:hAnsi="宋体" w:eastAsia="方正小标宋_GBK" w:cs="宋体"/>
          <w:kern w:val="0"/>
          <w:sz w:val="36"/>
          <w:szCs w:val="36"/>
          <w:lang w:eastAsia="zh-CN"/>
        </w:rPr>
        <w:t>共性</w:t>
      </w:r>
      <w:r>
        <w:rPr>
          <w:rFonts w:hint="eastAsia" w:ascii="方正小标宋_GBK" w:hAnsi="宋体" w:eastAsia="方正小标宋_GBK" w:cs="宋体"/>
          <w:kern w:val="0"/>
          <w:sz w:val="36"/>
          <w:szCs w:val="36"/>
        </w:rPr>
        <w:t>指标表</w:t>
      </w:r>
    </w:p>
    <w:tbl>
      <w:tblPr>
        <w:tblStyle w:val="5"/>
        <w:tblW w:w="10600" w:type="dxa"/>
        <w:jc w:val="center"/>
        <w:tblLayout w:type="fixed"/>
        <w:tblCellMar>
          <w:top w:w="0" w:type="dxa"/>
          <w:left w:w="108" w:type="dxa"/>
          <w:bottom w:w="0" w:type="dxa"/>
          <w:right w:w="108" w:type="dxa"/>
        </w:tblCellMar>
      </w:tblPr>
      <w:tblGrid>
        <w:gridCol w:w="518"/>
        <w:gridCol w:w="470"/>
        <w:gridCol w:w="623"/>
        <w:gridCol w:w="416"/>
        <w:gridCol w:w="1015"/>
        <w:gridCol w:w="416"/>
        <w:gridCol w:w="3016"/>
        <w:gridCol w:w="3489"/>
        <w:gridCol w:w="637"/>
      </w:tblGrid>
      <w:tr>
        <w:tblPrEx>
          <w:tblCellMar>
            <w:top w:w="0" w:type="dxa"/>
            <w:left w:w="108" w:type="dxa"/>
            <w:bottom w:w="0" w:type="dxa"/>
            <w:right w:w="108" w:type="dxa"/>
          </w:tblCellMar>
        </w:tblPrEx>
        <w:trPr>
          <w:tblHeader/>
          <w:jc w:val="center"/>
        </w:trPr>
        <w:tc>
          <w:tcPr>
            <w:tcW w:w="518"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一级指标</w:t>
            </w:r>
          </w:p>
        </w:tc>
        <w:tc>
          <w:tcPr>
            <w:tcW w:w="470" w:type="dxa"/>
            <w:tcBorders>
              <w:top w:val="single" w:color="auto" w:sz="4" w:space="0"/>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分值</w:t>
            </w:r>
          </w:p>
        </w:tc>
        <w:tc>
          <w:tcPr>
            <w:tcW w:w="623" w:type="dxa"/>
            <w:tcBorders>
              <w:top w:val="single" w:color="auto" w:sz="4" w:space="0"/>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二级指标</w:t>
            </w:r>
          </w:p>
        </w:tc>
        <w:tc>
          <w:tcPr>
            <w:tcW w:w="416" w:type="dxa"/>
            <w:tcBorders>
              <w:top w:val="single" w:color="auto" w:sz="4" w:space="0"/>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分值</w:t>
            </w:r>
          </w:p>
        </w:tc>
        <w:tc>
          <w:tcPr>
            <w:tcW w:w="1015"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三级</w:t>
            </w:r>
          </w:p>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指标</w:t>
            </w:r>
          </w:p>
        </w:tc>
        <w:tc>
          <w:tcPr>
            <w:tcW w:w="416" w:type="dxa"/>
            <w:tcBorders>
              <w:top w:val="single" w:color="auto" w:sz="4" w:space="0"/>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分值</w:t>
            </w:r>
          </w:p>
        </w:tc>
        <w:tc>
          <w:tcPr>
            <w:tcW w:w="3016" w:type="dxa"/>
            <w:tcBorders>
              <w:top w:val="single" w:color="auto" w:sz="4" w:space="0"/>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评价标准</w:t>
            </w:r>
          </w:p>
        </w:tc>
        <w:tc>
          <w:tcPr>
            <w:tcW w:w="3489" w:type="dxa"/>
            <w:tcBorders>
              <w:top w:val="single" w:color="auto" w:sz="4" w:space="0"/>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指标说明</w:t>
            </w:r>
          </w:p>
        </w:tc>
        <w:tc>
          <w:tcPr>
            <w:tcW w:w="637" w:type="dxa"/>
            <w:tcBorders>
              <w:top w:val="single" w:color="auto" w:sz="4" w:space="0"/>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得分</w:t>
            </w:r>
          </w:p>
        </w:tc>
      </w:tr>
      <w:tr>
        <w:tblPrEx>
          <w:tblCellMar>
            <w:top w:w="0" w:type="dxa"/>
            <w:left w:w="108" w:type="dxa"/>
            <w:bottom w:w="0" w:type="dxa"/>
            <w:right w:w="108" w:type="dxa"/>
          </w:tblCellMar>
        </w:tblPrEx>
        <w:trPr>
          <w:trHeight w:val="1814" w:hRule="atLeast"/>
          <w:jc w:val="center"/>
        </w:trPr>
        <w:tc>
          <w:tcPr>
            <w:tcW w:w="518"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投入</w:t>
            </w:r>
          </w:p>
        </w:tc>
        <w:tc>
          <w:tcPr>
            <w:tcW w:w="470"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hint="eastAsia" w:ascii="仿宋_GB2312" w:hAnsi="宋体" w:eastAsia="仿宋_GB2312" w:cs="宋体"/>
                <w:kern w:val="0"/>
                <w:sz w:val="20"/>
                <w:szCs w:val="20"/>
                <w:lang w:eastAsia="zh-CN"/>
              </w:rPr>
            </w:pPr>
            <w:r>
              <w:rPr>
                <w:rFonts w:hint="eastAsia" w:ascii="仿宋_GB2312" w:hAnsi="宋体" w:eastAsia="仿宋_GB2312" w:cs="宋体"/>
                <w:kern w:val="0"/>
                <w:sz w:val="20"/>
                <w:szCs w:val="20"/>
              </w:rPr>
              <w:t>1</w:t>
            </w:r>
            <w:r>
              <w:rPr>
                <w:rFonts w:hint="eastAsia" w:ascii="仿宋_GB2312" w:hAnsi="宋体" w:eastAsia="仿宋_GB2312" w:cs="宋体"/>
                <w:kern w:val="0"/>
                <w:sz w:val="20"/>
                <w:szCs w:val="20"/>
                <w:lang w:val="en-US" w:eastAsia="zh-CN"/>
              </w:rPr>
              <w:t>0</w:t>
            </w:r>
          </w:p>
        </w:tc>
        <w:tc>
          <w:tcPr>
            <w:tcW w:w="623" w:type="dxa"/>
            <w:vMerge w:val="restart"/>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预算配置</w:t>
            </w:r>
          </w:p>
        </w:tc>
        <w:tc>
          <w:tcPr>
            <w:tcW w:w="416"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hint="eastAsia" w:ascii="仿宋_GB2312" w:hAnsi="宋体" w:eastAsia="仿宋_GB2312" w:cs="宋体"/>
                <w:kern w:val="0"/>
                <w:sz w:val="20"/>
                <w:szCs w:val="20"/>
                <w:lang w:eastAsia="zh-CN"/>
              </w:rPr>
            </w:pPr>
            <w:r>
              <w:rPr>
                <w:rFonts w:hint="eastAsia" w:ascii="仿宋_GB2312" w:hAnsi="宋体" w:eastAsia="仿宋_GB2312" w:cs="宋体"/>
                <w:kern w:val="0"/>
                <w:sz w:val="20"/>
                <w:szCs w:val="20"/>
              </w:rPr>
              <w:t>1</w:t>
            </w:r>
            <w:r>
              <w:rPr>
                <w:rFonts w:hint="eastAsia" w:ascii="仿宋_GB2312" w:hAnsi="宋体" w:eastAsia="仿宋_GB2312" w:cs="宋体"/>
                <w:kern w:val="0"/>
                <w:sz w:val="20"/>
                <w:szCs w:val="20"/>
                <w:lang w:val="en-US" w:eastAsia="zh-CN"/>
              </w:rPr>
              <w:t>0</w:t>
            </w:r>
          </w:p>
        </w:tc>
        <w:tc>
          <w:tcPr>
            <w:tcW w:w="1015"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在职人员控制率</w:t>
            </w:r>
          </w:p>
        </w:tc>
        <w:tc>
          <w:tcPr>
            <w:tcW w:w="416"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5</w:t>
            </w:r>
          </w:p>
        </w:tc>
        <w:tc>
          <w:tcPr>
            <w:tcW w:w="3016" w:type="dxa"/>
            <w:tcBorders>
              <w:top w:val="nil"/>
              <w:left w:val="nil"/>
              <w:bottom w:val="nil"/>
              <w:right w:val="nil"/>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以100%为标准。在职人员控制率</w:t>
            </w:r>
            <w:r>
              <w:rPr>
                <w:rFonts w:hint="eastAsia" w:ascii="宋体" w:hAnsi="宋体" w:cs="宋体"/>
                <w:kern w:val="0"/>
                <w:sz w:val="20"/>
                <w:szCs w:val="20"/>
              </w:rPr>
              <w:t>≦</w:t>
            </w:r>
            <w:r>
              <w:rPr>
                <w:rFonts w:hint="eastAsia" w:ascii="仿宋_GB2312" w:hAnsi="宋体" w:eastAsia="仿宋_GB2312" w:cs="宋体"/>
                <w:kern w:val="0"/>
                <w:sz w:val="20"/>
                <w:szCs w:val="20"/>
              </w:rPr>
              <w:t>100%，计5分；每超过一个百分点扣0.5分，扣完为止。</w:t>
            </w:r>
          </w:p>
        </w:tc>
        <w:tc>
          <w:tcPr>
            <w:tcW w:w="3489" w:type="dxa"/>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在职人员控制率=（在职人员数/编制数）×100%，在职人员数：部门（单位）实际在职人数，以财政确定的部门决算编制口径为准。</w:t>
            </w:r>
            <w:r>
              <w:rPr>
                <w:rFonts w:hint="eastAsia" w:ascii="仿宋_GB2312" w:hAnsi="宋体" w:eastAsia="仿宋_GB2312" w:cs="宋体"/>
                <w:kern w:val="0"/>
                <w:sz w:val="20"/>
                <w:szCs w:val="20"/>
              </w:rPr>
              <w:br w:type="textWrapping"/>
            </w:r>
            <w:r>
              <w:rPr>
                <w:rFonts w:hint="eastAsia" w:ascii="仿宋_GB2312" w:hAnsi="宋体" w:eastAsia="仿宋_GB2312" w:cs="宋体"/>
                <w:kern w:val="0"/>
                <w:sz w:val="20"/>
                <w:szCs w:val="20"/>
              </w:rPr>
              <w:t>编制数：机构编制部门核定批复的部门（单位）的人员编制数。</w:t>
            </w:r>
          </w:p>
        </w:tc>
        <w:tc>
          <w:tcPr>
            <w:tcW w:w="637"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lang w:val="en-US" w:eastAsia="zh-CN"/>
              </w:rPr>
              <w:t>0</w:t>
            </w:r>
            <w:r>
              <w:rPr>
                <w:rFonts w:hint="eastAsia" w:ascii="宋体" w:hAnsi="宋体" w:cs="宋体"/>
                <w:kern w:val="0"/>
                <w:sz w:val="24"/>
              </w:rPr>
              <w:t>　</w:t>
            </w:r>
          </w:p>
        </w:tc>
      </w:tr>
      <w:tr>
        <w:tblPrEx>
          <w:tblCellMar>
            <w:top w:w="0" w:type="dxa"/>
            <w:left w:w="108" w:type="dxa"/>
            <w:bottom w:w="0" w:type="dxa"/>
            <w:right w:w="108" w:type="dxa"/>
          </w:tblCellMar>
        </w:tblPrEx>
        <w:trPr>
          <w:jc w:val="center"/>
        </w:trPr>
        <w:tc>
          <w:tcPr>
            <w:tcW w:w="518"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47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623" w:type="dxa"/>
            <w:vMerge w:val="continue"/>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1015"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“三公经费”变动率</w:t>
            </w:r>
          </w:p>
        </w:tc>
        <w:tc>
          <w:tcPr>
            <w:tcW w:w="416" w:type="dxa"/>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0"/>
                <w:szCs w:val="20"/>
                <w:lang w:eastAsia="zh-CN"/>
              </w:rPr>
            </w:pPr>
            <w:r>
              <w:rPr>
                <w:rFonts w:hint="eastAsia" w:ascii="仿宋_GB2312" w:hAnsi="宋体" w:eastAsia="仿宋_GB2312" w:cs="宋体"/>
                <w:kern w:val="0"/>
                <w:sz w:val="20"/>
                <w:szCs w:val="20"/>
                <w:lang w:val="en-US" w:eastAsia="zh-CN"/>
              </w:rPr>
              <w:t>5</w:t>
            </w:r>
          </w:p>
        </w:tc>
        <w:tc>
          <w:tcPr>
            <w:tcW w:w="3016"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“三公经费”变动率</w:t>
            </w:r>
            <w:r>
              <w:rPr>
                <w:rFonts w:hint="eastAsia" w:ascii="宋体" w:hAnsi="宋体" w:cs="宋体"/>
                <w:kern w:val="0"/>
                <w:sz w:val="20"/>
                <w:szCs w:val="20"/>
              </w:rPr>
              <w:t>≦</w:t>
            </w:r>
            <w:r>
              <w:rPr>
                <w:rFonts w:hint="eastAsia" w:ascii="仿宋_GB2312" w:hAnsi="宋体" w:eastAsia="仿宋_GB2312" w:cs="宋体"/>
                <w:kern w:val="0"/>
                <w:sz w:val="20"/>
                <w:szCs w:val="20"/>
              </w:rPr>
              <w:t>0,计</w:t>
            </w:r>
            <w:r>
              <w:rPr>
                <w:rFonts w:hint="eastAsia" w:ascii="仿宋_GB2312" w:hAnsi="宋体" w:eastAsia="仿宋_GB2312" w:cs="宋体"/>
                <w:kern w:val="0"/>
                <w:sz w:val="20"/>
                <w:szCs w:val="20"/>
                <w:lang w:val="en-US" w:eastAsia="zh-CN"/>
              </w:rPr>
              <w:t>5</w:t>
            </w:r>
            <w:r>
              <w:rPr>
                <w:rFonts w:hint="eastAsia" w:ascii="仿宋_GB2312" w:hAnsi="宋体" w:eastAsia="仿宋_GB2312" w:cs="宋体"/>
                <w:kern w:val="0"/>
                <w:sz w:val="20"/>
                <w:szCs w:val="20"/>
              </w:rPr>
              <w:t>分；“三公经费”＞0，每超过一个百分点扣0.</w:t>
            </w:r>
            <w:r>
              <w:rPr>
                <w:rFonts w:hint="eastAsia" w:ascii="仿宋_GB2312" w:hAnsi="宋体" w:eastAsia="仿宋_GB2312" w:cs="宋体"/>
                <w:kern w:val="0"/>
                <w:sz w:val="20"/>
                <w:szCs w:val="20"/>
                <w:lang w:val="en-US" w:eastAsia="zh-CN"/>
              </w:rPr>
              <w:t>5</w:t>
            </w:r>
            <w:r>
              <w:rPr>
                <w:rFonts w:hint="eastAsia" w:ascii="仿宋_GB2312" w:hAnsi="宋体" w:eastAsia="仿宋_GB2312" w:cs="宋体"/>
                <w:kern w:val="0"/>
                <w:sz w:val="20"/>
                <w:szCs w:val="20"/>
              </w:rPr>
              <w:t>分，扣完为止。</w:t>
            </w:r>
          </w:p>
        </w:tc>
        <w:tc>
          <w:tcPr>
            <w:tcW w:w="3489"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“三公经费”变动率=[（本年度“三公经费”预算数-上年度“三公经费”预算数）/上年度“三公经费”预算数]×100%</w:t>
            </w:r>
          </w:p>
        </w:tc>
        <w:tc>
          <w:tcPr>
            <w:tcW w:w="637"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lang w:val="en-US" w:eastAsia="zh-CN"/>
              </w:rPr>
              <w:t>5</w:t>
            </w:r>
            <w:r>
              <w:rPr>
                <w:rFonts w:hint="eastAsia" w:ascii="宋体" w:hAnsi="宋体" w:cs="宋体"/>
                <w:kern w:val="0"/>
                <w:sz w:val="24"/>
              </w:rPr>
              <w:t>　</w:t>
            </w:r>
          </w:p>
        </w:tc>
      </w:tr>
      <w:tr>
        <w:tblPrEx>
          <w:tblCellMar>
            <w:top w:w="0" w:type="dxa"/>
            <w:left w:w="108" w:type="dxa"/>
            <w:bottom w:w="0" w:type="dxa"/>
            <w:right w:w="108" w:type="dxa"/>
          </w:tblCellMar>
        </w:tblPrEx>
        <w:trPr>
          <w:jc w:val="center"/>
        </w:trPr>
        <w:tc>
          <w:tcPr>
            <w:tcW w:w="518"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过                                                                                                                                       程</w:t>
            </w:r>
          </w:p>
        </w:tc>
        <w:tc>
          <w:tcPr>
            <w:tcW w:w="470"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hint="eastAsia" w:ascii="仿宋_GB2312" w:hAnsi="宋体" w:eastAsia="仿宋_GB2312" w:cs="宋体"/>
                <w:kern w:val="0"/>
                <w:sz w:val="20"/>
                <w:szCs w:val="20"/>
                <w:lang w:eastAsia="zh-CN"/>
              </w:rPr>
            </w:pPr>
            <w:r>
              <w:rPr>
                <w:rFonts w:hint="eastAsia" w:ascii="仿宋_GB2312" w:hAnsi="宋体" w:eastAsia="仿宋_GB2312" w:cs="宋体"/>
                <w:kern w:val="0"/>
                <w:sz w:val="20"/>
                <w:szCs w:val="20"/>
              </w:rPr>
              <w:t>6</w:t>
            </w:r>
            <w:r>
              <w:rPr>
                <w:rFonts w:hint="eastAsia" w:ascii="仿宋_GB2312" w:hAnsi="宋体" w:eastAsia="仿宋_GB2312" w:cs="宋体"/>
                <w:kern w:val="0"/>
                <w:sz w:val="20"/>
                <w:szCs w:val="20"/>
                <w:lang w:val="en-US" w:eastAsia="zh-CN"/>
              </w:rPr>
              <w:t>0</w:t>
            </w:r>
          </w:p>
        </w:tc>
        <w:tc>
          <w:tcPr>
            <w:tcW w:w="623"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预算执行</w:t>
            </w:r>
          </w:p>
        </w:tc>
        <w:tc>
          <w:tcPr>
            <w:tcW w:w="416"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20</w:t>
            </w:r>
          </w:p>
        </w:tc>
        <w:tc>
          <w:tcPr>
            <w:tcW w:w="1015"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预算完成率</w:t>
            </w:r>
          </w:p>
        </w:tc>
        <w:tc>
          <w:tcPr>
            <w:tcW w:w="416"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5</w:t>
            </w:r>
          </w:p>
        </w:tc>
        <w:tc>
          <w:tcPr>
            <w:tcW w:w="30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100%计满分，每低于5%扣2分，扣完为止。</w:t>
            </w:r>
          </w:p>
        </w:tc>
        <w:tc>
          <w:tcPr>
            <w:tcW w:w="3489"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预算完成率=（上年结转+年初预算+本年追加预算-年末结余）/（上年结转+年初预算+本年追加预算）×100%。</w:t>
            </w:r>
          </w:p>
        </w:tc>
        <w:tc>
          <w:tcPr>
            <w:tcW w:w="637"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kern w:val="0"/>
                <w:sz w:val="24"/>
                <w:lang w:val="en-US" w:eastAsia="zh-CN"/>
              </w:rPr>
            </w:pPr>
            <w:r>
              <w:rPr>
                <w:rFonts w:hint="eastAsia" w:ascii="宋体" w:hAnsi="宋体" w:cs="宋体"/>
                <w:kern w:val="0"/>
                <w:sz w:val="24"/>
                <w:lang w:val="en-US" w:eastAsia="zh-CN"/>
              </w:rPr>
              <w:t>5</w:t>
            </w:r>
          </w:p>
        </w:tc>
      </w:tr>
      <w:tr>
        <w:tblPrEx>
          <w:tblCellMar>
            <w:top w:w="0" w:type="dxa"/>
            <w:left w:w="108" w:type="dxa"/>
            <w:bottom w:w="0" w:type="dxa"/>
            <w:right w:w="108" w:type="dxa"/>
          </w:tblCellMar>
        </w:tblPrEx>
        <w:trPr>
          <w:trHeight w:val="1273" w:hRule="atLeast"/>
          <w:jc w:val="center"/>
        </w:trPr>
        <w:tc>
          <w:tcPr>
            <w:tcW w:w="51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47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623"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1015"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预算控制率</w:t>
            </w:r>
          </w:p>
        </w:tc>
        <w:tc>
          <w:tcPr>
            <w:tcW w:w="416"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5</w:t>
            </w:r>
          </w:p>
        </w:tc>
        <w:tc>
          <w:tcPr>
            <w:tcW w:w="30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预算控制率=0，计5分；0-10%（含），计4分；10-20%（含），计3分；20-30%（含），计2分；大于30%不得分。</w:t>
            </w:r>
          </w:p>
        </w:tc>
        <w:tc>
          <w:tcPr>
            <w:tcW w:w="3489"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预算控制率=（本年追加预算/年初预算）×100%。</w:t>
            </w:r>
          </w:p>
        </w:tc>
        <w:tc>
          <w:tcPr>
            <w:tcW w:w="637"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lang w:val="en-US" w:eastAsia="zh-CN"/>
              </w:rPr>
              <w:t>4</w:t>
            </w:r>
            <w:r>
              <w:rPr>
                <w:rFonts w:hint="eastAsia" w:ascii="宋体" w:hAnsi="宋体" w:cs="宋体"/>
                <w:kern w:val="0"/>
                <w:sz w:val="24"/>
              </w:rPr>
              <w:t>　</w:t>
            </w:r>
          </w:p>
        </w:tc>
      </w:tr>
      <w:tr>
        <w:tblPrEx>
          <w:tblCellMar>
            <w:top w:w="0" w:type="dxa"/>
            <w:left w:w="108" w:type="dxa"/>
            <w:bottom w:w="0" w:type="dxa"/>
            <w:right w:w="108" w:type="dxa"/>
          </w:tblCellMar>
        </w:tblPrEx>
        <w:trPr>
          <w:trHeight w:val="1160" w:hRule="atLeast"/>
          <w:jc w:val="center"/>
        </w:trPr>
        <w:tc>
          <w:tcPr>
            <w:tcW w:w="51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47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623"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1015"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新建楼堂馆所面积控制率</w:t>
            </w:r>
          </w:p>
        </w:tc>
        <w:tc>
          <w:tcPr>
            <w:tcW w:w="416"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5</w:t>
            </w:r>
          </w:p>
        </w:tc>
        <w:tc>
          <w:tcPr>
            <w:tcW w:w="30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100%以下（含）计满分，每超出5%扣2分，扣完为止。没有楼堂馆所项目的部门按满分计算。</w:t>
            </w:r>
          </w:p>
        </w:tc>
        <w:tc>
          <w:tcPr>
            <w:tcW w:w="3489"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楼堂馆所面积控制率=实际建设面积/批准建设面积×100% 。</w:t>
            </w:r>
            <w:r>
              <w:rPr>
                <w:rFonts w:hint="eastAsia" w:ascii="仿宋_GB2312" w:hAnsi="宋体" w:eastAsia="仿宋_GB2312" w:cs="宋体"/>
                <w:kern w:val="0"/>
                <w:sz w:val="20"/>
                <w:szCs w:val="20"/>
              </w:rPr>
              <w:br w:type="textWrapping"/>
            </w:r>
            <w:r>
              <w:rPr>
                <w:rFonts w:hint="eastAsia" w:ascii="仿宋_GB2312" w:hAnsi="宋体" w:eastAsia="仿宋_GB2312" w:cs="宋体"/>
                <w:kern w:val="0"/>
                <w:sz w:val="20"/>
                <w:szCs w:val="20"/>
              </w:rPr>
              <w:t>该指标以</w:t>
            </w:r>
            <w:r>
              <w:rPr>
                <w:rFonts w:hint="eastAsia" w:ascii="仿宋_GB2312" w:hAnsi="宋体" w:eastAsia="仿宋_GB2312" w:cs="宋体"/>
                <w:kern w:val="0"/>
                <w:sz w:val="20"/>
                <w:szCs w:val="20"/>
                <w:lang w:val="en-US" w:eastAsia="zh-CN"/>
              </w:rPr>
              <w:t>2021</w:t>
            </w:r>
            <w:r>
              <w:rPr>
                <w:rFonts w:hint="eastAsia" w:ascii="仿宋_GB2312" w:hAnsi="宋体" w:eastAsia="仿宋_GB2312" w:cs="宋体"/>
                <w:kern w:val="0"/>
                <w:sz w:val="20"/>
                <w:szCs w:val="20"/>
              </w:rPr>
              <w:t>年完工的新建楼堂馆所为评价内容。</w:t>
            </w:r>
          </w:p>
        </w:tc>
        <w:tc>
          <w:tcPr>
            <w:tcW w:w="637"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kern w:val="0"/>
                <w:sz w:val="24"/>
                <w:lang w:val="en-US" w:eastAsia="zh-CN"/>
              </w:rPr>
            </w:pPr>
            <w:r>
              <w:rPr>
                <w:rFonts w:hint="eastAsia" w:ascii="宋体" w:hAnsi="宋体" w:cs="宋体"/>
                <w:kern w:val="0"/>
                <w:sz w:val="24"/>
                <w:lang w:val="en-US" w:eastAsia="zh-CN"/>
              </w:rPr>
              <w:t>5</w:t>
            </w:r>
          </w:p>
        </w:tc>
      </w:tr>
      <w:tr>
        <w:tblPrEx>
          <w:tblCellMar>
            <w:top w:w="0" w:type="dxa"/>
            <w:left w:w="108" w:type="dxa"/>
            <w:bottom w:w="0" w:type="dxa"/>
            <w:right w:w="108" w:type="dxa"/>
          </w:tblCellMar>
        </w:tblPrEx>
        <w:trPr>
          <w:trHeight w:val="1543" w:hRule="atLeast"/>
          <w:jc w:val="center"/>
        </w:trPr>
        <w:tc>
          <w:tcPr>
            <w:tcW w:w="51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47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623"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1015"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新建楼堂馆所投资概算控制率</w:t>
            </w:r>
          </w:p>
        </w:tc>
        <w:tc>
          <w:tcPr>
            <w:tcW w:w="416"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5</w:t>
            </w:r>
          </w:p>
        </w:tc>
        <w:tc>
          <w:tcPr>
            <w:tcW w:w="30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100%以下（含）计满分，每超出5%扣2分，扣完为止。</w:t>
            </w:r>
          </w:p>
        </w:tc>
        <w:tc>
          <w:tcPr>
            <w:tcW w:w="3489"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楼堂馆所投资预算控制率=实际投资金额/批准投资金额×100% 。</w:t>
            </w:r>
            <w:r>
              <w:rPr>
                <w:rFonts w:hint="eastAsia" w:ascii="仿宋_GB2312" w:hAnsi="宋体" w:eastAsia="仿宋_GB2312" w:cs="宋体"/>
                <w:kern w:val="0"/>
                <w:sz w:val="20"/>
                <w:szCs w:val="20"/>
              </w:rPr>
              <w:br w:type="textWrapping"/>
            </w:r>
            <w:r>
              <w:rPr>
                <w:rFonts w:hint="eastAsia" w:ascii="仿宋_GB2312" w:hAnsi="宋体" w:eastAsia="仿宋_GB2312" w:cs="宋体"/>
                <w:kern w:val="0"/>
                <w:sz w:val="20"/>
                <w:szCs w:val="20"/>
              </w:rPr>
              <w:t>该指标以2</w:t>
            </w:r>
            <w:r>
              <w:rPr>
                <w:rFonts w:hint="eastAsia" w:ascii="仿宋_GB2312" w:hAnsi="宋体" w:eastAsia="仿宋_GB2312" w:cs="宋体"/>
                <w:kern w:val="0"/>
                <w:sz w:val="20"/>
                <w:szCs w:val="20"/>
                <w:lang w:val="en-US" w:eastAsia="zh-CN"/>
              </w:rPr>
              <w:t>021</w:t>
            </w:r>
            <w:r>
              <w:rPr>
                <w:rFonts w:hint="eastAsia" w:ascii="仿宋_GB2312" w:hAnsi="宋体" w:eastAsia="仿宋_GB2312" w:cs="宋体"/>
                <w:kern w:val="0"/>
                <w:sz w:val="20"/>
                <w:szCs w:val="20"/>
              </w:rPr>
              <w:t>年完工的新建楼堂馆所为评价内容。</w:t>
            </w:r>
          </w:p>
        </w:tc>
        <w:tc>
          <w:tcPr>
            <w:tcW w:w="637"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kern w:val="0"/>
                <w:sz w:val="24"/>
                <w:lang w:val="en-US" w:eastAsia="zh-CN"/>
              </w:rPr>
            </w:pPr>
            <w:r>
              <w:rPr>
                <w:rFonts w:hint="eastAsia" w:ascii="宋体" w:hAnsi="宋体" w:cs="宋体"/>
                <w:kern w:val="0"/>
                <w:sz w:val="24"/>
                <w:lang w:val="en-US" w:eastAsia="zh-CN"/>
              </w:rPr>
              <w:t>5</w:t>
            </w:r>
          </w:p>
        </w:tc>
      </w:tr>
      <w:tr>
        <w:tblPrEx>
          <w:tblCellMar>
            <w:top w:w="0" w:type="dxa"/>
            <w:left w:w="108" w:type="dxa"/>
            <w:bottom w:w="0" w:type="dxa"/>
            <w:right w:w="108" w:type="dxa"/>
          </w:tblCellMar>
        </w:tblPrEx>
        <w:trPr>
          <w:trHeight w:val="1562" w:hRule="atLeast"/>
          <w:jc w:val="center"/>
        </w:trPr>
        <w:tc>
          <w:tcPr>
            <w:tcW w:w="51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47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623"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预算管理</w:t>
            </w:r>
          </w:p>
        </w:tc>
        <w:tc>
          <w:tcPr>
            <w:tcW w:w="416"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hint="default"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40</w:t>
            </w:r>
          </w:p>
        </w:tc>
        <w:tc>
          <w:tcPr>
            <w:tcW w:w="1015"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公用经费控制率</w:t>
            </w:r>
          </w:p>
        </w:tc>
        <w:tc>
          <w:tcPr>
            <w:tcW w:w="416"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8</w:t>
            </w:r>
          </w:p>
        </w:tc>
        <w:tc>
          <w:tcPr>
            <w:tcW w:w="30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100%以下（含）计满分，每超出1%扣1分，扣完为止。</w:t>
            </w:r>
          </w:p>
        </w:tc>
        <w:tc>
          <w:tcPr>
            <w:tcW w:w="3489"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公用经费控制率=（实际支出公用经费总额/预算安排公用经费总额）×100%。</w:t>
            </w:r>
            <w:r>
              <w:rPr>
                <w:rFonts w:hint="eastAsia" w:ascii="仿宋_GB2312" w:hAnsi="宋体" w:eastAsia="仿宋_GB2312" w:cs="宋体"/>
                <w:kern w:val="0"/>
                <w:sz w:val="20"/>
                <w:szCs w:val="20"/>
              </w:rPr>
              <w:br w:type="textWrapping"/>
            </w:r>
            <w:r>
              <w:rPr>
                <w:rFonts w:hint="eastAsia" w:ascii="仿宋_GB2312" w:hAnsi="宋体" w:eastAsia="仿宋_GB2312" w:cs="宋体"/>
                <w:kern w:val="0"/>
                <w:sz w:val="20"/>
                <w:szCs w:val="20"/>
              </w:rPr>
              <w:t>公用经费支出是指部门基本支出中的一般商品和服务支出。</w:t>
            </w:r>
          </w:p>
        </w:tc>
        <w:tc>
          <w:tcPr>
            <w:tcW w:w="637"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lang w:val="en-US" w:eastAsia="zh-CN"/>
              </w:rPr>
              <w:t>0</w:t>
            </w:r>
            <w:r>
              <w:rPr>
                <w:rFonts w:hint="eastAsia" w:ascii="宋体" w:hAnsi="宋体" w:cs="宋体"/>
                <w:kern w:val="0"/>
                <w:sz w:val="24"/>
              </w:rPr>
              <w:t>　</w:t>
            </w:r>
          </w:p>
        </w:tc>
      </w:tr>
      <w:tr>
        <w:tblPrEx>
          <w:tblCellMar>
            <w:top w:w="0" w:type="dxa"/>
            <w:left w:w="108" w:type="dxa"/>
            <w:bottom w:w="0" w:type="dxa"/>
            <w:right w:w="108" w:type="dxa"/>
          </w:tblCellMar>
        </w:tblPrEx>
        <w:trPr>
          <w:trHeight w:val="1073" w:hRule="atLeast"/>
          <w:jc w:val="center"/>
        </w:trPr>
        <w:tc>
          <w:tcPr>
            <w:tcW w:w="51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47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623"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1015"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“三公经费”控制率</w:t>
            </w:r>
          </w:p>
        </w:tc>
        <w:tc>
          <w:tcPr>
            <w:tcW w:w="416" w:type="dxa"/>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0"/>
                <w:szCs w:val="20"/>
                <w:lang w:eastAsia="zh-CN"/>
              </w:rPr>
            </w:pPr>
            <w:r>
              <w:rPr>
                <w:rFonts w:hint="eastAsia" w:ascii="仿宋_GB2312" w:hAnsi="宋体" w:eastAsia="仿宋_GB2312" w:cs="宋体"/>
                <w:kern w:val="0"/>
                <w:sz w:val="20"/>
                <w:szCs w:val="20"/>
                <w:lang w:val="en-US" w:eastAsia="zh-CN"/>
              </w:rPr>
              <w:t>7</w:t>
            </w:r>
          </w:p>
        </w:tc>
        <w:tc>
          <w:tcPr>
            <w:tcW w:w="30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100%以下（含）计满分，每超出1%扣1分，扣完为止。</w:t>
            </w:r>
          </w:p>
        </w:tc>
        <w:tc>
          <w:tcPr>
            <w:tcW w:w="3489"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“三公经费”控制率-（“三公经费”实际支出数/“三公经费”预算安排数）×100%。</w:t>
            </w:r>
          </w:p>
        </w:tc>
        <w:tc>
          <w:tcPr>
            <w:tcW w:w="637"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lang w:val="en-US" w:eastAsia="zh-CN"/>
              </w:rPr>
              <w:t>7</w:t>
            </w:r>
            <w:r>
              <w:rPr>
                <w:rFonts w:hint="eastAsia" w:ascii="宋体" w:hAnsi="宋体" w:cs="宋体"/>
                <w:kern w:val="0"/>
                <w:sz w:val="24"/>
              </w:rPr>
              <w:t>　</w:t>
            </w:r>
          </w:p>
        </w:tc>
      </w:tr>
      <w:tr>
        <w:tblPrEx>
          <w:tblCellMar>
            <w:top w:w="0" w:type="dxa"/>
            <w:left w:w="108" w:type="dxa"/>
            <w:bottom w:w="0" w:type="dxa"/>
            <w:right w:w="108" w:type="dxa"/>
          </w:tblCellMar>
        </w:tblPrEx>
        <w:trPr>
          <w:trHeight w:val="918" w:hRule="atLeast"/>
          <w:jc w:val="center"/>
        </w:trPr>
        <w:tc>
          <w:tcPr>
            <w:tcW w:w="518"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47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623"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1015"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政府采购执行率</w:t>
            </w:r>
          </w:p>
        </w:tc>
        <w:tc>
          <w:tcPr>
            <w:tcW w:w="416"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6</w:t>
            </w:r>
          </w:p>
        </w:tc>
        <w:tc>
          <w:tcPr>
            <w:tcW w:w="30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100%计满分，每超过（降低）5%扣2分。扣完为止。</w:t>
            </w:r>
          </w:p>
        </w:tc>
        <w:tc>
          <w:tcPr>
            <w:tcW w:w="3489"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政府采购执行率=（实际政府采购金额/政府采购预算数）×100%</w:t>
            </w:r>
          </w:p>
        </w:tc>
        <w:tc>
          <w:tcPr>
            <w:tcW w:w="637"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lang w:val="en-US" w:eastAsia="zh-CN"/>
              </w:rPr>
              <w:t>6</w:t>
            </w:r>
            <w:r>
              <w:rPr>
                <w:rFonts w:hint="eastAsia" w:ascii="宋体" w:hAnsi="宋体" w:cs="宋体"/>
                <w:kern w:val="0"/>
                <w:sz w:val="24"/>
              </w:rPr>
              <w:t>　</w:t>
            </w:r>
          </w:p>
        </w:tc>
      </w:tr>
      <w:tr>
        <w:tblPrEx>
          <w:tblCellMar>
            <w:top w:w="0" w:type="dxa"/>
            <w:left w:w="108" w:type="dxa"/>
            <w:bottom w:w="0" w:type="dxa"/>
            <w:right w:w="108" w:type="dxa"/>
          </w:tblCellMar>
        </w:tblPrEx>
        <w:trPr>
          <w:jc w:val="center"/>
        </w:trPr>
        <w:tc>
          <w:tcPr>
            <w:tcW w:w="518" w:type="dxa"/>
            <w:vMerge w:val="restart"/>
            <w:tcBorders>
              <w:top w:val="single" w:color="auto" w:sz="4" w:space="0"/>
              <w:left w:val="single" w:color="auto" w:sz="4" w:space="0"/>
              <w:bottom w:val="single" w:color="000000" w:sz="4" w:space="0"/>
              <w:right w:val="single" w:color="auto" w:sz="4" w:space="0"/>
            </w:tcBorders>
            <w:noWrap w:val="0"/>
            <w:vAlign w:val="center"/>
          </w:tcPr>
          <w:p>
            <w:pPr>
              <w:jc w:val="left"/>
              <w:rPr>
                <w:rFonts w:ascii="仿宋_GB2312" w:hAnsi="宋体" w:eastAsia="仿宋_GB2312" w:cs="宋体"/>
                <w:kern w:val="0"/>
                <w:sz w:val="20"/>
                <w:szCs w:val="20"/>
              </w:rPr>
            </w:pPr>
            <w:r>
              <w:rPr>
                <w:rFonts w:hint="eastAsia" w:ascii="仿宋_GB2312" w:hAnsi="宋体" w:eastAsia="仿宋_GB2312" w:cs="宋体"/>
                <w:kern w:val="0"/>
                <w:sz w:val="20"/>
                <w:szCs w:val="20"/>
              </w:rPr>
              <w:t>过                                                                                                                                       程</w:t>
            </w:r>
          </w:p>
        </w:tc>
        <w:tc>
          <w:tcPr>
            <w:tcW w:w="470" w:type="dxa"/>
            <w:vMerge w:val="restart"/>
            <w:tcBorders>
              <w:top w:val="single" w:color="auto" w:sz="4" w:space="0"/>
              <w:left w:val="single" w:color="auto" w:sz="4" w:space="0"/>
              <w:bottom w:val="single" w:color="000000" w:sz="4" w:space="0"/>
              <w:right w:val="single" w:color="auto" w:sz="4" w:space="0"/>
            </w:tcBorders>
            <w:noWrap w:val="0"/>
            <w:vAlign w:val="center"/>
          </w:tcPr>
          <w:p>
            <w:pPr>
              <w:jc w:val="left"/>
              <w:rPr>
                <w:rFonts w:hint="eastAsia" w:ascii="仿宋_GB2312" w:hAnsi="宋体" w:eastAsia="仿宋_GB2312" w:cs="宋体"/>
                <w:kern w:val="0"/>
                <w:sz w:val="20"/>
                <w:szCs w:val="20"/>
                <w:lang w:eastAsia="zh-CN"/>
              </w:rPr>
            </w:pPr>
            <w:r>
              <w:rPr>
                <w:rFonts w:hint="eastAsia" w:ascii="仿宋_GB2312" w:hAnsi="宋体" w:eastAsia="仿宋_GB2312" w:cs="宋体"/>
                <w:kern w:val="0"/>
                <w:sz w:val="20"/>
                <w:szCs w:val="20"/>
              </w:rPr>
              <w:t>6</w:t>
            </w:r>
            <w:r>
              <w:rPr>
                <w:rFonts w:hint="eastAsia" w:ascii="仿宋_GB2312" w:hAnsi="宋体" w:eastAsia="仿宋_GB2312" w:cs="宋体"/>
                <w:kern w:val="0"/>
                <w:sz w:val="20"/>
                <w:szCs w:val="20"/>
                <w:lang w:val="en-US" w:eastAsia="zh-CN"/>
              </w:rPr>
              <w:t>0</w:t>
            </w:r>
          </w:p>
        </w:tc>
        <w:tc>
          <w:tcPr>
            <w:tcW w:w="623" w:type="dxa"/>
            <w:vMerge w:val="restart"/>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预算管理</w:t>
            </w: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1015"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管理制度健全性</w:t>
            </w:r>
          </w:p>
        </w:tc>
        <w:tc>
          <w:tcPr>
            <w:tcW w:w="416"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8</w:t>
            </w:r>
          </w:p>
        </w:tc>
        <w:tc>
          <w:tcPr>
            <w:tcW w:w="30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①有内部财务管理制度、会计核算制度等管理制度，2分；</w:t>
            </w:r>
            <w:r>
              <w:rPr>
                <w:rFonts w:hint="eastAsia" w:ascii="仿宋_GB2312" w:hAnsi="宋体" w:eastAsia="仿宋_GB2312" w:cs="宋体"/>
                <w:kern w:val="0"/>
                <w:sz w:val="20"/>
                <w:szCs w:val="20"/>
              </w:rPr>
              <w:br w:type="textWrapping"/>
            </w:r>
            <w:r>
              <w:rPr>
                <w:rFonts w:hint="eastAsia" w:ascii="仿宋_GB2312" w:hAnsi="宋体" w:eastAsia="仿宋_GB2312" w:cs="宋体"/>
                <w:kern w:val="0"/>
                <w:sz w:val="20"/>
                <w:szCs w:val="20"/>
              </w:rPr>
              <w:t>②有本部门厉行节约制度,2分；</w:t>
            </w:r>
            <w:r>
              <w:rPr>
                <w:rFonts w:hint="eastAsia" w:ascii="仿宋_GB2312" w:hAnsi="宋体" w:eastAsia="仿宋_GB2312" w:cs="宋体"/>
                <w:kern w:val="0"/>
                <w:sz w:val="20"/>
                <w:szCs w:val="20"/>
              </w:rPr>
              <w:br w:type="textWrapping"/>
            </w:r>
            <w:r>
              <w:rPr>
                <w:rFonts w:hint="eastAsia" w:ascii="仿宋_GB2312" w:hAnsi="宋体" w:eastAsia="仿宋_GB2312" w:cs="宋体"/>
                <w:kern w:val="0"/>
                <w:sz w:val="20"/>
                <w:szCs w:val="20"/>
              </w:rPr>
              <w:t>③相关管理制度合法、合规、完整，2分；④相关管理制度得到有效执行，2分。</w:t>
            </w:r>
          </w:p>
        </w:tc>
        <w:tc>
          <w:tcPr>
            <w:tcW w:w="3489"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637"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kern w:val="0"/>
                <w:sz w:val="24"/>
                <w:lang w:val="en-US" w:eastAsia="zh-CN"/>
              </w:rPr>
            </w:pPr>
            <w:r>
              <w:rPr>
                <w:rFonts w:hint="eastAsia" w:ascii="宋体" w:hAnsi="宋体" w:cs="宋体"/>
                <w:kern w:val="0"/>
                <w:sz w:val="24"/>
                <w:lang w:val="en-US" w:eastAsia="zh-CN"/>
              </w:rPr>
              <w:t>8</w:t>
            </w:r>
          </w:p>
        </w:tc>
      </w:tr>
      <w:tr>
        <w:trPr>
          <w:jc w:val="center"/>
        </w:trPr>
        <w:tc>
          <w:tcPr>
            <w:tcW w:w="51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47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623" w:type="dxa"/>
            <w:vMerge w:val="continue"/>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1015"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资金使用合规性</w:t>
            </w:r>
          </w:p>
        </w:tc>
        <w:tc>
          <w:tcPr>
            <w:tcW w:w="416"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6</w:t>
            </w:r>
          </w:p>
        </w:tc>
        <w:tc>
          <w:tcPr>
            <w:tcW w:w="30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①支出符合国家财经法规和财务管理制度规定以及有关专项资金管理办法的规定；②资金拨付有完整的审批程序和手续；③项目支出按规定经过评估论证；④支出符合部门预算批复的用途；⑤资金使用无截留、挤占、挪用、虚列支出等情况。</w:t>
            </w:r>
            <w:r>
              <w:rPr>
                <w:rFonts w:hint="eastAsia" w:ascii="仿宋_GB2312" w:hAnsi="宋体" w:eastAsia="仿宋_GB2312" w:cs="宋体"/>
                <w:kern w:val="0"/>
                <w:sz w:val="20"/>
                <w:szCs w:val="20"/>
              </w:rPr>
              <w:br w:type="textWrapping"/>
            </w:r>
            <w:r>
              <w:rPr>
                <w:rFonts w:hint="eastAsia" w:ascii="仿宋_GB2312" w:hAnsi="宋体" w:eastAsia="仿宋_GB2312" w:cs="宋体"/>
                <w:kern w:val="0"/>
                <w:sz w:val="20"/>
                <w:szCs w:val="20"/>
              </w:rPr>
              <w:t>以上情况每出现一例不符合要求的扣1分，扣完为止。</w:t>
            </w:r>
          </w:p>
        </w:tc>
        <w:tc>
          <w:tcPr>
            <w:tcW w:w="3489"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637"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kern w:val="0"/>
                <w:sz w:val="24"/>
                <w:lang w:val="en-US" w:eastAsia="zh-CN"/>
              </w:rPr>
            </w:pPr>
            <w:r>
              <w:rPr>
                <w:rFonts w:hint="eastAsia" w:ascii="宋体" w:hAnsi="宋体" w:cs="宋体"/>
                <w:kern w:val="0"/>
                <w:sz w:val="24"/>
                <w:lang w:val="en-US" w:eastAsia="zh-CN"/>
              </w:rPr>
              <w:t>6</w:t>
            </w:r>
          </w:p>
        </w:tc>
      </w:tr>
      <w:tr>
        <w:tblPrEx>
          <w:tblCellMar>
            <w:top w:w="0" w:type="dxa"/>
            <w:left w:w="108" w:type="dxa"/>
            <w:bottom w:w="0" w:type="dxa"/>
            <w:right w:w="108" w:type="dxa"/>
          </w:tblCellMar>
        </w:tblPrEx>
        <w:trPr>
          <w:jc w:val="center"/>
        </w:trPr>
        <w:tc>
          <w:tcPr>
            <w:tcW w:w="51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47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623" w:type="dxa"/>
            <w:vMerge w:val="continue"/>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1015"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预决算信息公开性</w:t>
            </w:r>
          </w:p>
        </w:tc>
        <w:tc>
          <w:tcPr>
            <w:tcW w:w="416"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5</w:t>
            </w:r>
          </w:p>
        </w:tc>
        <w:tc>
          <w:tcPr>
            <w:tcW w:w="30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 xml:space="preserve">①按规定内容公开预决算信息，1分；②按规定时限公开预决算信息，1分；③基础数据信息和会计信息资料真实，1分；④基础数据信息和会计信息资料完整，1分；⑤基础数据信息和汇集信息资料准确，1分。  </w:t>
            </w:r>
          </w:p>
        </w:tc>
        <w:tc>
          <w:tcPr>
            <w:tcW w:w="3489"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预决算信息是指与部门预算、执行、决算、监督、绩效等管理相关的信息。</w:t>
            </w:r>
          </w:p>
        </w:tc>
        <w:tc>
          <w:tcPr>
            <w:tcW w:w="637"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kern w:val="0"/>
                <w:sz w:val="24"/>
                <w:lang w:val="en-US" w:eastAsia="zh-CN"/>
              </w:rPr>
            </w:pPr>
            <w:r>
              <w:rPr>
                <w:rFonts w:hint="eastAsia" w:ascii="宋体" w:hAnsi="宋体" w:cs="宋体"/>
                <w:kern w:val="0"/>
                <w:sz w:val="24"/>
                <w:lang w:val="en-US" w:eastAsia="zh-CN"/>
              </w:rPr>
              <w:t>5</w:t>
            </w:r>
          </w:p>
        </w:tc>
      </w:tr>
      <w:tr>
        <w:tblPrEx>
          <w:tblCellMar>
            <w:top w:w="0" w:type="dxa"/>
            <w:left w:w="108" w:type="dxa"/>
            <w:bottom w:w="0" w:type="dxa"/>
            <w:right w:w="108" w:type="dxa"/>
          </w:tblCellMar>
        </w:tblPrEx>
        <w:trPr>
          <w:jc w:val="center"/>
        </w:trPr>
        <w:tc>
          <w:tcPr>
            <w:tcW w:w="518"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产出及效率</w:t>
            </w:r>
          </w:p>
        </w:tc>
        <w:tc>
          <w:tcPr>
            <w:tcW w:w="470"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hint="default"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30</w:t>
            </w:r>
          </w:p>
        </w:tc>
        <w:tc>
          <w:tcPr>
            <w:tcW w:w="623"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职责履行</w:t>
            </w:r>
          </w:p>
        </w:tc>
        <w:tc>
          <w:tcPr>
            <w:tcW w:w="416"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8</w:t>
            </w:r>
          </w:p>
        </w:tc>
        <w:tc>
          <w:tcPr>
            <w:tcW w:w="1015" w:type="dxa"/>
            <w:tcBorders>
              <w:top w:val="nil"/>
              <w:left w:val="nil"/>
              <w:bottom w:val="nil"/>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重点工作实际完成率</w:t>
            </w:r>
          </w:p>
        </w:tc>
        <w:tc>
          <w:tcPr>
            <w:tcW w:w="416"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8</w:t>
            </w:r>
          </w:p>
        </w:tc>
        <w:tc>
          <w:tcPr>
            <w:tcW w:w="30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根据绩效办20</w:t>
            </w:r>
            <w:r>
              <w:rPr>
                <w:rFonts w:hint="eastAsia" w:ascii="仿宋_GB2312" w:hAnsi="宋体" w:eastAsia="仿宋_GB2312" w:cs="宋体"/>
                <w:kern w:val="0"/>
                <w:sz w:val="20"/>
                <w:szCs w:val="20"/>
                <w:lang w:val="en-US" w:eastAsia="zh-CN"/>
              </w:rPr>
              <w:t>21</w:t>
            </w:r>
            <w:r>
              <w:rPr>
                <w:rFonts w:hint="eastAsia" w:ascii="仿宋_GB2312" w:hAnsi="宋体" w:eastAsia="仿宋_GB2312" w:cs="宋体"/>
                <w:kern w:val="0"/>
                <w:sz w:val="20"/>
                <w:szCs w:val="20"/>
              </w:rPr>
              <w:t>年对各部门为民办实事和部门重点工程与重点工作考核分数折算。</w:t>
            </w:r>
            <w:r>
              <w:rPr>
                <w:rFonts w:hint="eastAsia" w:ascii="仿宋_GB2312" w:hAnsi="宋体" w:eastAsia="仿宋_GB2312" w:cs="宋体"/>
                <w:kern w:val="0"/>
                <w:sz w:val="20"/>
                <w:szCs w:val="20"/>
              </w:rPr>
              <w:br w:type="textWrapping"/>
            </w:r>
            <w:r>
              <w:rPr>
                <w:rFonts w:hint="eastAsia" w:ascii="仿宋_GB2312" w:hAnsi="宋体" w:eastAsia="仿宋_GB2312" w:cs="宋体"/>
                <w:color w:val="FF0000"/>
                <w:kern w:val="0"/>
                <w:sz w:val="20"/>
                <w:szCs w:val="20"/>
              </w:rPr>
              <w:t>该项得分=（绩效办对应部分考核得分/</w:t>
            </w:r>
            <w:r>
              <w:rPr>
                <w:rFonts w:hint="eastAsia" w:ascii="仿宋_GB2312" w:hAnsi="宋体" w:eastAsia="仿宋_GB2312" w:cs="宋体"/>
                <w:color w:val="FF0000"/>
                <w:kern w:val="0"/>
                <w:sz w:val="20"/>
                <w:szCs w:val="20"/>
                <w:lang w:eastAsia="zh-CN"/>
              </w:rPr>
              <w:t>该部分总分</w:t>
            </w:r>
            <w:r>
              <w:rPr>
                <w:rFonts w:hint="eastAsia" w:ascii="仿宋_GB2312" w:hAnsi="宋体" w:eastAsia="仿宋_GB2312" w:cs="宋体"/>
                <w:color w:val="FF0000"/>
                <w:kern w:val="0"/>
                <w:sz w:val="20"/>
                <w:szCs w:val="20"/>
              </w:rPr>
              <w:t>）*8</w:t>
            </w:r>
          </w:p>
        </w:tc>
        <w:tc>
          <w:tcPr>
            <w:tcW w:w="3489"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637"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lang w:val="en-US" w:eastAsia="zh-CN"/>
              </w:rPr>
              <w:t>8</w:t>
            </w:r>
            <w:r>
              <w:rPr>
                <w:rFonts w:hint="eastAsia" w:ascii="宋体" w:hAnsi="宋体" w:cs="宋体"/>
                <w:kern w:val="0"/>
                <w:sz w:val="24"/>
              </w:rPr>
              <w:t>　</w:t>
            </w:r>
          </w:p>
        </w:tc>
      </w:tr>
      <w:tr>
        <w:tblPrEx>
          <w:tblCellMar>
            <w:top w:w="0" w:type="dxa"/>
            <w:left w:w="108" w:type="dxa"/>
            <w:bottom w:w="0" w:type="dxa"/>
            <w:right w:w="108" w:type="dxa"/>
          </w:tblCellMar>
        </w:tblPrEx>
        <w:trPr>
          <w:trHeight w:val="757" w:hRule="atLeast"/>
          <w:jc w:val="center"/>
        </w:trPr>
        <w:tc>
          <w:tcPr>
            <w:tcW w:w="51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47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623"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履职 效益</w:t>
            </w:r>
          </w:p>
        </w:tc>
        <w:tc>
          <w:tcPr>
            <w:tcW w:w="416"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hint="default"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10</w:t>
            </w:r>
          </w:p>
        </w:tc>
        <w:tc>
          <w:tcPr>
            <w:tcW w:w="1015" w:type="dxa"/>
            <w:tcBorders>
              <w:top w:val="single" w:color="auto" w:sz="4" w:space="0"/>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经济效益</w:t>
            </w:r>
          </w:p>
        </w:tc>
        <w:tc>
          <w:tcPr>
            <w:tcW w:w="416" w:type="dxa"/>
            <w:vMerge w:val="restart"/>
            <w:tcBorders>
              <w:top w:val="nil"/>
              <w:left w:val="single" w:color="auto" w:sz="4" w:space="0"/>
              <w:bottom w:val="nil"/>
              <w:right w:val="single" w:color="auto" w:sz="4" w:space="0"/>
            </w:tcBorders>
            <w:noWrap w:val="0"/>
            <w:vAlign w:val="center"/>
          </w:tcPr>
          <w:p>
            <w:pPr>
              <w:widowControl/>
              <w:jc w:val="center"/>
              <w:rPr>
                <w:rFonts w:hint="default"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10</w:t>
            </w:r>
          </w:p>
        </w:tc>
        <w:tc>
          <w:tcPr>
            <w:tcW w:w="6505" w:type="dxa"/>
            <w:gridSpan w:val="2"/>
            <w:vMerge w:val="restart"/>
            <w:tcBorders>
              <w:top w:val="single" w:color="auto" w:sz="4" w:space="0"/>
              <w:left w:val="single" w:color="auto" w:sz="4" w:space="0"/>
              <w:bottom w:val="nil"/>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此两项指标为设置部门整体支出绩效评价指标时必须考虑的共性要素，可根据部门实际情况有选择的进行设置，并将其细化为相应的个性化指标。</w:t>
            </w:r>
          </w:p>
        </w:tc>
        <w:tc>
          <w:tcPr>
            <w:tcW w:w="637"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宋体" w:hAnsi="宋体" w:cs="宋体" w:eastAsiaTheme="minorEastAsia"/>
                <w:kern w:val="0"/>
                <w:sz w:val="24"/>
                <w:lang w:val="en-US" w:eastAsia="zh-CN"/>
              </w:rPr>
            </w:pPr>
            <w:r>
              <w:rPr>
                <w:rFonts w:hint="eastAsia" w:ascii="宋体" w:hAnsi="宋体" w:cs="宋体"/>
                <w:kern w:val="0"/>
                <w:sz w:val="24"/>
                <w:lang w:val="en-US" w:eastAsia="zh-CN"/>
              </w:rPr>
              <w:t>5</w:t>
            </w:r>
          </w:p>
        </w:tc>
      </w:tr>
      <w:tr>
        <w:tblPrEx>
          <w:tblCellMar>
            <w:top w:w="0" w:type="dxa"/>
            <w:left w:w="108" w:type="dxa"/>
            <w:bottom w:w="0" w:type="dxa"/>
            <w:right w:w="108" w:type="dxa"/>
          </w:tblCellMar>
        </w:tblPrEx>
        <w:trPr>
          <w:trHeight w:val="803" w:hRule="atLeast"/>
          <w:jc w:val="center"/>
        </w:trPr>
        <w:tc>
          <w:tcPr>
            <w:tcW w:w="51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47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623"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1015"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社会效益</w:t>
            </w:r>
          </w:p>
        </w:tc>
        <w:tc>
          <w:tcPr>
            <w:tcW w:w="416" w:type="dxa"/>
            <w:vMerge w:val="continue"/>
            <w:tcBorders>
              <w:top w:val="nil"/>
              <w:left w:val="single" w:color="auto" w:sz="4" w:space="0"/>
              <w:bottom w:val="nil"/>
              <w:right w:val="single" w:color="auto" w:sz="4" w:space="0"/>
            </w:tcBorders>
            <w:noWrap w:val="0"/>
            <w:vAlign w:val="center"/>
          </w:tcPr>
          <w:p>
            <w:pPr>
              <w:widowControl/>
              <w:jc w:val="left"/>
              <w:rPr>
                <w:rFonts w:ascii="仿宋_GB2312" w:hAnsi="宋体" w:eastAsia="仿宋_GB2312" w:cs="宋体"/>
                <w:kern w:val="0"/>
                <w:sz w:val="20"/>
                <w:szCs w:val="20"/>
              </w:rPr>
            </w:pPr>
          </w:p>
        </w:tc>
        <w:tc>
          <w:tcPr>
            <w:tcW w:w="6505" w:type="dxa"/>
            <w:gridSpan w:val="2"/>
            <w:vMerge w:val="continue"/>
            <w:tcBorders>
              <w:top w:val="single" w:color="auto" w:sz="4" w:space="0"/>
              <w:left w:val="single" w:color="auto" w:sz="4" w:space="0"/>
              <w:bottom w:val="nil"/>
              <w:right w:val="single" w:color="auto" w:sz="4" w:space="0"/>
            </w:tcBorders>
            <w:noWrap w:val="0"/>
            <w:vAlign w:val="center"/>
          </w:tcPr>
          <w:p>
            <w:pPr>
              <w:widowControl/>
              <w:jc w:val="left"/>
              <w:rPr>
                <w:rFonts w:ascii="仿宋_GB2312" w:hAnsi="宋体" w:eastAsia="仿宋_GB2312" w:cs="宋体"/>
                <w:kern w:val="0"/>
                <w:sz w:val="20"/>
                <w:szCs w:val="20"/>
              </w:rPr>
            </w:pPr>
          </w:p>
        </w:tc>
        <w:tc>
          <w:tcPr>
            <w:tcW w:w="637"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eastAsiaTheme="minorEastAsia"/>
                <w:kern w:val="0"/>
                <w:sz w:val="24"/>
                <w:lang w:val="en-US" w:eastAsia="zh-CN"/>
              </w:rPr>
            </w:pPr>
            <w:r>
              <w:rPr>
                <w:rFonts w:hint="eastAsia" w:ascii="宋体" w:hAnsi="宋体" w:cs="宋体"/>
                <w:kern w:val="0"/>
                <w:sz w:val="24"/>
                <w:lang w:val="en-US" w:eastAsia="zh-CN"/>
              </w:rPr>
              <w:t>5</w:t>
            </w:r>
          </w:p>
        </w:tc>
      </w:tr>
      <w:tr>
        <w:tblPrEx>
          <w:tblCellMar>
            <w:top w:w="0" w:type="dxa"/>
            <w:left w:w="108" w:type="dxa"/>
            <w:bottom w:w="0" w:type="dxa"/>
            <w:right w:w="108" w:type="dxa"/>
          </w:tblCellMar>
        </w:tblPrEx>
        <w:trPr>
          <w:trHeight w:val="90" w:hRule="atLeast"/>
          <w:jc w:val="center"/>
        </w:trPr>
        <w:tc>
          <w:tcPr>
            <w:tcW w:w="51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47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623"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416"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12</w:t>
            </w:r>
          </w:p>
        </w:tc>
        <w:tc>
          <w:tcPr>
            <w:tcW w:w="1015"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行政效能</w:t>
            </w:r>
          </w:p>
        </w:tc>
        <w:tc>
          <w:tcPr>
            <w:tcW w:w="416" w:type="dxa"/>
            <w:tcBorders>
              <w:top w:val="single" w:color="auto" w:sz="4" w:space="0"/>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6</w:t>
            </w:r>
          </w:p>
        </w:tc>
        <w:tc>
          <w:tcPr>
            <w:tcW w:w="3016"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促进部门改进文风会风，加强经费及资产管理，推动网上办事，提高行政效率，降低行政成本效果较好的计6分；一般3分；无效果或者效果不明显0分。</w:t>
            </w:r>
          </w:p>
        </w:tc>
        <w:tc>
          <w:tcPr>
            <w:tcW w:w="3489"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根据部门自评材料评定。</w:t>
            </w:r>
          </w:p>
        </w:tc>
        <w:tc>
          <w:tcPr>
            <w:tcW w:w="637"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4"/>
                <w:lang w:val="en-US" w:eastAsia="zh-CN"/>
              </w:rPr>
            </w:pPr>
            <w:r>
              <w:rPr>
                <w:rFonts w:hint="eastAsia" w:ascii="宋体" w:hAnsi="宋体" w:cs="宋体"/>
                <w:kern w:val="0"/>
                <w:sz w:val="24"/>
                <w:lang w:val="en-US" w:eastAsia="zh-CN"/>
              </w:rPr>
              <w:t>6</w:t>
            </w:r>
          </w:p>
        </w:tc>
      </w:tr>
      <w:tr>
        <w:tblPrEx>
          <w:tblCellMar>
            <w:top w:w="0" w:type="dxa"/>
            <w:left w:w="108" w:type="dxa"/>
            <w:bottom w:w="0" w:type="dxa"/>
            <w:right w:w="108" w:type="dxa"/>
          </w:tblCellMar>
        </w:tblPrEx>
        <w:trPr>
          <w:jc w:val="center"/>
        </w:trPr>
        <w:tc>
          <w:tcPr>
            <w:tcW w:w="51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47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623"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_GB2312" w:hAnsi="宋体" w:eastAsia="仿宋_GB2312" w:cs="宋体"/>
                <w:kern w:val="0"/>
                <w:sz w:val="20"/>
                <w:szCs w:val="20"/>
              </w:rPr>
            </w:pPr>
          </w:p>
        </w:tc>
        <w:tc>
          <w:tcPr>
            <w:tcW w:w="1015"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社会公众或服务对象满意度</w:t>
            </w:r>
          </w:p>
        </w:tc>
        <w:tc>
          <w:tcPr>
            <w:tcW w:w="416"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6</w:t>
            </w:r>
          </w:p>
        </w:tc>
        <w:tc>
          <w:tcPr>
            <w:tcW w:w="30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90%（含）以上计6分；</w:t>
            </w:r>
            <w:r>
              <w:rPr>
                <w:rFonts w:hint="eastAsia" w:ascii="仿宋_GB2312" w:hAnsi="宋体" w:eastAsia="仿宋_GB2312" w:cs="宋体"/>
                <w:kern w:val="0"/>
                <w:sz w:val="20"/>
                <w:szCs w:val="20"/>
              </w:rPr>
              <w:br w:type="textWrapping"/>
            </w:r>
            <w:r>
              <w:rPr>
                <w:rFonts w:hint="eastAsia" w:ascii="仿宋_GB2312" w:hAnsi="宋体" w:eastAsia="仿宋_GB2312" w:cs="宋体"/>
                <w:kern w:val="0"/>
                <w:sz w:val="20"/>
                <w:szCs w:val="20"/>
              </w:rPr>
              <w:t>80%（含）-90%，计4分；</w:t>
            </w:r>
            <w:r>
              <w:rPr>
                <w:rFonts w:hint="eastAsia" w:ascii="仿宋_GB2312" w:hAnsi="宋体" w:eastAsia="仿宋_GB2312" w:cs="宋体"/>
                <w:kern w:val="0"/>
                <w:sz w:val="20"/>
                <w:szCs w:val="20"/>
              </w:rPr>
              <w:br w:type="textWrapping"/>
            </w:r>
            <w:r>
              <w:rPr>
                <w:rFonts w:hint="eastAsia" w:ascii="仿宋_GB2312" w:hAnsi="宋体" w:eastAsia="仿宋_GB2312" w:cs="宋体"/>
                <w:kern w:val="0"/>
                <w:sz w:val="20"/>
                <w:szCs w:val="20"/>
              </w:rPr>
              <w:t>70%（含）-80%，计2分；</w:t>
            </w:r>
            <w:r>
              <w:rPr>
                <w:rFonts w:hint="eastAsia" w:ascii="仿宋_GB2312" w:hAnsi="宋体" w:eastAsia="仿宋_GB2312" w:cs="宋体"/>
                <w:kern w:val="0"/>
                <w:sz w:val="20"/>
                <w:szCs w:val="20"/>
              </w:rPr>
              <w:br w:type="textWrapping"/>
            </w:r>
            <w:r>
              <w:rPr>
                <w:rFonts w:hint="eastAsia" w:ascii="仿宋_GB2312" w:hAnsi="宋体" w:eastAsia="仿宋_GB2312" w:cs="宋体"/>
                <w:kern w:val="0"/>
                <w:sz w:val="20"/>
                <w:szCs w:val="20"/>
              </w:rPr>
              <w:t>低于70%计0分。</w:t>
            </w:r>
          </w:p>
        </w:tc>
        <w:tc>
          <w:tcPr>
            <w:tcW w:w="3489"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社会公众或服务对象是指部门（单位）履行职责而影响到的部门、群体或个人，一般采取社会调查的方式。</w:t>
            </w:r>
          </w:p>
        </w:tc>
        <w:tc>
          <w:tcPr>
            <w:tcW w:w="637" w:type="dxa"/>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kern w:val="0"/>
                <w:sz w:val="24"/>
                <w:lang w:val="en-US" w:eastAsia="zh-CN"/>
              </w:rPr>
            </w:pPr>
            <w:r>
              <w:rPr>
                <w:rFonts w:hint="eastAsia" w:ascii="宋体" w:hAnsi="宋体" w:cs="宋体"/>
                <w:kern w:val="0"/>
                <w:sz w:val="24"/>
                <w:lang w:val="en-US" w:eastAsia="zh-CN"/>
              </w:rPr>
              <w:t>6</w:t>
            </w:r>
          </w:p>
        </w:tc>
      </w:tr>
    </w:tbl>
    <w:p>
      <w:pPr>
        <w:spacing w:line="560" w:lineRule="exact"/>
        <w:rPr>
          <w:rFonts w:ascii="黑体" w:eastAsia="黑体"/>
          <w:sz w:val="28"/>
          <w:szCs w:val="28"/>
        </w:rPr>
      </w:pPr>
    </w:p>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spacing w:after="120" w:afterLines="50" w:line="600" w:lineRule="exact"/>
        <w:rPr>
          <w:rFonts w:ascii="Times New Roman" w:hAnsi="Times New Roman" w:eastAsia="仿宋_GB2312" w:cs="Times New Roman"/>
          <w:sz w:val="24"/>
        </w:rPr>
      </w:pPr>
      <w:r>
        <w:rPr>
          <w:rFonts w:ascii="Times New Roman" w:hAnsi="Times New Roman" w:eastAsia="黑体" w:cs="Times New Roman"/>
          <w:sz w:val="32"/>
          <w:szCs w:val="32"/>
        </w:rPr>
        <w:t>附件</w:t>
      </w:r>
      <w:r>
        <w:rPr>
          <w:rFonts w:hint="eastAsia" w:ascii="Times New Roman" w:hAnsi="Times New Roman" w:eastAsia="黑体" w:cs="Times New Roman"/>
          <w:sz w:val="32"/>
          <w:szCs w:val="32"/>
          <w:lang w:val="en-US" w:eastAsia="zh-CN"/>
        </w:rPr>
        <w:t xml:space="preserve">2    </w:t>
      </w:r>
      <w:r>
        <w:rPr>
          <w:rFonts w:ascii="Times New Roman" w:hAnsi="Times New Roman" w:eastAsia="方正小标宋_GBK" w:cs="Times New Roman"/>
          <w:sz w:val="36"/>
          <w:szCs w:val="36"/>
        </w:rPr>
        <w:t>部门整体支出绩效评价基础数据表</w:t>
      </w:r>
    </w:p>
    <w:tbl>
      <w:tblPr>
        <w:tblStyle w:val="5"/>
        <w:tblW w:w="9673" w:type="dxa"/>
        <w:jc w:val="center"/>
        <w:tblLayout w:type="fixed"/>
        <w:tblCellMar>
          <w:top w:w="0" w:type="dxa"/>
          <w:left w:w="108" w:type="dxa"/>
          <w:bottom w:w="0" w:type="dxa"/>
          <w:right w:w="108" w:type="dxa"/>
        </w:tblCellMar>
      </w:tblPr>
      <w:tblGrid>
        <w:gridCol w:w="3354"/>
        <w:gridCol w:w="1189"/>
        <w:gridCol w:w="849"/>
        <w:gridCol w:w="1129"/>
        <w:gridCol w:w="1111"/>
        <w:gridCol w:w="1081"/>
        <w:gridCol w:w="960"/>
      </w:tblGrid>
      <w:tr>
        <w:tblPrEx>
          <w:tblCellMar>
            <w:top w:w="0" w:type="dxa"/>
            <w:left w:w="108" w:type="dxa"/>
            <w:bottom w:w="0" w:type="dxa"/>
            <w:right w:w="108" w:type="dxa"/>
          </w:tblCellMar>
        </w:tblPrEx>
        <w:trPr>
          <w:trHeight w:val="411" w:hRule="atLeast"/>
          <w:jc w:val="center"/>
        </w:trPr>
        <w:tc>
          <w:tcPr>
            <w:tcW w:w="335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财政供养人员情况（人）</w:t>
            </w:r>
          </w:p>
        </w:tc>
        <w:tc>
          <w:tcPr>
            <w:tcW w:w="2038"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cs="Times New Roman"/>
                <w:b/>
                <w:bCs/>
                <w:sz w:val="21"/>
                <w:szCs w:val="21"/>
              </w:rPr>
            </w:pPr>
            <w:r>
              <w:rPr>
                <w:rFonts w:ascii="Times New Roman" w:hAnsi="Times New Roman" w:eastAsia="仿宋_GB2312" w:cs="Times New Roman"/>
                <w:b/>
                <w:bCs/>
                <w:sz w:val="21"/>
                <w:szCs w:val="21"/>
              </w:rPr>
              <w:t>编制数</w:t>
            </w:r>
          </w:p>
        </w:tc>
        <w:tc>
          <w:tcPr>
            <w:tcW w:w="224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cs="Times New Roman"/>
                <w:b/>
                <w:bCs/>
                <w:sz w:val="21"/>
                <w:szCs w:val="21"/>
              </w:rPr>
            </w:pPr>
            <w:r>
              <w:rPr>
                <w:rFonts w:ascii="Times New Roman" w:hAnsi="Times New Roman" w:eastAsia="仿宋_GB2312" w:cs="Times New Roman"/>
                <w:b/>
                <w:bCs/>
                <w:sz w:val="21"/>
                <w:szCs w:val="21"/>
              </w:rPr>
              <w:t>20</w:t>
            </w:r>
            <w:r>
              <w:rPr>
                <w:rFonts w:hint="eastAsia" w:ascii="Times New Roman" w:hAnsi="Times New Roman" w:eastAsia="仿宋_GB2312" w:cs="Times New Roman"/>
                <w:b/>
                <w:bCs/>
                <w:sz w:val="21"/>
                <w:szCs w:val="21"/>
                <w:lang w:val="en-US" w:eastAsia="zh-CN"/>
              </w:rPr>
              <w:t>22</w:t>
            </w:r>
            <w:r>
              <w:rPr>
                <w:rFonts w:ascii="Times New Roman" w:hAnsi="Times New Roman" w:eastAsia="仿宋_GB2312" w:cs="Times New Roman"/>
                <w:b/>
                <w:bCs/>
                <w:sz w:val="21"/>
                <w:szCs w:val="21"/>
              </w:rPr>
              <w:t>年实际在职人数</w:t>
            </w:r>
          </w:p>
        </w:tc>
        <w:tc>
          <w:tcPr>
            <w:tcW w:w="2041"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cs="Times New Roman"/>
                <w:b/>
                <w:bCs/>
                <w:sz w:val="21"/>
                <w:szCs w:val="21"/>
              </w:rPr>
            </w:pPr>
            <w:r>
              <w:rPr>
                <w:rFonts w:ascii="Times New Roman" w:hAnsi="Times New Roman" w:eastAsia="仿宋_GB2312" w:cs="Times New Roman"/>
                <w:b/>
                <w:bCs/>
                <w:sz w:val="21"/>
                <w:szCs w:val="21"/>
              </w:rPr>
              <w:t>控制率</w:t>
            </w:r>
          </w:p>
        </w:tc>
      </w:tr>
      <w:tr>
        <w:tblPrEx>
          <w:tblCellMar>
            <w:top w:w="0" w:type="dxa"/>
            <w:left w:w="108" w:type="dxa"/>
            <w:bottom w:w="0" w:type="dxa"/>
            <w:right w:w="108" w:type="dxa"/>
          </w:tblCellMar>
        </w:tblPrEx>
        <w:trPr>
          <w:trHeight w:val="485" w:hRule="atLeast"/>
          <w:jc w:val="center"/>
        </w:trPr>
        <w:tc>
          <w:tcPr>
            <w:tcW w:w="33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s="Times New Roman"/>
                <w:sz w:val="21"/>
                <w:szCs w:val="21"/>
              </w:rPr>
            </w:pPr>
          </w:p>
        </w:tc>
        <w:tc>
          <w:tcPr>
            <w:tcW w:w="2038"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sz w:val="21"/>
                <w:szCs w:val="21"/>
                <w:lang w:val="en-US" w:eastAsia="zh-CN"/>
              </w:rPr>
            </w:pPr>
            <w:r>
              <w:rPr>
                <w:rFonts w:ascii="Times New Roman" w:hAnsi="Times New Roman" w:eastAsia="仿宋_GB2312" w:cs="Times New Roman"/>
                <w:sz w:val="21"/>
                <w:szCs w:val="21"/>
              </w:rPr>
              <w:t>　</w:t>
            </w:r>
            <w:r>
              <w:rPr>
                <w:rFonts w:hint="eastAsia" w:ascii="Times New Roman" w:hAnsi="Times New Roman" w:eastAsia="仿宋_GB2312" w:cs="Times New Roman"/>
                <w:sz w:val="21"/>
                <w:szCs w:val="21"/>
                <w:lang w:val="en-US" w:eastAsia="zh-CN"/>
              </w:rPr>
              <w:t>83</w:t>
            </w:r>
          </w:p>
        </w:tc>
        <w:tc>
          <w:tcPr>
            <w:tcW w:w="224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95</w:t>
            </w:r>
            <w:r>
              <w:rPr>
                <w:rFonts w:ascii="Times New Roman" w:hAnsi="Times New Roman" w:eastAsia="仿宋_GB2312" w:cs="Times New Roman"/>
                <w:sz w:val="21"/>
                <w:szCs w:val="21"/>
              </w:rPr>
              <w:t>　</w:t>
            </w:r>
          </w:p>
        </w:tc>
        <w:tc>
          <w:tcPr>
            <w:tcW w:w="2041"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sz w:val="21"/>
                <w:szCs w:val="21"/>
                <w:lang w:val="en-US" w:eastAsia="zh-CN"/>
              </w:rPr>
            </w:pPr>
            <w:r>
              <w:rPr>
                <w:rFonts w:ascii="Times New Roman" w:hAnsi="Times New Roman" w:eastAsia="仿宋_GB2312" w:cs="Times New Roman"/>
                <w:sz w:val="21"/>
                <w:szCs w:val="21"/>
              </w:rPr>
              <w:t>　</w:t>
            </w:r>
            <w:r>
              <w:rPr>
                <w:rFonts w:hint="eastAsia" w:ascii="Times New Roman" w:hAnsi="Times New Roman" w:eastAsia="仿宋_GB2312" w:cs="Times New Roman"/>
                <w:sz w:val="21"/>
                <w:szCs w:val="21"/>
                <w:lang w:val="en-US" w:eastAsia="zh-CN"/>
              </w:rPr>
              <w:t>114%</w:t>
            </w:r>
          </w:p>
        </w:tc>
      </w:tr>
      <w:tr>
        <w:tblPrEx>
          <w:tblCellMar>
            <w:top w:w="0" w:type="dxa"/>
            <w:left w:w="108" w:type="dxa"/>
            <w:bottom w:w="0" w:type="dxa"/>
            <w:right w:w="108" w:type="dxa"/>
          </w:tblCellMar>
        </w:tblPrEx>
        <w:trPr>
          <w:trHeight w:val="397"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经费控制情况（万元）</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b/>
                <w:bCs/>
                <w:sz w:val="21"/>
                <w:szCs w:val="21"/>
              </w:rPr>
            </w:pPr>
            <w:r>
              <w:rPr>
                <w:rFonts w:ascii="Times New Roman" w:hAnsi="Times New Roman" w:eastAsia="仿宋_GB2312" w:cs="Times New Roman"/>
                <w:b/>
                <w:bCs/>
                <w:sz w:val="21"/>
                <w:szCs w:val="21"/>
              </w:rPr>
              <w:t>20</w:t>
            </w:r>
            <w:r>
              <w:rPr>
                <w:rFonts w:hint="eastAsia" w:ascii="Times New Roman" w:hAnsi="Times New Roman" w:eastAsia="仿宋_GB2312" w:cs="Times New Roman"/>
                <w:b/>
                <w:bCs/>
                <w:sz w:val="21"/>
                <w:szCs w:val="21"/>
                <w:lang w:val="en-US" w:eastAsia="zh-CN"/>
              </w:rPr>
              <w:t>21</w:t>
            </w:r>
            <w:r>
              <w:rPr>
                <w:rFonts w:ascii="Times New Roman" w:hAnsi="Times New Roman" w:eastAsia="仿宋_GB2312" w:cs="Times New Roman"/>
                <w:b/>
                <w:bCs/>
                <w:sz w:val="21"/>
                <w:szCs w:val="21"/>
              </w:rPr>
              <w:t>年决算数</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b/>
                <w:bCs/>
                <w:sz w:val="21"/>
                <w:szCs w:val="21"/>
              </w:rPr>
            </w:pPr>
            <w:r>
              <w:rPr>
                <w:rFonts w:ascii="Times New Roman" w:hAnsi="Times New Roman" w:eastAsia="仿宋_GB2312" w:cs="Times New Roman"/>
                <w:b/>
                <w:bCs/>
                <w:sz w:val="21"/>
                <w:szCs w:val="21"/>
              </w:rPr>
              <w:t>20</w:t>
            </w:r>
            <w:r>
              <w:rPr>
                <w:rFonts w:hint="eastAsia" w:ascii="Times New Roman" w:hAnsi="Times New Roman" w:eastAsia="仿宋_GB2312" w:cs="Times New Roman"/>
                <w:b/>
                <w:bCs/>
                <w:sz w:val="21"/>
                <w:szCs w:val="21"/>
                <w:lang w:val="en-US" w:eastAsia="zh-CN"/>
              </w:rPr>
              <w:t>22</w:t>
            </w:r>
            <w:r>
              <w:rPr>
                <w:rFonts w:ascii="Times New Roman" w:hAnsi="Times New Roman" w:eastAsia="仿宋_GB2312" w:cs="Times New Roman"/>
                <w:b/>
                <w:bCs/>
                <w:sz w:val="21"/>
                <w:szCs w:val="21"/>
              </w:rPr>
              <w:t>年预算数</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b/>
                <w:bCs/>
                <w:sz w:val="21"/>
                <w:szCs w:val="21"/>
              </w:rPr>
            </w:pPr>
            <w:r>
              <w:rPr>
                <w:rFonts w:ascii="Times New Roman" w:hAnsi="Times New Roman" w:eastAsia="仿宋_GB2312" w:cs="Times New Roman"/>
                <w:b/>
                <w:bCs/>
                <w:sz w:val="21"/>
                <w:szCs w:val="21"/>
              </w:rPr>
              <w:t>20</w:t>
            </w:r>
            <w:r>
              <w:rPr>
                <w:rFonts w:hint="eastAsia" w:ascii="Times New Roman" w:hAnsi="Times New Roman" w:eastAsia="仿宋_GB2312" w:cs="Times New Roman"/>
                <w:b/>
                <w:bCs/>
                <w:sz w:val="21"/>
                <w:szCs w:val="21"/>
                <w:lang w:val="en-US" w:eastAsia="zh-CN"/>
              </w:rPr>
              <w:t>22</w:t>
            </w:r>
            <w:r>
              <w:rPr>
                <w:rFonts w:ascii="Times New Roman" w:hAnsi="Times New Roman" w:eastAsia="仿宋_GB2312" w:cs="Times New Roman"/>
                <w:b/>
                <w:bCs/>
                <w:sz w:val="21"/>
                <w:szCs w:val="21"/>
              </w:rPr>
              <w:t>年决算数</w:t>
            </w:r>
          </w:p>
        </w:tc>
      </w:tr>
      <w:tr>
        <w:tblPrEx>
          <w:tblCellMar>
            <w:top w:w="0" w:type="dxa"/>
            <w:left w:w="108" w:type="dxa"/>
            <w:bottom w:w="0" w:type="dxa"/>
            <w:right w:w="108" w:type="dxa"/>
          </w:tblCellMar>
        </w:tblPrEx>
        <w:trPr>
          <w:trHeight w:val="397"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s="Times New Roman"/>
                <w:sz w:val="21"/>
                <w:szCs w:val="21"/>
              </w:rPr>
            </w:pPr>
            <w:r>
              <w:rPr>
                <w:rFonts w:ascii="Times New Roman" w:hAnsi="Times New Roman" w:eastAsia="仿宋_GB2312" w:cs="Times New Roman"/>
                <w:sz w:val="21"/>
                <w:szCs w:val="21"/>
              </w:rPr>
              <w:t>三公经费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23.84</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30</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eastAsia="zh-CN"/>
              </w:rPr>
              <w:t>10</w:t>
            </w:r>
          </w:p>
        </w:tc>
      </w:tr>
      <w:tr>
        <w:tblPrEx>
          <w:tblCellMar>
            <w:top w:w="0" w:type="dxa"/>
            <w:left w:w="108" w:type="dxa"/>
            <w:bottom w:w="0" w:type="dxa"/>
            <w:right w:w="108" w:type="dxa"/>
          </w:tblCellMar>
        </w:tblPrEx>
        <w:trPr>
          <w:trHeight w:val="573"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s="Times New Roman"/>
                <w:sz w:val="21"/>
                <w:szCs w:val="21"/>
              </w:rPr>
            </w:pPr>
            <w:r>
              <w:rPr>
                <w:rFonts w:ascii="Times New Roman" w:hAnsi="Times New Roman" w:eastAsia="仿宋_GB2312" w:cs="Times New Roman"/>
                <w:sz w:val="21"/>
                <w:szCs w:val="21"/>
              </w:rPr>
              <w:t xml:space="preserve">   1、公务用车购置和维护经费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16.72</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15</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8.4</w:t>
            </w:r>
            <w:r>
              <w:rPr>
                <w:rFonts w:hint="default" w:ascii="Times New Roman" w:hAnsi="Times New Roman" w:eastAsia="仿宋_GB2312" w:cs="Times New Roman"/>
                <w:sz w:val="21"/>
                <w:szCs w:val="21"/>
                <w:lang w:eastAsia="zh-CN"/>
              </w:rPr>
              <w:t>3</w:t>
            </w:r>
          </w:p>
        </w:tc>
      </w:tr>
      <w:tr>
        <w:tblPrEx>
          <w:tblCellMar>
            <w:top w:w="0" w:type="dxa"/>
            <w:left w:w="108" w:type="dxa"/>
            <w:bottom w:w="0" w:type="dxa"/>
            <w:right w:w="108" w:type="dxa"/>
          </w:tblCellMar>
        </w:tblPrEx>
        <w:trPr>
          <w:trHeight w:val="397"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s="Times New Roman"/>
                <w:sz w:val="21"/>
                <w:szCs w:val="21"/>
              </w:rPr>
            </w:pPr>
            <w:r>
              <w:rPr>
                <w:rFonts w:ascii="Times New Roman" w:hAnsi="Times New Roman" w:eastAsia="仿宋_GB2312" w:cs="Times New Roman"/>
                <w:sz w:val="21"/>
                <w:szCs w:val="21"/>
              </w:rPr>
              <w:t xml:space="preserve">       其中：公车购置</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sz w:val="21"/>
                <w:szCs w:val="21"/>
              </w:rPr>
            </w:pP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sz w:val="21"/>
                <w:szCs w:val="21"/>
              </w:rPr>
            </w:pP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sz w:val="21"/>
                <w:szCs w:val="21"/>
              </w:rPr>
            </w:pPr>
          </w:p>
        </w:tc>
      </w:tr>
      <w:tr>
        <w:tblPrEx>
          <w:tblCellMar>
            <w:top w:w="0" w:type="dxa"/>
            <w:left w:w="108" w:type="dxa"/>
            <w:bottom w:w="0" w:type="dxa"/>
            <w:right w:w="108" w:type="dxa"/>
          </w:tblCellMar>
        </w:tblPrEx>
        <w:trPr>
          <w:trHeight w:val="397"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s="Times New Roman"/>
                <w:sz w:val="21"/>
                <w:szCs w:val="21"/>
              </w:rPr>
            </w:pPr>
            <w:r>
              <w:rPr>
                <w:rFonts w:ascii="Times New Roman" w:hAnsi="Times New Roman" w:eastAsia="仿宋_GB2312" w:cs="Times New Roman"/>
                <w:sz w:val="21"/>
                <w:szCs w:val="21"/>
              </w:rPr>
              <w:t xml:space="preserve">         公车运行维护</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16.72</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15</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8.4</w:t>
            </w:r>
            <w:r>
              <w:rPr>
                <w:rFonts w:hint="default" w:ascii="Times New Roman" w:hAnsi="Times New Roman" w:eastAsia="仿宋_GB2312" w:cs="Times New Roman"/>
                <w:sz w:val="21"/>
                <w:szCs w:val="21"/>
                <w:lang w:eastAsia="zh-CN"/>
              </w:rPr>
              <w:t>3</w:t>
            </w:r>
          </w:p>
        </w:tc>
      </w:tr>
      <w:tr>
        <w:tblPrEx>
          <w:tblCellMar>
            <w:top w:w="0" w:type="dxa"/>
            <w:left w:w="108" w:type="dxa"/>
            <w:bottom w:w="0" w:type="dxa"/>
            <w:right w:w="108" w:type="dxa"/>
          </w:tblCellMar>
        </w:tblPrEx>
        <w:trPr>
          <w:trHeight w:val="397"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s="Times New Roman"/>
                <w:sz w:val="21"/>
                <w:szCs w:val="21"/>
              </w:rPr>
            </w:pPr>
            <w:r>
              <w:rPr>
                <w:rFonts w:ascii="Times New Roman" w:hAnsi="Times New Roman" w:eastAsia="仿宋_GB2312" w:cs="Times New Roman"/>
                <w:sz w:val="21"/>
                <w:szCs w:val="21"/>
              </w:rPr>
              <w:t xml:space="preserve">   2、出国经费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sz w:val="21"/>
                <w:szCs w:val="21"/>
              </w:rPr>
            </w:pP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sz w:val="21"/>
                <w:szCs w:val="21"/>
              </w:rPr>
            </w:pP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sz w:val="21"/>
                <w:szCs w:val="21"/>
              </w:rPr>
            </w:pPr>
          </w:p>
        </w:tc>
      </w:tr>
      <w:tr>
        <w:tblPrEx>
          <w:tblCellMar>
            <w:top w:w="0" w:type="dxa"/>
            <w:left w:w="108" w:type="dxa"/>
            <w:bottom w:w="0" w:type="dxa"/>
            <w:right w:w="108" w:type="dxa"/>
          </w:tblCellMar>
        </w:tblPrEx>
        <w:trPr>
          <w:trHeight w:val="397"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s="Times New Roman"/>
                <w:sz w:val="21"/>
                <w:szCs w:val="21"/>
              </w:rPr>
            </w:pPr>
            <w:r>
              <w:rPr>
                <w:rFonts w:ascii="Times New Roman" w:hAnsi="Times New Roman" w:eastAsia="仿宋_GB2312" w:cs="Times New Roman"/>
                <w:sz w:val="21"/>
                <w:szCs w:val="21"/>
              </w:rPr>
              <w:t xml:space="preserve">   3、公务接待</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7.12</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15</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1.57</w:t>
            </w:r>
          </w:p>
        </w:tc>
      </w:tr>
      <w:tr>
        <w:tblPrEx>
          <w:tblCellMar>
            <w:top w:w="0" w:type="dxa"/>
            <w:left w:w="108" w:type="dxa"/>
            <w:bottom w:w="0" w:type="dxa"/>
            <w:right w:w="108" w:type="dxa"/>
          </w:tblCellMar>
        </w:tblPrEx>
        <w:trPr>
          <w:trHeight w:val="397"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s="Times New Roman"/>
                <w:sz w:val="21"/>
                <w:szCs w:val="21"/>
              </w:rPr>
            </w:pPr>
            <w:r>
              <w:rPr>
                <w:rFonts w:ascii="Times New Roman" w:hAnsi="Times New Roman" w:eastAsia="仿宋_GB2312" w:cs="Times New Roman"/>
                <w:sz w:val="21"/>
                <w:szCs w:val="21"/>
              </w:rPr>
              <w:t>项目支出：</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sz w:val="21"/>
                <w:szCs w:val="21"/>
              </w:rPr>
            </w:pP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28.6</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28.6</w:t>
            </w:r>
          </w:p>
        </w:tc>
      </w:tr>
      <w:tr>
        <w:tblPrEx>
          <w:tblCellMar>
            <w:top w:w="0" w:type="dxa"/>
            <w:left w:w="108" w:type="dxa"/>
            <w:bottom w:w="0" w:type="dxa"/>
            <w:right w:w="108" w:type="dxa"/>
          </w:tblCellMar>
        </w:tblPrEx>
        <w:trPr>
          <w:trHeight w:val="397"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s="Times New Roman"/>
                <w:sz w:val="21"/>
                <w:szCs w:val="21"/>
              </w:rPr>
            </w:pPr>
            <w:r>
              <w:rPr>
                <w:rFonts w:ascii="Times New Roman" w:hAnsi="Times New Roman" w:eastAsia="仿宋_GB2312" w:cs="Times New Roman"/>
                <w:sz w:val="21"/>
                <w:szCs w:val="21"/>
              </w:rPr>
              <w:t xml:space="preserve">    1、业务工作经费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sz w:val="21"/>
                <w:szCs w:val="21"/>
              </w:rPr>
            </w:pP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sz w:val="21"/>
                <w:szCs w:val="21"/>
              </w:rPr>
            </w:pP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sz w:val="21"/>
                <w:szCs w:val="21"/>
              </w:rPr>
            </w:pPr>
          </w:p>
        </w:tc>
      </w:tr>
      <w:tr>
        <w:tblPrEx>
          <w:tblCellMar>
            <w:top w:w="0" w:type="dxa"/>
            <w:left w:w="108" w:type="dxa"/>
            <w:bottom w:w="0" w:type="dxa"/>
            <w:right w:w="108" w:type="dxa"/>
          </w:tblCellMar>
        </w:tblPrEx>
        <w:trPr>
          <w:trHeight w:val="397"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s="Times New Roman"/>
                <w:sz w:val="21"/>
                <w:szCs w:val="21"/>
              </w:rPr>
            </w:pPr>
            <w:r>
              <w:rPr>
                <w:rFonts w:ascii="Times New Roman" w:hAnsi="Times New Roman" w:eastAsia="仿宋_GB2312" w:cs="Times New Roman"/>
                <w:sz w:val="21"/>
                <w:szCs w:val="21"/>
              </w:rPr>
              <w:t xml:space="preserve">    2、运行维护经费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　</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　</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　</w:t>
            </w:r>
          </w:p>
        </w:tc>
      </w:tr>
      <w:tr>
        <w:tblPrEx>
          <w:tblCellMar>
            <w:top w:w="0" w:type="dxa"/>
            <w:left w:w="108" w:type="dxa"/>
            <w:bottom w:w="0" w:type="dxa"/>
            <w:right w:w="108" w:type="dxa"/>
          </w:tblCellMar>
        </w:tblPrEx>
        <w:trPr>
          <w:trHeight w:val="397"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3、</w:t>
            </w:r>
            <w:r>
              <w:rPr>
                <w:rFonts w:hint="eastAsia" w:ascii="Times New Roman" w:hAnsi="Times New Roman" w:eastAsia="仿宋_GB2312" w:cs="Times New Roman"/>
                <w:sz w:val="21"/>
                <w:szCs w:val="21"/>
              </w:rPr>
              <w:t>污水处理厂征地补偿</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sz w:val="21"/>
                <w:szCs w:val="21"/>
              </w:rPr>
            </w:pP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6.27</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6.27</w:t>
            </w:r>
          </w:p>
        </w:tc>
      </w:tr>
      <w:tr>
        <w:tblPrEx>
          <w:tblCellMar>
            <w:top w:w="0" w:type="dxa"/>
            <w:left w:w="108" w:type="dxa"/>
            <w:bottom w:w="0" w:type="dxa"/>
            <w:right w:w="108" w:type="dxa"/>
          </w:tblCellMar>
        </w:tblPrEx>
        <w:trPr>
          <w:trHeight w:val="397"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4、农贸市场电力改造项目</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sz w:val="21"/>
                <w:szCs w:val="21"/>
              </w:rPr>
            </w:pP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10</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10</w:t>
            </w:r>
          </w:p>
        </w:tc>
      </w:tr>
      <w:tr>
        <w:tblPrEx>
          <w:tblCellMar>
            <w:top w:w="0" w:type="dxa"/>
            <w:left w:w="108" w:type="dxa"/>
            <w:bottom w:w="0" w:type="dxa"/>
            <w:right w:w="108" w:type="dxa"/>
          </w:tblCellMar>
        </w:tblPrEx>
        <w:trPr>
          <w:trHeight w:val="397"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5、公租房工程款</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sz w:val="21"/>
                <w:szCs w:val="21"/>
              </w:rPr>
            </w:pP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12.33</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12.33</w:t>
            </w:r>
          </w:p>
        </w:tc>
      </w:tr>
      <w:tr>
        <w:tblPrEx>
          <w:tblCellMar>
            <w:top w:w="0" w:type="dxa"/>
            <w:left w:w="108" w:type="dxa"/>
            <w:bottom w:w="0" w:type="dxa"/>
            <w:right w:w="108" w:type="dxa"/>
          </w:tblCellMar>
        </w:tblPrEx>
        <w:trPr>
          <w:trHeight w:val="397"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s="Times New Roman"/>
                <w:sz w:val="21"/>
                <w:szCs w:val="21"/>
              </w:rPr>
            </w:pPr>
            <w:r>
              <w:rPr>
                <w:rFonts w:ascii="Times New Roman" w:hAnsi="Times New Roman" w:eastAsia="仿宋_GB2312" w:cs="Times New Roman"/>
                <w:sz w:val="21"/>
                <w:szCs w:val="21"/>
              </w:rPr>
              <w:t>3、专项资金（一个专项一行）</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　</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　</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　</w:t>
            </w:r>
          </w:p>
        </w:tc>
      </w:tr>
      <w:tr>
        <w:tblPrEx>
          <w:tblCellMar>
            <w:top w:w="0" w:type="dxa"/>
            <w:left w:w="108" w:type="dxa"/>
            <w:bottom w:w="0" w:type="dxa"/>
            <w:right w:w="108" w:type="dxa"/>
          </w:tblCellMar>
        </w:tblPrEx>
        <w:trPr>
          <w:trHeight w:val="397"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sz w:val="21"/>
                <w:szCs w:val="21"/>
              </w:rPr>
            </w:pP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sz w:val="21"/>
                <w:szCs w:val="21"/>
              </w:rPr>
            </w:pP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sz w:val="21"/>
                <w:szCs w:val="21"/>
              </w:rPr>
            </w:pPr>
          </w:p>
        </w:tc>
      </w:tr>
      <w:tr>
        <w:tblPrEx>
          <w:tblCellMar>
            <w:top w:w="0" w:type="dxa"/>
            <w:left w:w="108" w:type="dxa"/>
            <w:bottom w:w="0" w:type="dxa"/>
            <w:right w:w="108" w:type="dxa"/>
          </w:tblCellMar>
        </w:tblPrEx>
        <w:trPr>
          <w:trHeight w:val="397"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s="Times New Roman"/>
                <w:sz w:val="21"/>
                <w:szCs w:val="21"/>
              </w:rPr>
            </w:pPr>
            <w:r>
              <w:rPr>
                <w:rFonts w:ascii="Times New Roman" w:hAnsi="Times New Roman" w:eastAsia="仿宋_GB2312" w:cs="Times New Roman"/>
                <w:sz w:val="21"/>
                <w:szCs w:val="21"/>
              </w:rPr>
              <w:t>公用经费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423.31</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sz w:val="21"/>
                <w:szCs w:val="21"/>
                <w:lang w:val="en-US"/>
              </w:rPr>
            </w:pPr>
            <w:r>
              <w:rPr>
                <w:rFonts w:hint="eastAsia" w:ascii="Times New Roman" w:hAnsi="Times New Roman" w:eastAsia="仿宋_GB2312" w:cs="Times New Roman"/>
                <w:sz w:val="21"/>
                <w:szCs w:val="21"/>
                <w:lang w:val="en-US" w:eastAsia="zh-CN"/>
              </w:rPr>
              <w:t>184</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sz w:val="21"/>
                <w:szCs w:val="21"/>
                <w:lang w:val="en-US"/>
              </w:rPr>
            </w:pPr>
            <w:r>
              <w:rPr>
                <w:rFonts w:hint="eastAsia" w:ascii="Times New Roman" w:hAnsi="Times New Roman" w:eastAsia="仿宋_GB2312" w:cs="Times New Roman"/>
                <w:sz w:val="21"/>
                <w:szCs w:val="21"/>
                <w:lang w:val="en-US" w:eastAsia="zh-CN"/>
              </w:rPr>
              <w:t>259.56</w:t>
            </w:r>
          </w:p>
        </w:tc>
      </w:tr>
      <w:tr>
        <w:tblPrEx>
          <w:tblCellMar>
            <w:top w:w="0" w:type="dxa"/>
            <w:left w:w="108" w:type="dxa"/>
            <w:bottom w:w="0" w:type="dxa"/>
            <w:right w:w="108" w:type="dxa"/>
          </w:tblCellMar>
        </w:tblPrEx>
        <w:trPr>
          <w:trHeight w:val="397"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s="Times New Roman"/>
                <w:sz w:val="21"/>
                <w:szCs w:val="21"/>
              </w:rPr>
            </w:pPr>
            <w:r>
              <w:rPr>
                <w:rFonts w:ascii="Times New Roman" w:hAnsi="Times New Roman" w:eastAsia="仿宋_GB2312" w:cs="Times New Roman"/>
                <w:sz w:val="21"/>
                <w:szCs w:val="21"/>
              </w:rPr>
              <w:t xml:space="preserve">    其中：办公经费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color w:val="auto"/>
                <w:sz w:val="21"/>
                <w:szCs w:val="21"/>
                <w:lang w:val="en-US" w:eastAsia="zh-CN"/>
              </w:rPr>
            </w:pPr>
            <w:r>
              <w:rPr>
                <w:rFonts w:hint="eastAsia" w:ascii="Times New Roman" w:hAnsi="Times New Roman" w:eastAsia="仿宋_GB2312" w:cs="Times New Roman"/>
                <w:color w:val="auto"/>
                <w:sz w:val="21"/>
                <w:szCs w:val="21"/>
                <w:lang w:val="en-US" w:eastAsia="zh-CN"/>
              </w:rPr>
              <w:t>88.88</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color w:val="auto"/>
                <w:sz w:val="21"/>
                <w:szCs w:val="21"/>
                <w:lang w:val="en-US" w:eastAsia="zh-CN"/>
              </w:rPr>
            </w:pPr>
            <w:r>
              <w:rPr>
                <w:rFonts w:hint="eastAsia" w:ascii="Times New Roman" w:hAnsi="Times New Roman" w:eastAsia="仿宋_GB2312" w:cs="Times New Roman"/>
                <w:color w:val="auto"/>
                <w:sz w:val="21"/>
                <w:szCs w:val="21"/>
                <w:lang w:val="en-US" w:eastAsia="zh-CN"/>
              </w:rPr>
              <w:t>98</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color w:val="auto"/>
                <w:sz w:val="21"/>
                <w:szCs w:val="21"/>
                <w:lang w:val="en-US" w:eastAsia="zh-CN"/>
              </w:rPr>
            </w:pPr>
            <w:r>
              <w:rPr>
                <w:rFonts w:hint="eastAsia" w:ascii="Times New Roman" w:hAnsi="Times New Roman" w:eastAsia="仿宋_GB2312" w:cs="Times New Roman"/>
                <w:color w:val="auto"/>
                <w:sz w:val="21"/>
                <w:szCs w:val="21"/>
                <w:lang w:val="en-US" w:eastAsia="zh-CN"/>
              </w:rPr>
              <w:t>97.67</w:t>
            </w:r>
          </w:p>
        </w:tc>
      </w:tr>
      <w:tr>
        <w:tblPrEx>
          <w:tblCellMar>
            <w:top w:w="0" w:type="dxa"/>
            <w:left w:w="108" w:type="dxa"/>
            <w:bottom w:w="0" w:type="dxa"/>
            <w:right w:w="108" w:type="dxa"/>
          </w:tblCellMar>
        </w:tblPrEx>
        <w:trPr>
          <w:trHeight w:val="397"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s="Times New Roman"/>
                <w:sz w:val="21"/>
                <w:szCs w:val="21"/>
              </w:rPr>
            </w:pPr>
            <w:r>
              <w:rPr>
                <w:rFonts w:ascii="Times New Roman" w:hAnsi="Times New Roman" w:eastAsia="仿宋_GB2312" w:cs="Times New Roman"/>
                <w:sz w:val="21"/>
                <w:szCs w:val="21"/>
              </w:rPr>
              <w:t xml:space="preserve">    水费、电费、差旅费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color w:val="auto"/>
                <w:sz w:val="21"/>
                <w:szCs w:val="21"/>
                <w:lang w:val="en-US" w:eastAsia="zh-CN"/>
              </w:rPr>
            </w:pPr>
            <w:r>
              <w:rPr>
                <w:rFonts w:hint="eastAsia" w:ascii="Times New Roman" w:hAnsi="Times New Roman" w:eastAsia="仿宋_GB2312" w:cs="Times New Roman"/>
                <w:color w:val="auto"/>
                <w:sz w:val="21"/>
                <w:szCs w:val="21"/>
                <w:lang w:val="en-US" w:eastAsia="zh-CN"/>
              </w:rPr>
              <w:t>11.09</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color w:val="auto"/>
                <w:sz w:val="21"/>
                <w:szCs w:val="21"/>
                <w:lang w:val="en-US" w:eastAsia="zh-CN"/>
              </w:rPr>
            </w:pPr>
            <w:r>
              <w:rPr>
                <w:rFonts w:hint="eastAsia" w:ascii="Times New Roman" w:hAnsi="Times New Roman" w:eastAsia="仿宋_GB2312" w:cs="Times New Roman"/>
                <w:color w:val="auto"/>
                <w:sz w:val="21"/>
                <w:szCs w:val="21"/>
                <w:lang w:val="en-US" w:eastAsia="zh-CN"/>
              </w:rPr>
              <w:t>11</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color w:val="auto"/>
                <w:sz w:val="21"/>
                <w:szCs w:val="21"/>
                <w:lang w:val="en-US" w:eastAsia="zh-CN"/>
              </w:rPr>
            </w:pPr>
            <w:r>
              <w:rPr>
                <w:rFonts w:hint="eastAsia" w:ascii="Times New Roman" w:hAnsi="Times New Roman" w:eastAsia="仿宋_GB2312" w:cs="Times New Roman"/>
                <w:color w:val="auto"/>
                <w:sz w:val="21"/>
                <w:szCs w:val="21"/>
                <w:lang w:val="en-US" w:eastAsia="zh-CN"/>
              </w:rPr>
              <w:t>15.46</w:t>
            </w:r>
          </w:p>
        </w:tc>
      </w:tr>
      <w:tr>
        <w:tblPrEx>
          <w:tblCellMar>
            <w:top w:w="0" w:type="dxa"/>
            <w:left w:w="108" w:type="dxa"/>
            <w:bottom w:w="0" w:type="dxa"/>
            <w:right w:w="108" w:type="dxa"/>
          </w:tblCellMar>
        </w:tblPrEx>
        <w:trPr>
          <w:trHeight w:val="397"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s="Times New Roman"/>
                <w:sz w:val="21"/>
                <w:szCs w:val="21"/>
              </w:rPr>
            </w:pPr>
            <w:r>
              <w:rPr>
                <w:rFonts w:ascii="Times New Roman" w:hAnsi="Times New Roman" w:eastAsia="仿宋_GB2312" w:cs="Times New Roman"/>
                <w:sz w:val="21"/>
                <w:szCs w:val="21"/>
              </w:rPr>
              <w:t xml:space="preserve">      会议费、培训费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color w:val="auto"/>
                <w:sz w:val="21"/>
                <w:szCs w:val="21"/>
                <w:lang w:val="en-US" w:eastAsia="zh-CN"/>
              </w:rPr>
            </w:pPr>
            <w:r>
              <w:rPr>
                <w:rFonts w:hint="eastAsia" w:ascii="Times New Roman" w:hAnsi="Times New Roman" w:eastAsia="仿宋_GB2312" w:cs="Times New Roman"/>
                <w:color w:val="auto"/>
                <w:sz w:val="21"/>
                <w:szCs w:val="21"/>
                <w:lang w:val="en-US" w:eastAsia="zh-CN"/>
              </w:rPr>
              <w:t>8.92</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color w:val="auto"/>
                <w:sz w:val="21"/>
                <w:szCs w:val="21"/>
                <w:lang w:val="en-US" w:eastAsia="zh-CN"/>
              </w:rPr>
            </w:pPr>
            <w:r>
              <w:rPr>
                <w:rFonts w:hint="eastAsia" w:ascii="Times New Roman" w:hAnsi="Times New Roman" w:eastAsia="仿宋_GB2312" w:cs="Times New Roman"/>
                <w:color w:val="auto"/>
                <w:sz w:val="21"/>
                <w:szCs w:val="21"/>
                <w:lang w:val="en-US" w:eastAsia="zh-CN"/>
              </w:rPr>
              <w:t>6</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color w:val="auto"/>
                <w:sz w:val="21"/>
                <w:szCs w:val="21"/>
              </w:rPr>
            </w:pPr>
            <w:r>
              <w:rPr>
                <w:rFonts w:hint="eastAsia" w:ascii="Times New Roman" w:hAnsi="Times New Roman" w:eastAsia="仿宋_GB2312" w:cs="Times New Roman"/>
                <w:color w:val="auto"/>
                <w:sz w:val="21"/>
                <w:szCs w:val="21"/>
                <w:lang w:val="en-US" w:eastAsia="zh-CN"/>
              </w:rPr>
              <w:t>2.8</w:t>
            </w:r>
          </w:p>
        </w:tc>
      </w:tr>
      <w:tr>
        <w:tblPrEx>
          <w:tblCellMar>
            <w:top w:w="0" w:type="dxa"/>
            <w:left w:w="108" w:type="dxa"/>
            <w:bottom w:w="0" w:type="dxa"/>
            <w:right w:w="108" w:type="dxa"/>
          </w:tblCellMar>
        </w:tblPrEx>
        <w:trPr>
          <w:trHeight w:val="397"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s="Times New Roman"/>
                <w:sz w:val="21"/>
                <w:szCs w:val="21"/>
              </w:rPr>
            </w:pPr>
            <w:r>
              <w:rPr>
                <w:rFonts w:ascii="Times New Roman" w:hAnsi="Times New Roman" w:eastAsia="仿宋_GB2312" w:cs="Times New Roman"/>
                <w:sz w:val="21"/>
                <w:szCs w:val="21"/>
              </w:rPr>
              <w:t>政府采购金额</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0</w:t>
            </w:r>
            <w:r>
              <w:rPr>
                <w:rFonts w:ascii="Times New Roman" w:hAnsi="Times New Roman" w:eastAsia="仿宋_GB2312" w:cs="Times New Roman"/>
                <w:sz w:val="21"/>
                <w:szCs w:val="21"/>
              </w:rPr>
              <w:t>　</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仿宋_GB2312" w:cs="Times New Roman"/>
                <w:sz w:val="21"/>
                <w:szCs w:val="21"/>
                <w:lang w:val="en-US" w:eastAsia="zh-CN"/>
              </w:rPr>
            </w:pPr>
            <w:r>
              <w:rPr>
                <w:rFonts w:ascii="Times New Roman" w:hAnsi="Times New Roman" w:eastAsia="仿宋_GB2312" w:cs="Times New Roman"/>
                <w:sz w:val="21"/>
                <w:szCs w:val="21"/>
              </w:rPr>
              <w:t>　</w:t>
            </w:r>
            <w:r>
              <w:rPr>
                <w:rFonts w:hint="eastAsia" w:ascii="Times New Roman" w:hAnsi="Times New Roman" w:eastAsia="仿宋_GB2312" w:cs="Times New Roman"/>
                <w:sz w:val="21"/>
                <w:szCs w:val="21"/>
                <w:lang w:val="en-US" w:eastAsia="zh-CN"/>
              </w:rPr>
              <w:t>0</w:t>
            </w:r>
          </w:p>
        </w:tc>
      </w:tr>
      <w:tr>
        <w:tblPrEx>
          <w:tblCellMar>
            <w:top w:w="0" w:type="dxa"/>
            <w:left w:w="108" w:type="dxa"/>
            <w:bottom w:w="0" w:type="dxa"/>
            <w:right w:w="108" w:type="dxa"/>
          </w:tblCellMar>
        </w:tblPrEx>
        <w:trPr>
          <w:trHeight w:val="397"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s="Times New Roman"/>
                <w:sz w:val="21"/>
                <w:szCs w:val="21"/>
              </w:rPr>
            </w:pPr>
            <w:r>
              <w:rPr>
                <w:rFonts w:ascii="Times New Roman" w:hAnsi="Times New Roman" w:eastAsia="仿宋_GB2312" w:cs="Times New Roman"/>
                <w:sz w:val="21"/>
                <w:szCs w:val="21"/>
              </w:rPr>
              <w:t xml:space="preserve">部门基本支出预算调整 </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1495.7</w:t>
            </w:r>
            <w:r>
              <w:rPr>
                <w:rFonts w:hint="default" w:ascii="Times New Roman" w:hAnsi="Times New Roman" w:eastAsia="仿宋_GB2312" w:cs="Times New Roman"/>
                <w:sz w:val="21"/>
                <w:szCs w:val="21"/>
                <w:lang w:eastAsia="zh-CN"/>
              </w:rPr>
              <w:t>5</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1495.7</w:t>
            </w:r>
            <w:r>
              <w:rPr>
                <w:rFonts w:hint="default" w:ascii="Times New Roman" w:hAnsi="Times New Roman" w:eastAsia="仿宋_GB2312" w:cs="Times New Roman"/>
                <w:sz w:val="21"/>
                <w:szCs w:val="21"/>
                <w:lang w:eastAsia="zh-CN"/>
              </w:rPr>
              <w:t>5</w:t>
            </w:r>
            <w:r>
              <w:rPr>
                <w:rFonts w:ascii="Times New Roman" w:hAnsi="Times New Roman" w:eastAsia="仿宋_GB2312" w:cs="Times New Roman"/>
                <w:sz w:val="21"/>
                <w:szCs w:val="21"/>
              </w:rPr>
              <w:t>　</w:t>
            </w:r>
          </w:p>
        </w:tc>
      </w:tr>
      <w:tr>
        <w:tblPrEx>
          <w:tblCellMar>
            <w:top w:w="0" w:type="dxa"/>
            <w:left w:w="108" w:type="dxa"/>
            <w:bottom w:w="0" w:type="dxa"/>
            <w:right w:w="108" w:type="dxa"/>
          </w:tblCellMar>
        </w:tblPrEx>
        <w:trPr>
          <w:trHeight w:val="715" w:hRule="atLeast"/>
          <w:jc w:val="center"/>
        </w:trPr>
        <w:tc>
          <w:tcPr>
            <w:tcW w:w="3354"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楼堂馆所控制情况</w:t>
            </w:r>
            <w:r>
              <w:rPr>
                <w:rFonts w:ascii="Times New Roman" w:hAnsi="Times New Roman" w:eastAsia="仿宋_GB2312" w:cs="Times New Roman"/>
                <w:sz w:val="21"/>
                <w:szCs w:val="21"/>
              </w:rPr>
              <w:br w:type="textWrapping"/>
            </w:r>
            <w:r>
              <w:rPr>
                <w:rFonts w:ascii="Times New Roman" w:hAnsi="Times New Roman" w:eastAsia="仿宋_GB2312" w:cs="Times New Roman"/>
                <w:sz w:val="21"/>
                <w:szCs w:val="21"/>
              </w:rPr>
              <w:t>（202</w:t>
            </w:r>
            <w:r>
              <w:rPr>
                <w:rFonts w:hint="eastAsia" w:ascii="Times New Roman" w:hAnsi="Times New Roman" w:eastAsia="仿宋_GB2312" w:cs="Times New Roman"/>
                <w:sz w:val="21"/>
                <w:szCs w:val="21"/>
                <w:lang w:val="en-US" w:eastAsia="zh-CN"/>
              </w:rPr>
              <w:t>2</w:t>
            </w:r>
            <w:r>
              <w:rPr>
                <w:rFonts w:ascii="Times New Roman" w:hAnsi="Times New Roman" w:eastAsia="仿宋_GB2312" w:cs="Times New Roman"/>
                <w:sz w:val="21"/>
                <w:szCs w:val="21"/>
              </w:rPr>
              <w:t>年完工项目）</w:t>
            </w:r>
          </w:p>
        </w:tc>
        <w:tc>
          <w:tcPr>
            <w:tcW w:w="1189" w:type="dxa"/>
            <w:tcBorders>
              <w:top w:val="nil"/>
              <w:left w:val="nil"/>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bCs/>
                <w:sz w:val="21"/>
                <w:szCs w:val="21"/>
              </w:rPr>
            </w:pPr>
            <w:r>
              <w:rPr>
                <w:rFonts w:ascii="Times New Roman" w:hAnsi="Times New Roman" w:eastAsia="仿宋_GB2312" w:cs="Times New Roman"/>
                <w:bCs/>
                <w:sz w:val="21"/>
                <w:szCs w:val="21"/>
              </w:rPr>
              <w:t>批复规模</w:t>
            </w:r>
            <w:r>
              <w:rPr>
                <w:rFonts w:ascii="Times New Roman" w:hAnsi="Times New Roman" w:eastAsia="仿宋_GB2312" w:cs="Times New Roman"/>
                <w:bCs/>
                <w:sz w:val="21"/>
                <w:szCs w:val="21"/>
              </w:rPr>
              <w:br w:type="textWrapping"/>
            </w:r>
            <w:r>
              <w:rPr>
                <w:rFonts w:ascii="Times New Roman" w:hAnsi="Times New Roman" w:eastAsia="仿宋_GB2312" w:cs="Times New Roman"/>
                <w:bCs/>
                <w:sz w:val="21"/>
                <w:szCs w:val="21"/>
              </w:rPr>
              <w:t>（</w:t>
            </w:r>
            <w:r>
              <w:rPr>
                <w:rFonts w:ascii="Times New Roman" w:hAnsi="Times New Roman" w:cs="Times New Roman"/>
                <w:bCs/>
                <w:sz w:val="21"/>
                <w:szCs w:val="21"/>
              </w:rPr>
              <w:t>㎡</w:t>
            </w:r>
            <w:r>
              <w:rPr>
                <w:rFonts w:ascii="Times New Roman" w:hAnsi="Times New Roman" w:eastAsia="仿宋_GB2312" w:cs="Times New Roman"/>
                <w:bCs/>
                <w:sz w:val="21"/>
                <w:szCs w:val="21"/>
              </w:rPr>
              <w:t>）</w:t>
            </w:r>
          </w:p>
        </w:tc>
        <w:tc>
          <w:tcPr>
            <w:tcW w:w="849" w:type="dxa"/>
            <w:tcBorders>
              <w:top w:val="nil"/>
              <w:left w:val="nil"/>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bCs/>
                <w:sz w:val="21"/>
                <w:szCs w:val="21"/>
              </w:rPr>
            </w:pPr>
            <w:r>
              <w:rPr>
                <w:rFonts w:ascii="Times New Roman" w:hAnsi="Times New Roman" w:eastAsia="仿宋_GB2312" w:cs="Times New Roman"/>
                <w:bCs/>
                <w:sz w:val="21"/>
                <w:szCs w:val="21"/>
              </w:rPr>
              <w:t>实际规模（</w:t>
            </w:r>
            <w:r>
              <w:rPr>
                <w:rFonts w:ascii="Times New Roman" w:hAnsi="Times New Roman" w:cs="Times New Roman"/>
                <w:bCs/>
                <w:sz w:val="21"/>
                <w:szCs w:val="21"/>
              </w:rPr>
              <w:t>㎡</w:t>
            </w:r>
            <w:r>
              <w:rPr>
                <w:rFonts w:ascii="Times New Roman" w:hAnsi="Times New Roman" w:eastAsia="仿宋_GB2312" w:cs="Times New Roman"/>
                <w:bCs/>
                <w:sz w:val="21"/>
                <w:szCs w:val="21"/>
              </w:rPr>
              <w:t>）</w:t>
            </w:r>
          </w:p>
        </w:tc>
        <w:tc>
          <w:tcPr>
            <w:tcW w:w="1129" w:type="dxa"/>
            <w:tcBorders>
              <w:top w:val="nil"/>
              <w:left w:val="nil"/>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bCs/>
                <w:sz w:val="21"/>
                <w:szCs w:val="21"/>
              </w:rPr>
            </w:pPr>
            <w:r>
              <w:rPr>
                <w:rFonts w:ascii="Times New Roman" w:hAnsi="Times New Roman" w:eastAsia="仿宋_GB2312" w:cs="Times New Roman"/>
                <w:bCs/>
                <w:sz w:val="21"/>
                <w:szCs w:val="21"/>
              </w:rPr>
              <w:t>规模控制率</w:t>
            </w:r>
          </w:p>
        </w:tc>
        <w:tc>
          <w:tcPr>
            <w:tcW w:w="1111" w:type="dxa"/>
            <w:tcBorders>
              <w:top w:val="nil"/>
              <w:left w:val="nil"/>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bCs/>
                <w:sz w:val="21"/>
                <w:szCs w:val="21"/>
              </w:rPr>
            </w:pPr>
            <w:r>
              <w:rPr>
                <w:rFonts w:ascii="Times New Roman" w:hAnsi="Times New Roman" w:eastAsia="仿宋_GB2312" w:cs="Times New Roman"/>
                <w:bCs/>
                <w:sz w:val="21"/>
                <w:szCs w:val="21"/>
              </w:rPr>
              <w:t>预算投资（万元）</w:t>
            </w:r>
          </w:p>
        </w:tc>
        <w:tc>
          <w:tcPr>
            <w:tcW w:w="1081" w:type="dxa"/>
            <w:tcBorders>
              <w:top w:val="nil"/>
              <w:left w:val="nil"/>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bCs/>
                <w:sz w:val="21"/>
                <w:szCs w:val="21"/>
              </w:rPr>
            </w:pPr>
            <w:r>
              <w:rPr>
                <w:rFonts w:ascii="Times New Roman" w:hAnsi="Times New Roman" w:eastAsia="仿宋_GB2312" w:cs="Times New Roman"/>
                <w:bCs/>
                <w:sz w:val="21"/>
                <w:szCs w:val="21"/>
              </w:rPr>
              <w:t>实际投资（万元）</w:t>
            </w:r>
          </w:p>
        </w:tc>
        <w:tc>
          <w:tcPr>
            <w:tcW w:w="960" w:type="dxa"/>
            <w:tcBorders>
              <w:top w:val="nil"/>
              <w:left w:val="nil"/>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bCs/>
                <w:sz w:val="21"/>
                <w:szCs w:val="21"/>
              </w:rPr>
            </w:pPr>
            <w:r>
              <w:rPr>
                <w:rFonts w:ascii="Times New Roman" w:hAnsi="Times New Roman" w:eastAsia="仿宋_GB2312" w:cs="Times New Roman"/>
                <w:bCs/>
                <w:sz w:val="21"/>
                <w:szCs w:val="21"/>
              </w:rPr>
              <w:t>投资概算控制率</w:t>
            </w:r>
          </w:p>
        </w:tc>
      </w:tr>
      <w:tr>
        <w:tblPrEx>
          <w:tblCellMar>
            <w:top w:w="0" w:type="dxa"/>
            <w:left w:w="108" w:type="dxa"/>
            <w:bottom w:w="0" w:type="dxa"/>
            <w:right w:w="108" w:type="dxa"/>
          </w:tblCellMar>
        </w:tblPrEx>
        <w:trPr>
          <w:trHeight w:val="454" w:hRule="atLeast"/>
          <w:jc w:val="center"/>
        </w:trPr>
        <w:tc>
          <w:tcPr>
            <w:tcW w:w="335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s="Times New Roman"/>
                <w:sz w:val="21"/>
                <w:szCs w:val="21"/>
              </w:rPr>
            </w:pPr>
          </w:p>
        </w:tc>
        <w:tc>
          <w:tcPr>
            <w:tcW w:w="1189" w:type="dxa"/>
            <w:tcBorders>
              <w:top w:val="nil"/>
              <w:left w:val="nil"/>
              <w:bottom w:val="single" w:color="auto" w:sz="4" w:space="0"/>
              <w:right w:val="single" w:color="auto" w:sz="4" w:space="0"/>
            </w:tcBorders>
            <w:noWrap w:val="0"/>
            <w:vAlign w:val="center"/>
          </w:tcPr>
          <w:p>
            <w:pPr>
              <w:widowControl/>
              <w:jc w:val="center"/>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eastAsia="zh-CN"/>
              </w:rPr>
              <w:t>无</w:t>
            </w:r>
            <w:r>
              <w:rPr>
                <w:rFonts w:ascii="Times New Roman" w:hAnsi="Times New Roman" w:eastAsia="仿宋_GB2312" w:cs="Times New Roman"/>
                <w:sz w:val="21"/>
                <w:szCs w:val="21"/>
              </w:rPr>
              <w:t>　</w:t>
            </w:r>
          </w:p>
        </w:tc>
        <w:tc>
          <w:tcPr>
            <w:tcW w:w="849" w:type="dxa"/>
            <w:tcBorders>
              <w:top w:val="nil"/>
              <w:left w:val="nil"/>
              <w:bottom w:val="single" w:color="auto" w:sz="4" w:space="0"/>
              <w:right w:val="single" w:color="auto" w:sz="4" w:space="0"/>
            </w:tcBorders>
            <w:noWrap w:val="0"/>
            <w:vAlign w:val="center"/>
          </w:tcPr>
          <w:p>
            <w:pPr>
              <w:widowControl/>
              <w:jc w:val="left"/>
              <w:rPr>
                <w:rFonts w:ascii="Times New Roman" w:hAnsi="Times New Roman" w:eastAsia="仿宋_GB2312" w:cs="Times New Roman"/>
                <w:sz w:val="21"/>
                <w:szCs w:val="21"/>
              </w:rPr>
            </w:pPr>
            <w:r>
              <w:rPr>
                <w:rFonts w:ascii="Times New Roman" w:hAnsi="Times New Roman" w:eastAsia="仿宋_GB2312" w:cs="Times New Roman"/>
                <w:sz w:val="21"/>
                <w:szCs w:val="21"/>
              </w:rPr>
              <w:t>　</w:t>
            </w:r>
            <w:r>
              <w:rPr>
                <w:rFonts w:hint="eastAsia" w:ascii="Times New Roman" w:hAnsi="Times New Roman" w:eastAsia="仿宋_GB2312" w:cs="Times New Roman"/>
                <w:sz w:val="21"/>
                <w:szCs w:val="21"/>
                <w:lang w:eastAsia="zh-CN"/>
              </w:rPr>
              <w:t>无</w:t>
            </w:r>
          </w:p>
        </w:tc>
        <w:tc>
          <w:tcPr>
            <w:tcW w:w="1129" w:type="dxa"/>
            <w:tcBorders>
              <w:top w:val="nil"/>
              <w:left w:val="nil"/>
              <w:bottom w:val="single" w:color="auto" w:sz="4" w:space="0"/>
              <w:right w:val="single" w:color="auto" w:sz="4" w:space="0"/>
            </w:tcBorders>
            <w:noWrap w:val="0"/>
            <w:vAlign w:val="center"/>
          </w:tcPr>
          <w:p>
            <w:pPr>
              <w:widowControl/>
              <w:jc w:val="left"/>
              <w:rPr>
                <w:rFonts w:ascii="Times New Roman" w:hAnsi="Times New Roman" w:eastAsia="仿宋_GB2312" w:cs="Times New Roman"/>
                <w:sz w:val="21"/>
                <w:szCs w:val="21"/>
              </w:rPr>
            </w:pPr>
            <w:r>
              <w:rPr>
                <w:rFonts w:ascii="Times New Roman" w:hAnsi="Times New Roman" w:eastAsia="仿宋_GB2312" w:cs="Times New Roman"/>
                <w:sz w:val="21"/>
                <w:szCs w:val="21"/>
              </w:rPr>
              <w:t>　</w:t>
            </w:r>
            <w:r>
              <w:rPr>
                <w:rFonts w:hint="eastAsia" w:ascii="Times New Roman" w:hAnsi="Times New Roman" w:eastAsia="仿宋_GB2312" w:cs="Times New Roman"/>
                <w:sz w:val="21"/>
                <w:szCs w:val="21"/>
                <w:lang w:eastAsia="zh-CN"/>
              </w:rPr>
              <w:t>无</w:t>
            </w:r>
          </w:p>
        </w:tc>
        <w:tc>
          <w:tcPr>
            <w:tcW w:w="1111" w:type="dxa"/>
            <w:tcBorders>
              <w:top w:val="nil"/>
              <w:left w:val="nil"/>
              <w:bottom w:val="single" w:color="auto" w:sz="4" w:space="0"/>
              <w:right w:val="single" w:color="auto" w:sz="4" w:space="0"/>
            </w:tcBorders>
            <w:noWrap w:val="0"/>
            <w:vAlign w:val="center"/>
          </w:tcPr>
          <w:p>
            <w:pPr>
              <w:widowControl/>
              <w:jc w:val="left"/>
              <w:rPr>
                <w:rFonts w:ascii="Times New Roman" w:hAnsi="Times New Roman" w:eastAsia="仿宋_GB2312" w:cs="Times New Roman"/>
                <w:sz w:val="21"/>
                <w:szCs w:val="21"/>
              </w:rPr>
            </w:pPr>
            <w:r>
              <w:rPr>
                <w:rFonts w:ascii="Times New Roman" w:hAnsi="Times New Roman" w:eastAsia="仿宋_GB2312" w:cs="Times New Roman"/>
                <w:sz w:val="21"/>
                <w:szCs w:val="21"/>
              </w:rPr>
              <w:t>　</w:t>
            </w:r>
            <w:r>
              <w:rPr>
                <w:rFonts w:hint="eastAsia" w:ascii="Times New Roman" w:hAnsi="Times New Roman" w:eastAsia="仿宋_GB2312" w:cs="Times New Roman"/>
                <w:sz w:val="21"/>
                <w:szCs w:val="21"/>
                <w:lang w:eastAsia="zh-CN"/>
              </w:rPr>
              <w:t>无</w:t>
            </w:r>
          </w:p>
        </w:tc>
        <w:tc>
          <w:tcPr>
            <w:tcW w:w="1081" w:type="dxa"/>
            <w:tcBorders>
              <w:top w:val="nil"/>
              <w:left w:val="nil"/>
              <w:bottom w:val="single" w:color="auto" w:sz="4" w:space="0"/>
              <w:right w:val="single" w:color="auto" w:sz="4" w:space="0"/>
            </w:tcBorders>
            <w:noWrap w:val="0"/>
            <w:vAlign w:val="center"/>
          </w:tcPr>
          <w:p>
            <w:pPr>
              <w:widowControl/>
              <w:jc w:val="left"/>
              <w:rPr>
                <w:rFonts w:ascii="Times New Roman" w:hAnsi="Times New Roman" w:eastAsia="仿宋_GB2312" w:cs="Times New Roman"/>
                <w:sz w:val="21"/>
                <w:szCs w:val="21"/>
              </w:rPr>
            </w:pPr>
            <w:r>
              <w:rPr>
                <w:rFonts w:ascii="Times New Roman" w:hAnsi="Times New Roman" w:eastAsia="仿宋_GB2312" w:cs="Times New Roman"/>
                <w:sz w:val="21"/>
                <w:szCs w:val="21"/>
              </w:rPr>
              <w:t>　</w:t>
            </w:r>
            <w:r>
              <w:rPr>
                <w:rFonts w:hint="eastAsia" w:ascii="Times New Roman" w:hAnsi="Times New Roman" w:eastAsia="仿宋_GB2312" w:cs="Times New Roman"/>
                <w:sz w:val="21"/>
                <w:szCs w:val="21"/>
                <w:lang w:eastAsia="zh-CN"/>
              </w:rPr>
              <w:t>无</w:t>
            </w:r>
          </w:p>
        </w:tc>
        <w:tc>
          <w:tcPr>
            <w:tcW w:w="960" w:type="dxa"/>
            <w:tcBorders>
              <w:top w:val="nil"/>
              <w:left w:val="nil"/>
              <w:bottom w:val="single" w:color="auto" w:sz="4" w:space="0"/>
              <w:right w:val="single" w:color="auto" w:sz="4" w:space="0"/>
            </w:tcBorders>
            <w:noWrap w:val="0"/>
            <w:vAlign w:val="center"/>
          </w:tcPr>
          <w:p>
            <w:pPr>
              <w:widowControl/>
              <w:jc w:val="left"/>
              <w:rPr>
                <w:rFonts w:ascii="Times New Roman" w:hAnsi="Times New Roman" w:eastAsia="仿宋_GB2312" w:cs="Times New Roman"/>
                <w:sz w:val="21"/>
                <w:szCs w:val="21"/>
              </w:rPr>
            </w:pPr>
            <w:r>
              <w:rPr>
                <w:rFonts w:ascii="Times New Roman" w:hAnsi="Times New Roman" w:eastAsia="仿宋_GB2312" w:cs="Times New Roman"/>
                <w:sz w:val="21"/>
                <w:szCs w:val="21"/>
              </w:rPr>
              <w:t>　</w:t>
            </w:r>
            <w:r>
              <w:rPr>
                <w:rFonts w:hint="eastAsia" w:ascii="Times New Roman" w:hAnsi="Times New Roman" w:eastAsia="仿宋_GB2312" w:cs="Times New Roman"/>
                <w:sz w:val="21"/>
                <w:szCs w:val="21"/>
                <w:lang w:eastAsia="zh-CN"/>
              </w:rPr>
              <w:t>无</w:t>
            </w:r>
          </w:p>
        </w:tc>
      </w:tr>
      <w:tr>
        <w:tblPrEx>
          <w:tblCellMar>
            <w:top w:w="0" w:type="dxa"/>
            <w:left w:w="108" w:type="dxa"/>
            <w:bottom w:w="0" w:type="dxa"/>
            <w:right w:w="108" w:type="dxa"/>
          </w:tblCellMar>
        </w:tblPrEx>
        <w:trPr>
          <w:trHeight w:val="756"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厉行节约保障措施</w:t>
            </w:r>
          </w:p>
        </w:tc>
        <w:tc>
          <w:tcPr>
            <w:tcW w:w="6319" w:type="dxa"/>
            <w:gridSpan w:val="6"/>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仿宋" w:cs="Times New Roman"/>
                <w:sz w:val="21"/>
                <w:szCs w:val="21"/>
                <w:lang w:eastAsia="zh-CN"/>
              </w:rPr>
            </w:pPr>
            <w:r>
              <w:rPr>
                <w:rFonts w:ascii="仿宋" w:hAnsi="仿宋" w:eastAsia="仿宋" w:cs="仿宋"/>
                <w:i w:val="0"/>
                <w:iCs w:val="0"/>
                <w:caps w:val="0"/>
                <w:color w:val="000000"/>
                <w:spacing w:val="0"/>
                <w:sz w:val="20"/>
                <w:szCs w:val="20"/>
                <w:shd w:val="clear" w:fill="FFFFFF"/>
              </w:rPr>
              <w:t>坚持</w:t>
            </w:r>
            <w:r>
              <w:rPr>
                <w:rFonts w:hint="default" w:ascii="Times New Roman" w:hAnsi="Times New Roman" w:eastAsia="宋体" w:cs="Times New Roman"/>
                <w:i w:val="0"/>
                <w:iCs w:val="0"/>
                <w:caps w:val="0"/>
                <w:color w:val="000000"/>
                <w:spacing w:val="0"/>
                <w:sz w:val="20"/>
                <w:szCs w:val="20"/>
                <w:shd w:val="clear" w:fill="FFFFFF"/>
              </w:rPr>
              <w:t>“</w:t>
            </w:r>
            <w:r>
              <w:rPr>
                <w:rFonts w:hint="eastAsia" w:ascii="仿宋" w:hAnsi="仿宋" w:eastAsia="仿宋" w:cs="仿宋"/>
                <w:i w:val="0"/>
                <w:iCs w:val="0"/>
                <w:caps w:val="0"/>
                <w:color w:val="000000"/>
                <w:spacing w:val="0"/>
                <w:sz w:val="20"/>
                <w:szCs w:val="20"/>
                <w:shd w:val="clear" w:fill="FFFFFF"/>
              </w:rPr>
              <w:t>勤俭节约、讲求效益</w:t>
            </w:r>
            <w:r>
              <w:rPr>
                <w:rFonts w:hint="default" w:ascii="Times New Roman" w:hAnsi="Times New Roman" w:eastAsia="宋体" w:cs="Times New Roman"/>
                <w:i w:val="0"/>
                <w:iCs w:val="0"/>
                <w:caps w:val="0"/>
                <w:color w:val="000000"/>
                <w:spacing w:val="0"/>
                <w:sz w:val="20"/>
                <w:szCs w:val="20"/>
                <w:shd w:val="clear" w:fill="FFFFFF"/>
              </w:rPr>
              <w:t>”</w:t>
            </w:r>
            <w:r>
              <w:rPr>
                <w:rFonts w:hint="eastAsia" w:ascii="仿宋" w:hAnsi="仿宋" w:eastAsia="仿宋" w:cs="仿宋"/>
                <w:i w:val="0"/>
                <w:iCs w:val="0"/>
                <w:caps w:val="0"/>
                <w:color w:val="000000"/>
                <w:spacing w:val="0"/>
                <w:sz w:val="20"/>
                <w:szCs w:val="20"/>
                <w:shd w:val="clear" w:fill="FFFFFF"/>
              </w:rPr>
              <w:t>的原则，进一步完善公务用车、公务接待、差旅费、会议费、培训费、办公用品采购等相关规章制度</w:t>
            </w:r>
            <w:r>
              <w:rPr>
                <w:rFonts w:hint="eastAsia" w:ascii="仿宋" w:hAnsi="仿宋" w:eastAsia="仿宋" w:cs="仿宋"/>
                <w:i w:val="0"/>
                <w:iCs w:val="0"/>
                <w:caps w:val="0"/>
                <w:color w:val="000000"/>
                <w:spacing w:val="0"/>
                <w:sz w:val="20"/>
                <w:szCs w:val="20"/>
                <w:shd w:val="clear" w:fill="FFFFFF"/>
                <w:lang w:eastAsia="zh-CN"/>
              </w:rPr>
              <w:t>。</w:t>
            </w:r>
          </w:p>
        </w:tc>
      </w:tr>
    </w:tbl>
    <w:p>
      <w:pPr>
        <w:widowControl/>
        <w:jc w:val="left"/>
        <w:rPr>
          <w:rFonts w:ascii="Times New Roman" w:hAnsi="Times New Roman" w:eastAsia="仿宋_GB2312" w:cs="Times New Roman"/>
          <w:sz w:val="21"/>
          <w:szCs w:val="21"/>
        </w:rPr>
      </w:pPr>
    </w:p>
    <w:p>
      <w:pPr>
        <w:widowControl/>
        <w:jc w:val="left"/>
        <w:rPr>
          <w:rFonts w:ascii="Times New Roman" w:hAnsi="Times New Roman" w:eastAsia="仿宋_GB2312" w:cs="Times New Roman"/>
          <w:sz w:val="21"/>
          <w:szCs w:val="21"/>
        </w:rPr>
      </w:pPr>
      <w:r>
        <w:rPr>
          <w:rFonts w:ascii="Times New Roman" w:hAnsi="Times New Roman" w:eastAsia="仿宋_GB2312" w:cs="Times New Roman"/>
          <w:sz w:val="21"/>
          <w:szCs w:val="21"/>
        </w:rPr>
        <w:t>说明：“项目支出”需要填报基本支出以外的所有项目支出情况，“公用经费”填报基本支出中的一般商品和服务支出。</w:t>
      </w:r>
    </w:p>
    <w:p>
      <w:pPr>
        <w:rPr>
          <w:rFonts w:ascii="Times New Roman" w:hAnsi="Times New Roman" w:eastAsia="黑体" w:cs="Times New Roman"/>
          <w:sz w:val="32"/>
          <w:szCs w:val="32"/>
        </w:rPr>
      </w:pPr>
      <w:r>
        <w:rPr>
          <w:rFonts w:ascii="Times New Roman" w:hAnsi="Times New Roman" w:eastAsia="仿宋_GB2312" w:cs="Times New Roman"/>
          <w:sz w:val="21"/>
          <w:szCs w:val="21"/>
        </w:rPr>
        <w:t xml:space="preserve">填表人： </w:t>
      </w:r>
      <w:r>
        <w:rPr>
          <w:rFonts w:hint="eastAsia" w:ascii="Times New Roman" w:hAnsi="Times New Roman" w:eastAsia="仿宋_GB2312" w:cs="Times New Roman"/>
          <w:sz w:val="21"/>
          <w:szCs w:val="21"/>
          <w:lang w:val="en-US" w:eastAsia="zh-CN"/>
        </w:rPr>
        <w:t xml:space="preserve">         </w:t>
      </w:r>
      <w:r>
        <w:rPr>
          <w:rFonts w:ascii="Times New Roman" w:hAnsi="Times New Roman" w:eastAsia="仿宋_GB2312" w:cs="Times New Roman"/>
          <w:sz w:val="21"/>
          <w:szCs w:val="21"/>
        </w:rPr>
        <w:t xml:space="preserve">  填报日期： </w:t>
      </w:r>
      <w:r>
        <w:rPr>
          <w:rFonts w:hint="eastAsia" w:ascii="Times New Roman" w:hAnsi="Times New Roman" w:eastAsia="仿宋_GB2312" w:cs="Times New Roman"/>
          <w:sz w:val="21"/>
          <w:szCs w:val="21"/>
          <w:lang w:val="en-US" w:eastAsia="zh-CN"/>
        </w:rPr>
        <w:t xml:space="preserve">        </w:t>
      </w:r>
      <w:r>
        <w:rPr>
          <w:rFonts w:ascii="Times New Roman" w:hAnsi="Times New Roman" w:eastAsia="仿宋_GB2312" w:cs="Times New Roman"/>
          <w:sz w:val="21"/>
          <w:szCs w:val="21"/>
        </w:rPr>
        <w:t xml:space="preserve"> 联系电话： </w:t>
      </w:r>
      <w:r>
        <w:rPr>
          <w:rFonts w:hint="eastAsia" w:ascii="Times New Roman" w:hAnsi="Times New Roman" w:eastAsia="仿宋_GB2312" w:cs="Times New Roman"/>
          <w:sz w:val="21"/>
          <w:szCs w:val="21"/>
          <w:lang w:val="en-US" w:eastAsia="zh-CN"/>
        </w:rPr>
        <w:t xml:space="preserve">       </w:t>
      </w:r>
      <w:r>
        <w:rPr>
          <w:rFonts w:ascii="Times New Roman" w:hAnsi="Times New Roman" w:eastAsia="仿宋_GB2312" w:cs="Times New Roman"/>
          <w:sz w:val="21"/>
          <w:szCs w:val="21"/>
        </w:rPr>
        <w:t>单位负责人签字：</w:t>
      </w:r>
    </w:p>
    <w:p>
      <w:pPr>
        <w:widowControl/>
        <w:spacing w:after="120" w:afterLines="50"/>
        <w:jc w:val="left"/>
        <w:rPr>
          <w:rFonts w:hint="default" w:ascii="Times New Roman" w:hAnsi="Times New Roman" w:eastAsia="黑体" w:cs="Times New Roman"/>
          <w:sz w:val="32"/>
          <w:szCs w:val="32"/>
          <w:lang w:val="en-US" w:eastAsia="zh-CN"/>
        </w:rPr>
      </w:pPr>
      <w:r>
        <w:rPr>
          <w:rFonts w:ascii="Times New Roman" w:hAnsi="Times New Roman" w:eastAsia="黑体" w:cs="Times New Roman"/>
          <w:sz w:val="32"/>
          <w:szCs w:val="32"/>
        </w:rPr>
        <w:t>附件</w:t>
      </w:r>
      <w:r>
        <w:rPr>
          <w:rFonts w:hint="eastAsia" w:ascii="Times New Roman" w:hAnsi="Times New Roman" w:eastAsia="黑体" w:cs="Times New Roman"/>
          <w:sz w:val="32"/>
          <w:szCs w:val="32"/>
          <w:lang w:val="en-US" w:eastAsia="zh-CN"/>
        </w:rPr>
        <w:t>4</w:t>
      </w:r>
    </w:p>
    <w:p>
      <w:pPr>
        <w:widowControl/>
        <w:spacing w:after="120" w:afterLines="50"/>
        <w:jc w:val="center"/>
        <w:rPr>
          <w:rFonts w:ascii="Times New Roman" w:hAnsi="Times New Roman" w:eastAsia="方正小标宋_GBK" w:cs="Times New Roman"/>
          <w:color w:val="000000"/>
          <w:sz w:val="36"/>
          <w:szCs w:val="36"/>
        </w:rPr>
      </w:pPr>
      <w:r>
        <w:rPr>
          <w:rFonts w:ascii="Times New Roman" w:hAnsi="Times New Roman" w:eastAsia="方正小标宋_GBK" w:cs="Times New Roman"/>
          <w:color w:val="000000"/>
          <w:sz w:val="36"/>
          <w:szCs w:val="36"/>
        </w:rPr>
        <w:t>部门整体支出绩效自评表</w:t>
      </w:r>
    </w:p>
    <w:tbl>
      <w:tblPr>
        <w:tblStyle w:val="5"/>
        <w:tblW w:w="10079" w:type="dxa"/>
        <w:jc w:val="center"/>
        <w:tblLayout w:type="autofit"/>
        <w:tblCellMar>
          <w:top w:w="0" w:type="dxa"/>
          <w:left w:w="108" w:type="dxa"/>
          <w:bottom w:w="0" w:type="dxa"/>
          <w:right w:w="108" w:type="dxa"/>
        </w:tblCellMar>
      </w:tblPr>
      <w:tblGrid>
        <w:gridCol w:w="1080"/>
        <w:gridCol w:w="1080"/>
        <w:gridCol w:w="953"/>
        <w:gridCol w:w="1256"/>
        <w:gridCol w:w="95"/>
        <w:gridCol w:w="1311"/>
        <w:gridCol w:w="1269"/>
        <w:gridCol w:w="716"/>
        <w:gridCol w:w="881"/>
        <w:gridCol w:w="1438"/>
      </w:tblGrid>
      <w:tr>
        <w:tblPrEx>
          <w:tblCellMar>
            <w:top w:w="0" w:type="dxa"/>
            <w:left w:w="108" w:type="dxa"/>
            <w:bottom w:w="0" w:type="dxa"/>
            <w:right w:w="108" w:type="dxa"/>
          </w:tblCellMar>
        </w:tblPrEx>
        <w:trPr>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ascii="Times New Roman" w:hAnsi="Times New Roman" w:eastAsia="仿宋_GB2312" w:cs="Times New Roman"/>
                <w:color w:val="000000"/>
                <w:sz w:val="20"/>
                <w:szCs w:val="20"/>
              </w:rPr>
            </w:pPr>
            <w:r>
              <w:rPr>
                <w:rFonts w:hint="eastAsia" w:ascii="Times New Roman" w:hAnsi="Times New Roman" w:eastAsia="仿宋_GB2312" w:cs="Times New Roman"/>
                <w:color w:val="000000"/>
                <w:sz w:val="20"/>
                <w:szCs w:val="20"/>
                <w:lang w:eastAsia="zh-CN"/>
              </w:rPr>
              <w:t>市直</w:t>
            </w:r>
            <w:r>
              <w:rPr>
                <w:rFonts w:ascii="Times New Roman" w:hAnsi="Times New Roman" w:eastAsia="仿宋_GB2312" w:cs="Times New Roman"/>
                <w:color w:val="000000"/>
                <w:sz w:val="20"/>
                <w:szCs w:val="20"/>
              </w:rPr>
              <w:t>预算部门名称</w:t>
            </w:r>
          </w:p>
        </w:tc>
        <w:tc>
          <w:tcPr>
            <w:tcW w:w="8999" w:type="dxa"/>
            <w:gridSpan w:val="9"/>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hint="eastAsia" w:ascii="Times New Roman" w:hAnsi="Times New Roman" w:eastAsia="仿宋_GB2312" w:cs="Times New Roman"/>
                <w:color w:val="000000"/>
                <w:sz w:val="20"/>
                <w:szCs w:val="20"/>
                <w:lang w:eastAsia="zh-CN"/>
              </w:rPr>
              <w:t>辰溪县潭湾镇人民政府</w:t>
            </w:r>
            <w:r>
              <w:rPr>
                <w:rFonts w:ascii="Times New Roman" w:hAnsi="Times New Roman" w:eastAsia="仿宋_GB2312" w:cs="Times New Roman"/>
                <w:color w:val="000000"/>
                <w:sz w:val="20"/>
                <w:szCs w:val="20"/>
              </w:rPr>
              <w:t>　</w:t>
            </w:r>
          </w:p>
        </w:tc>
      </w:tr>
      <w:tr>
        <w:tblPrEx>
          <w:tblCellMar>
            <w:top w:w="0" w:type="dxa"/>
            <w:left w:w="108" w:type="dxa"/>
            <w:bottom w:w="0" w:type="dxa"/>
            <w:right w:w="108" w:type="dxa"/>
          </w:tblCellMar>
        </w:tblPrEx>
        <w:trPr>
          <w:jc w:val="center"/>
        </w:trPr>
        <w:tc>
          <w:tcPr>
            <w:tcW w:w="1080" w:type="dxa"/>
            <w:vMerge w:val="restart"/>
            <w:tcBorders>
              <w:top w:val="nil"/>
              <w:left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年度预</w:t>
            </w:r>
          </w:p>
          <w:p>
            <w:pPr>
              <w:widowControl/>
              <w:spacing w:line="240" w:lineRule="exact"/>
              <w:jc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算申请</w:t>
            </w:r>
            <w:r>
              <w:rPr>
                <w:rFonts w:ascii="Times New Roman" w:hAnsi="Times New Roman" w:eastAsia="仿宋_GB2312" w:cs="Times New Roman"/>
                <w:color w:val="000000"/>
                <w:sz w:val="20"/>
                <w:szCs w:val="20"/>
              </w:rPr>
              <w:br w:type="textWrapping"/>
            </w:r>
            <w:r>
              <w:rPr>
                <w:rFonts w:ascii="Times New Roman" w:hAnsi="Times New Roman" w:eastAsia="仿宋_GB2312" w:cs="Times New Roman"/>
                <w:color w:val="000000"/>
                <w:sz w:val="20"/>
                <w:szCs w:val="20"/>
              </w:rPr>
              <w:t>（万元）</w:t>
            </w:r>
          </w:p>
        </w:tc>
        <w:tc>
          <w:tcPr>
            <w:tcW w:w="2033" w:type="dxa"/>
            <w:gridSpan w:val="2"/>
            <w:tcBorders>
              <w:top w:val="nil"/>
              <w:left w:val="nil"/>
              <w:bottom w:val="single" w:color="auto" w:sz="4" w:space="0"/>
              <w:right w:val="single" w:color="auto" w:sz="4" w:space="0"/>
            </w:tcBorders>
            <w:noWrap w:val="0"/>
            <w:vAlign w:val="center"/>
          </w:tcPr>
          <w:p>
            <w:pPr>
              <w:spacing w:line="240" w:lineRule="exact"/>
              <w:jc w:val="center"/>
              <w:rPr>
                <w:rFonts w:ascii="Times New Roman" w:hAnsi="Times New Roman" w:eastAsia="仿宋_GB2312" w:cs="Times New Roman"/>
                <w:sz w:val="20"/>
                <w:szCs w:val="20"/>
              </w:rPr>
            </w:pPr>
          </w:p>
        </w:tc>
        <w:tc>
          <w:tcPr>
            <w:tcW w:w="1256" w:type="dxa"/>
            <w:tcBorders>
              <w:top w:val="nil"/>
              <w:left w:val="nil"/>
              <w:bottom w:val="single" w:color="auto" w:sz="4" w:space="0"/>
              <w:right w:val="single" w:color="auto" w:sz="4" w:space="0"/>
            </w:tcBorders>
            <w:noWrap w:val="0"/>
            <w:vAlign w:val="center"/>
          </w:tcPr>
          <w:p>
            <w:pPr>
              <w:spacing w:line="240" w:lineRule="exact"/>
              <w:jc w:val="center"/>
              <w:rPr>
                <w:rFonts w:ascii="Times New Roman" w:hAnsi="Times New Roman" w:eastAsia="仿宋_GB2312" w:cs="Times New Roman"/>
                <w:sz w:val="20"/>
                <w:szCs w:val="20"/>
              </w:rPr>
            </w:pPr>
            <w:r>
              <w:rPr>
                <w:rFonts w:ascii="Times New Roman" w:hAnsi="Times New Roman" w:eastAsia="仿宋_GB2312" w:cs="Times New Roman"/>
                <w:sz w:val="20"/>
                <w:szCs w:val="20"/>
              </w:rPr>
              <w:t>年初预算数</w:t>
            </w:r>
          </w:p>
        </w:tc>
        <w:tc>
          <w:tcPr>
            <w:tcW w:w="1406" w:type="dxa"/>
            <w:gridSpan w:val="2"/>
            <w:tcBorders>
              <w:top w:val="nil"/>
              <w:left w:val="nil"/>
              <w:bottom w:val="single" w:color="auto" w:sz="4" w:space="0"/>
              <w:right w:val="single" w:color="auto" w:sz="4" w:space="0"/>
            </w:tcBorders>
            <w:noWrap w:val="0"/>
            <w:vAlign w:val="center"/>
          </w:tcPr>
          <w:p>
            <w:pPr>
              <w:spacing w:line="240" w:lineRule="exact"/>
              <w:jc w:val="center"/>
              <w:rPr>
                <w:rFonts w:ascii="Times New Roman" w:hAnsi="Times New Roman" w:eastAsia="仿宋_GB2312" w:cs="Times New Roman"/>
                <w:sz w:val="20"/>
                <w:szCs w:val="20"/>
              </w:rPr>
            </w:pPr>
            <w:r>
              <w:rPr>
                <w:rFonts w:ascii="Times New Roman" w:hAnsi="Times New Roman" w:eastAsia="仿宋_GB2312" w:cs="Times New Roman"/>
                <w:sz w:val="20"/>
                <w:szCs w:val="20"/>
              </w:rPr>
              <w:t>全年预算数</w:t>
            </w:r>
          </w:p>
        </w:tc>
        <w:tc>
          <w:tcPr>
            <w:tcW w:w="1269" w:type="dxa"/>
            <w:tcBorders>
              <w:top w:val="nil"/>
              <w:left w:val="nil"/>
              <w:bottom w:val="single" w:color="auto" w:sz="4" w:space="0"/>
              <w:right w:val="single" w:color="auto" w:sz="4" w:space="0"/>
            </w:tcBorders>
            <w:noWrap w:val="0"/>
            <w:vAlign w:val="center"/>
          </w:tcPr>
          <w:p>
            <w:pPr>
              <w:spacing w:line="240" w:lineRule="exact"/>
              <w:jc w:val="center"/>
              <w:rPr>
                <w:rFonts w:ascii="Times New Roman" w:hAnsi="Times New Roman" w:eastAsia="仿宋_GB2312" w:cs="Times New Roman"/>
                <w:sz w:val="20"/>
                <w:szCs w:val="20"/>
              </w:rPr>
            </w:pPr>
            <w:r>
              <w:rPr>
                <w:rFonts w:ascii="Times New Roman" w:hAnsi="Times New Roman" w:eastAsia="仿宋_GB2312" w:cs="Times New Roman"/>
                <w:sz w:val="20"/>
                <w:szCs w:val="20"/>
              </w:rPr>
              <w:t>全年执行数</w:t>
            </w:r>
          </w:p>
        </w:tc>
        <w:tc>
          <w:tcPr>
            <w:tcW w:w="716" w:type="dxa"/>
            <w:tcBorders>
              <w:top w:val="nil"/>
              <w:left w:val="nil"/>
              <w:bottom w:val="single" w:color="auto" w:sz="4" w:space="0"/>
              <w:right w:val="single" w:color="auto" w:sz="4" w:space="0"/>
            </w:tcBorders>
            <w:noWrap w:val="0"/>
            <w:vAlign w:val="center"/>
          </w:tcPr>
          <w:p>
            <w:pPr>
              <w:spacing w:line="240" w:lineRule="exact"/>
              <w:jc w:val="center"/>
              <w:rPr>
                <w:rFonts w:ascii="Times New Roman" w:hAnsi="Times New Roman" w:eastAsia="仿宋_GB2312" w:cs="Times New Roman"/>
                <w:sz w:val="20"/>
                <w:szCs w:val="20"/>
              </w:rPr>
            </w:pPr>
            <w:r>
              <w:rPr>
                <w:rFonts w:ascii="Times New Roman" w:hAnsi="Times New Roman" w:eastAsia="仿宋_GB2312" w:cs="Times New Roman"/>
                <w:sz w:val="20"/>
                <w:szCs w:val="20"/>
              </w:rPr>
              <w:t>分值</w:t>
            </w:r>
          </w:p>
        </w:tc>
        <w:tc>
          <w:tcPr>
            <w:tcW w:w="881" w:type="dxa"/>
            <w:tcBorders>
              <w:top w:val="nil"/>
              <w:left w:val="nil"/>
              <w:bottom w:val="single" w:color="auto" w:sz="4" w:space="0"/>
              <w:right w:val="single" w:color="auto" w:sz="4" w:space="0"/>
            </w:tcBorders>
            <w:noWrap w:val="0"/>
            <w:vAlign w:val="center"/>
          </w:tcPr>
          <w:p>
            <w:pPr>
              <w:spacing w:line="240" w:lineRule="exact"/>
              <w:jc w:val="center"/>
              <w:rPr>
                <w:rFonts w:ascii="Times New Roman" w:hAnsi="Times New Roman" w:eastAsia="仿宋_GB2312" w:cs="Times New Roman"/>
                <w:sz w:val="20"/>
                <w:szCs w:val="20"/>
              </w:rPr>
            </w:pPr>
            <w:r>
              <w:rPr>
                <w:rFonts w:ascii="Times New Roman" w:hAnsi="Times New Roman" w:eastAsia="仿宋_GB2312" w:cs="Times New Roman"/>
                <w:sz w:val="20"/>
                <w:szCs w:val="20"/>
              </w:rPr>
              <w:t>执行率</w:t>
            </w:r>
          </w:p>
        </w:tc>
        <w:tc>
          <w:tcPr>
            <w:tcW w:w="1438" w:type="dxa"/>
            <w:tcBorders>
              <w:top w:val="nil"/>
              <w:left w:val="nil"/>
              <w:bottom w:val="single" w:color="auto" w:sz="4" w:space="0"/>
              <w:right w:val="single" w:color="auto" w:sz="4" w:space="0"/>
            </w:tcBorders>
            <w:noWrap w:val="0"/>
            <w:vAlign w:val="center"/>
          </w:tcPr>
          <w:p>
            <w:pPr>
              <w:spacing w:line="240" w:lineRule="exact"/>
              <w:jc w:val="center"/>
              <w:rPr>
                <w:rFonts w:ascii="Times New Roman" w:hAnsi="Times New Roman" w:eastAsia="仿宋_GB2312" w:cs="Times New Roman"/>
                <w:sz w:val="20"/>
                <w:szCs w:val="20"/>
              </w:rPr>
            </w:pPr>
            <w:r>
              <w:rPr>
                <w:rFonts w:ascii="Times New Roman" w:hAnsi="Times New Roman" w:eastAsia="仿宋_GB2312" w:cs="Times New Roman"/>
                <w:sz w:val="20"/>
                <w:szCs w:val="20"/>
              </w:rPr>
              <w:t>得分</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p>
        </w:tc>
        <w:tc>
          <w:tcPr>
            <w:tcW w:w="2033" w:type="dxa"/>
            <w:gridSpan w:val="2"/>
            <w:tcBorders>
              <w:top w:val="nil"/>
              <w:left w:val="nil"/>
              <w:bottom w:val="single" w:color="auto" w:sz="4" w:space="0"/>
              <w:right w:val="single" w:color="auto" w:sz="4" w:space="0"/>
            </w:tcBorders>
            <w:noWrap w:val="0"/>
            <w:vAlign w:val="center"/>
          </w:tcPr>
          <w:p>
            <w:pPr>
              <w:spacing w:line="240" w:lineRule="exact"/>
              <w:jc w:val="center"/>
              <w:rPr>
                <w:rFonts w:ascii="Times New Roman" w:hAnsi="Times New Roman" w:eastAsia="仿宋_GB2312" w:cs="Times New Roman"/>
                <w:sz w:val="20"/>
                <w:szCs w:val="20"/>
              </w:rPr>
            </w:pPr>
            <w:r>
              <w:rPr>
                <w:rFonts w:ascii="Times New Roman" w:hAnsi="Times New Roman" w:eastAsia="仿宋_GB2312" w:cs="Times New Roman"/>
                <w:color w:val="000000"/>
                <w:sz w:val="20"/>
                <w:szCs w:val="20"/>
              </w:rPr>
              <w:t>年度资金总额</w:t>
            </w:r>
          </w:p>
        </w:tc>
        <w:tc>
          <w:tcPr>
            <w:tcW w:w="1256" w:type="dxa"/>
            <w:tcBorders>
              <w:top w:val="nil"/>
              <w:left w:val="nil"/>
              <w:bottom w:val="single" w:color="auto" w:sz="4" w:space="0"/>
              <w:right w:val="single" w:color="auto" w:sz="4" w:space="0"/>
            </w:tcBorders>
            <w:noWrap w:val="0"/>
            <w:vAlign w:val="center"/>
          </w:tcPr>
          <w:p>
            <w:pPr>
              <w:spacing w:line="240" w:lineRule="exact"/>
              <w:jc w:val="center"/>
              <w:rPr>
                <w:rFonts w:hint="default" w:ascii="Times New Roman" w:hAnsi="Times New Roman" w:eastAsia="仿宋_GB2312" w:cs="Times New Roman"/>
                <w:sz w:val="20"/>
                <w:szCs w:val="20"/>
                <w:lang w:val="en-US" w:eastAsia="zh-CN"/>
              </w:rPr>
            </w:pPr>
            <w:r>
              <w:rPr>
                <w:rFonts w:hint="eastAsia" w:ascii="Times New Roman" w:hAnsi="Times New Roman" w:eastAsia="仿宋_GB2312" w:cs="Times New Roman"/>
                <w:sz w:val="20"/>
                <w:szCs w:val="20"/>
                <w:lang w:val="en-US" w:eastAsia="zh-CN"/>
              </w:rPr>
              <w:t>1495.7</w:t>
            </w:r>
            <w:r>
              <w:rPr>
                <w:rFonts w:hint="default" w:ascii="Times New Roman" w:hAnsi="Times New Roman" w:eastAsia="仿宋_GB2312" w:cs="Times New Roman"/>
                <w:sz w:val="20"/>
                <w:szCs w:val="20"/>
                <w:lang w:eastAsia="zh-CN"/>
              </w:rPr>
              <w:t>5</w:t>
            </w:r>
          </w:p>
        </w:tc>
        <w:tc>
          <w:tcPr>
            <w:tcW w:w="1406" w:type="dxa"/>
            <w:gridSpan w:val="2"/>
            <w:tcBorders>
              <w:top w:val="nil"/>
              <w:left w:val="nil"/>
              <w:bottom w:val="single" w:color="auto" w:sz="4" w:space="0"/>
              <w:right w:val="single" w:color="auto" w:sz="4" w:space="0"/>
            </w:tcBorders>
            <w:noWrap w:val="0"/>
            <w:vAlign w:val="center"/>
          </w:tcPr>
          <w:p>
            <w:pPr>
              <w:spacing w:line="240" w:lineRule="exact"/>
              <w:jc w:val="center"/>
              <w:rPr>
                <w:rFonts w:hint="default" w:ascii="Times New Roman" w:hAnsi="Times New Roman" w:eastAsia="仿宋_GB2312" w:cs="Times New Roman"/>
                <w:sz w:val="20"/>
                <w:szCs w:val="20"/>
                <w:lang w:eastAsia="zh-CN"/>
              </w:rPr>
            </w:pPr>
            <w:r>
              <w:rPr>
                <w:rFonts w:hint="eastAsia" w:ascii="Times New Roman" w:hAnsi="Times New Roman" w:eastAsia="仿宋_GB2312" w:cs="Times New Roman"/>
                <w:sz w:val="20"/>
                <w:szCs w:val="20"/>
                <w:lang w:val="en-US" w:eastAsia="zh-CN"/>
              </w:rPr>
              <w:t>1495.7</w:t>
            </w:r>
            <w:r>
              <w:rPr>
                <w:rFonts w:hint="default" w:ascii="Times New Roman" w:hAnsi="Times New Roman" w:eastAsia="仿宋_GB2312" w:cs="Times New Roman"/>
                <w:sz w:val="20"/>
                <w:szCs w:val="20"/>
                <w:lang w:eastAsia="zh-CN"/>
              </w:rPr>
              <w:t>5</w:t>
            </w:r>
          </w:p>
        </w:tc>
        <w:tc>
          <w:tcPr>
            <w:tcW w:w="1269" w:type="dxa"/>
            <w:tcBorders>
              <w:top w:val="nil"/>
              <w:left w:val="nil"/>
              <w:bottom w:val="single" w:color="auto" w:sz="4" w:space="0"/>
              <w:right w:val="single" w:color="auto" w:sz="4" w:space="0"/>
            </w:tcBorders>
            <w:noWrap w:val="0"/>
            <w:vAlign w:val="center"/>
          </w:tcPr>
          <w:p>
            <w:pPr>
              <w:spacing w:line="240" w:lineRule="exact"/>
              <w:jc w:val="center"/>
              <w:rPr>
                <w:rFonts w:hint="default" w:ascii="Times New Roman" w:hAnsi="Times New Roman" w:eastAsia="仿宋_GB2312" w:cs="Times New Roman"/>
                <w:sz w:val="20"/>
                <w:szCs w:val="20"/>
                <w:lang w:eastAsia="zh-CN"/>
              </w:rPr>
            </w:pPr>
            <w:r>
              <w:rPr>
                <w:rFonts w:hint="eastAsia" w:ascii="Times New Roman" w:hAnsi="Times New Roman" w:eastAsia="仿宋_GB2312" w:cs="Times New Roman"/>
                <w:sz w:val="20"/>
                <w:szCs w:val="20"/>
                <w:lang w:val="en-US" w:eastAsia="zh-CN"/>
              </w:rPr>
              <w:t>1495.7</w:t>
            </w:r>
            <w:r>
              <w:rPr>
                <w:rFonts w:hint="default" w:ascii="Times New Roman" w:hAnsi="Times New Roman" w:eastAsia="仿宋_GB2312" w:cs="Times New Roman"/>
                <w:sz w:val="20"/>
                <w:szCs w:val="20"/>
                <w:lang w:eastAsia="zh-CN"/>
              </w:rPr>
              <w:t>5</w:t>
            </w:r>
          </w:p>
        </w:tc>
        <w:tc>
          <w:tcPr>
            <w:tcW w:w="716" w:type="dxa"/>
            <w:tcBorders>
              <w:top w:val="nil"/>
              <w:left w:val="nil"/>
              <w:bottom w:val="single" w:color="auto" w:sz="4" w:space="0"/>
              <w:right w:val="single" w:color="auto" w:sz="4" w:space="0"/>
            </w:tcBorders>
            <w:noWrap w:val="0"/>
            <w:vAlign w:val="center"/>
          </w:tcPr>
          <w:p>
            <w:pPr>
              <w:spacing w:line="240" w:lineRule="exact"/>
              <w:jc w:val="center"/>
              <w:rPr>
                <w:rFonts w:ascii="Times New Roman" w:hAnsi="Times New Roman" w:eastAsia="仿宋_GB2312" w:cs="Times New Roman"/>
                <w:sz w:val="20"/>
                <w:szCs w:val="20"/>
              </w:rPr>
            </w:pPr>
            <w:r>
              <w:rPr>
                <w:rFonts w:ascii="Times New Roman" w:hAnsi="Times New Roman" w:eastAsia="仿宋_GB2312" w:cs="Times New Roman"/>
                <w:sz w:val="20"/>
                <w:szCs w:val="20"/>
              </w:rPr>
              <w:t>10</w:t>
            </w:r>
          </w:p>
        </w:tc>
        <w:tc>
          <w:tcPr>
            <w:tcW w:w="881" w:type="dxa"/>
            <w:tcBorders>
              <w:top w:val="nil"/>
              <w:left w:val="nil"/>
              <w:bottom w:val="single" w:color="auto" w:sz="4" w:space="0"/>
              <w:right w:val="single" w:color="auto" w:sz="4" w:space="0"/>
            </w:tcBorders>
            <w:noWrap w:val="0"/>
            <w:vAlign w:val="center"/>
          </w:tcPr>
          <w:p>
            <w:pPr>
              <w:spacing w:line="240" w:lineRule="exact"/>
              <w:jc w:val="center"/>
              <w:rPr>
                <w:rFonts w:hint="default" w:ascii="Times New Roman" w:hAnsi="Times New Roman" w:eastAsia="仿宋_GB2312" w:cs="Times New Roman"/>
                <w:sz w:val="20"/>
                <w:szCs w:val="20"/>
                <w:lang w:val="en-US" w:eastAsia="zh-CN"/>
              </w:rPr>
            </w:pPr>
            <w:r>
              <w:rPr>
                <w:rFonts w:hint="eastAsia" w:ascii="Times New Roman" w:hAnsi="Times New Roman" w:eastAsia="仿宋_GB2312" w:cs="Times New Roman"/>
                <w:sz w:val="20"/>
                <w:szCs w:val="20"/>
                <w:lang w:val="en-US" w:eastAsia="zh-CN"/>
              </w:rPr>
              <w:t>100%</w:t>
            </w:r>
          </w:p>
        </w:tc>
        <w:tc>
          <w:tcPr>
            <w:tcW w:w="1438" w:type="dxa"/>
            <w:tcBorders>
              <w:top w:val="nil"/>
              <w:left w:val="nil"/>
              <w:bottom w:val="single" w:color="auto" w:sz="4" w:space="0"/>
              <w:right w:val="single" w:color="auto" w:sz="4" w:space="0"/>
            </w:tcBorders>
            <w:noWrap w:val="0"/>
            <w:vAlign w:val="center"/>
          </w:tcPr>
          <w:p>
            <w:pPr>
              <w:spacing w:line="240" w:lineRule="exact"/>
              <w:jc w:val="center"/>
              <w:rPr>
                <w:rFonts w:hint="default" w:ascii="Times New Roman" w:hAnsi="Times New Roman" w:eastAsia="仿宋_GB2312" w:cs="Times New Roman"/>
                <w:sz w:val="20"/>
                <w:szCs w:val="20"/>
                <w:lang w:val="en-US" w:eastAsia="zh-CN"/>
              </w:rPr>
            </w:pPr>
            <w:r>
              <w:rPr>
                <w:rFonts w:hint="eastAsia" w:ascii="Times New Roman" w:hAnsi="Times New Roman" w:eastAsia="仿宋_GB2312" w:cs="Times New Roman"/>
                <w:sz w:val="20"/>
                <w:szCs w:val="20"/>
                <w:lang w:val="en-US" w:eastAsia="zh-CN"/>
              </w:rPr>
              <w:t>10</w:t>
            </w:r>
          </w:p>
        </w:tc>
      </w:tr>
      <w:tr>
        <w:trPr>
          <w:jc w:val="center"/>
        </w:trPr>
        <w:tc>
          <w:tcPr>
            <w:tcW w:w="1080" w:type="dxa"/>
            <w:vMerge w:val="continue"/>
            <w:tcBorders>
              <w:left w:val="single" w:color="auto" w:sz="4" w:space="0"/>
              <w:right w:val="single" w:color="auto" w:sz="4" w:space="0"/>
            </w:tcBorders>
            <w:noWrap w:val="0"/>
            <w:vAlign w:val="center"/>
          </w:tcPr>
          <w:p>
            <w:pPr>
              <w:widowControl/>
              <w:spacing w:line="240" w:lineRule="exact"/>
              <w:jc w:val="left"/>
              <w:rPr>
                <w:rFonts w:ascii="Times New Roman" w:hAnsi="Times New Roman" w:eastAsia="仿宋_GB2312" w:cs="Times New Roman"/>
                <w:color w:val="000000"/>
                <w:sz w:val="20"/>
                <w:szCs w:val="20"/>
              </w:rPr>
            </w:pPr>
          </w:p>
        </w:tc>
        <w:tc>
          <w:tcPr>
            <w:tcW w:w="4695" w:type="dxa"/>
            <w:gridSpan w:val="5"/>
            <w:tcBorders>
              <w:top w:val="nil"/>
              <w:left w:val="nil"/>
              <w:bottom w:val="single" w:color="auto" w:sz="4" w:space="0"/>
              <w:right w:val="single" w:color="auto" w:sz="4" w:space="0"/>
            </w:tcBorders>
            <w:noWrap w:val="0"/>
            <w:vAlign w:val="center"/>
          </w:tcPr>
          <w:p>
            <w:pPr>
              <w:widowControl/>
              <w:spacing w:line="240" w:lineRule="exact"/>
              <w:jc w:val="left"/>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按收入性质分：</w:t>
            </w:r>
          </w:p>
        </w:tc>
        <w:tc>
          <w:tcPr>
            <w:tcW w:w="4304" w:type="dxa"/>
            <w:gridSpan w:val="4"/>
            <w:tcBorders>
              <w:top w:val="nil"/>
              <w:left w:val="nil"/>
              <w:bottom w:val="single" w:color="auto" w:sz="4" w:space="0"/>
              <w:right w:val="single" w:color="auto" w:sz="4" w:space="0"/>
            </w:tcBorders>
            <w:noWrap w:val="0"/>
            <w:vAlign w:val="center"/>
          </w:tcPr>
          <w:p>
            <w:pPr>
              <w:widowControl/>
              <w:spacing w:line="240" w:lineRule="exact"/>
              <w:jc w:val="left"/>
              <w:rPr>
                <w:rFonts w:hint="default" w:ascii="Times New Roman" w:hAnsi="Times New Roman" w:eastAsia="仿宋_GB2312" w:cs="Times New Roman"/>
                <w:color w:val="000000"/>
                <w:sz w:val="20"/>
                <w:szCs w:val="20"/>
                <w:lang w:val="en-US" w:eastAsia="zh-CN"/>
              </w:rPr>
            </w:pPr>
            <w:r>
              <w:rPr>
                <w:rFonts w:ascii="Times New Roman" w:hAnsi="Times New Roman" w:eastAsia="仿宋_GB2312" w:cs="Times New Roman"/>
                <w:color w:val="000000"/>
                <w:sz w:val="20"/>
                <w:szCs w:val="20"/>
              </w:rPr>
              <w:t>按支出性质分：</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widowControl/>
              <w:spacing w:line="240" w:lineRule="exact"/>
              <w:jc w:val="left"/>
              <w:rPr>
                <w:rFonts w:ascii="Times New Roman" w:hAnsi="Times New Roman" w:eastAsia="仿宋_GB2312" w:cs="Times New Roman"/>
                <w:color w:val="000000"/>
                <w:sz w:val="20"/>
                <w:szCs w:val="20"/>
              </w:rPr>
            </w:pPr>
          </w:p>
        </w:tc>
        <w:tc>
          <w:tcPr>
            <w:tcW w:w="4695" w:type="dxa"/>
            <w:gridSpan w:val="5"/>
            <w:tcBorders>
              <w:top w:val="nil"/>
              <w:left w:val="nil"/>
              <w:bottom w:val="single" w:color="auto" w:sz="4" w:space="0"/>
              <w:right w:val="single" w:color="auto" w:sz="4" w:space="0"/>
            </w:tcBorders>
            <w:noWrap w:val="0"/>
            <w:vAlign w:val="center"/>
          </w:tcPr>
          <w:p>
            <w:pPr>
              <w:widowControl/>
              <w:spacing w:line="240" w:lineRule="exact"/>
              <w:jc w:val="left"/>
              <w:rPr>
                <w:rFonts w:hint="default" w:ascii="Times New Roman" w:hAnsi="Times New Roman" w:eastAsia="仿宋_GB2312" w:cs="Times New Roman"/>
                <w:color w:val="000000"/>
                <w:sz w:val="20"/>
                <w:szCs w:val="20"/>
                <w:lang w:eastAsia="zh-CN"/>
              </w:rPr>
            </w:pPr>
            <w:r>
              <w:rPr>
                <w:rFonts w:ascii="Times New Roman" w:hAnsi="Times New Roman" w:eastAsia="仿宋_GB2312" w:cs="Times New Roman"/>
                <w:color w:val="000000"/>
                <w:sz w:val="20"/>
                <w:szCs w:val="20"/>
              </w:rPr>
              <w:t xml:space="preserve">  其中：  一般公共预算：</w:t>
            </w:r>
            <w:r>
              <w:rPr>
                <w:rFonts w:hint="eastAsia" w:ascii="Times New Roman" w:hAnsi="Times New Roman" w:eastAsia="仿宋_GB2312" w:cs="Times New Roman"/>
                <w:color w:val="000000"/>
                <w:sz w:val="20"/>
                <w:szCs w:val="20"/>
                <w:lang w:val="en-US" w:eastAsia="zh-CN"/>
              </w:rPr>
              <w:t>1254.8</w:t>
            </w:r>
            <w:r>
              <w:rPr>
                <w:rFonts w:hint="default" w:ascii="Times New Roman" w:hAnsi="Times New Roman" w:eastAsia="仿宋_GB2312" w:cs="Times New Roman"/>
                <w:color w:val="000000"/>
                <w:sz w:val="20"/>
                <w:szCs w:val="20"/>
                <w:lang w:eastAsia="zh-CN"/>
              </w:rPr>
              <w:t>5</w:t>
            </w:r>
          </w:p>
        </w:tc>
        <w:tc>
          <w:tcPr>
            <w:tcW w:w="4304" w:type="dxa"/>
            <w:gridSpan w:val="4"/>
            <w:tcBorders>
              <w:top w:val="nil"/>
              <w:left w:val="nil"/>
              <w:bottom w:val="single" w:color="auto" w:sz="4" w:space="0"/>
              <w:right w:val="single" w:color="auto" w:sz="4" w:space="0"/>
            </w:tcBorders>
            <w:noWrap w:val="0"/>
            <w:vAlign w:val="center"/>
          </w:tcPr>
          <w:p>
            <w:pPr>
              <w:widowControl/>
              <w:spacing w:line="240" w:lineRule="exact"/>
              <w:jc w:val="left"/>
              <w:rPr>
                <w:rFonts w:hint="default" w:ascii="Times New Roman" w:hAnsi="Times New Roman" w:eastAsia="仿宋_GB2312" w:cs="Times New Roman"/>
                <w:color w:val="000000"/>
                <w:sz w:val="20"/>
                <w:szCs w:val="20"/>
                <w:lang w:val="en-US" w:eastAsia="zh-CN"/>
              </w:rPr>
            </w:pPr>
            <w:r>
              <w:rPr>
                <w:rFonts w:ascii="Times New Roman" w:hAnsi="Times New Roman" w:eastAsia="仿宋_GB2312" w:cs="Times New Roman"/>
                <w:color w:val="000000"/>
                <w:sz w:val="20"/>
                <w:szCs w:val="20"/>
              </w:rPr>
              <w:t>其中：基本支出：</w:t>
            </w:r>
            <w:r>
              <w:rPr>
                <w:rFonts w:hint="eastAsia" w:ascii="Times New Roman" w:hAnsi="Times New Roman" w:eastAsia="仿宋_GB2312" w:cs="Times New Roman"/>
                <w:color w:val="000000"/>
                <w:sz w:val="20"/>
                <w:szCs w:val="20"/>
                <w:lang w:val="en-US" w:eastAsia="zh-CN"/>
              </w:rPr>
              <w:t>1467.14</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widowControl/>
              <w:spacing w:line="240" w:lineRule="exact"/>
              <w:jc w:val="left"/>
              <w:rPr>
                <w:rFonts w:ascii="Times New Roman" w:hAnsi="Times New Roman" w:eastAsia="仿宋_GB2312" w:cs="Times New Roman"/>
                <w:color w:val="000000"/>
                <w:sz w:val="20"/>
                <w:szCs w:val="20"/>
              </w:rPr>
            </w:pPr>
          </w:p>
        </w:tc>
        <w:tc>
          <w:tcPr>
            <w:tcW w:w="4695" w:type="dxa"/>
            <w:gridSpan w:val="5"/>
            <w:tcBorders>
              <w:top w:val="nil"/>
              <w:left w:val="nil"/>
              <w:bottom w:val="single" w:color="auto" w:sz="4" w:space="0"/>
              <w:right w:val="single" w:color="auto" w:sz="4" w:space="0"/>
            </w:tcBorders>
            <w:noWrap w:val="0"/>
            <w:vAlign w:val="center"/>
          </w:tcPr>
          <w:p>
            <w:pPr>
              <w:widowControl/>
              <w:spacing w:line="240" w:lineRule="exact"/>
              <w:ind w:firstLine="800" w:firstLineChars="400"/>
              <w:jc w:val="left"/>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政府性基金拨款：</w:t>
            </w:r>
          </w:p>
        </w:tc>
        <w:tc>
          <w:tcPr>
            <w:tcW w:w="4304" w:type="dxa"/>
            <w:gridSpan w:val="4"/>
            <w:tcBorders>
              <w:top w:val="nil"/>
              <w:left w:val="nil"/>
              <w:bottom w:val="single" w:color="auto" w:sz="4" w:space="0"/>
              <w:right w:val="single" w:color="auto" w:sz="4" w:space="0"/>
            </w:tcBorders>
            <w:noWrap w:val="0"/>
            <w:vAlign w:val="center"/>
          </w:tcPr>
          <w:p>
            <w:pPr>
              <w:widowControl/>
              <w:spacing w:line="240" w:lineRule="exact"/>
              <w:ind w:firstLine="600" w:firstLineChars="300"/>
              <w:jc w:val="left"/>
              <w:rPr>
                <w:rFonts w:hint="default" w:ascii="Times New Roman" w:hAnsi="Times New Roman" w:eastAsia="仿宋_GB2312" w:cs="Times New Roman"/>
                <w:color w:val="000000"/>
                <w:sz w:val="20"/>
                <w:szCs w:val="20"/>
                <w:lang w:val="en-US" w:eastAsia="zh-CN"/>
              </w:rPr>
            </w:pPr>
            <w:r>
              <w:rPr>
                <w:rFonts w:ascii="Times New Roman" w:hAnsi="Times New Roman" w:eastAsia="仿宋_GB2312" w:cs="Times New Roman"/>
                <w:color w:val="000000"/>
                <w:sz w:val="20"/>
                <w:szCs w:val="20"/>
              </w:rPr>
              <w:t>项目支出：</w:t>
            </w:r>
            <w:r>
              <w:rPr>
                <w:rFonts w:hint="eastAsia" w:ascii="Times New Roman" w:hAnsi="Times New Roman" w:eastAsia="仿宋_GB2312" w:cs="Times New Roman"/>
                <w:color w:val="000000"/>
                <w:sz w:val="20"/>
                <w:szCs w:val="20"/>
                <w:lang w:val="en-US" w:eastAsia="zh-CN"/>
              </w:rPr>
              <w:t>28.6</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widowControl/>
              <w:spacing w:line="240" w:lineRule="exact"/>
              <w:jc w:val="left"/>
              <w:rPr>
                <w:rFonts w:ascii="Times New Roman" w:hAnsi="Times New Roman" w:eastAsia="仿宋_GB2312" w:cs="Times New Roman"/>
                <w:color w:val="000000"/>
                <w:sz w:val="20"/>
                <w:szCs w:val="20"/>
              </w:rPr>
            </w:pPr>
          </w:p>
        </w:tc>
        <w:tc>
          <w:tcPr>
            <w:tcW w:w="4695" w:type="dxa"/>
            <w:gridSpan w:val="5"/>
            <w:tcBorders>
              <w:top w:val="nil"/>
              <w:left w:val="nil"/>
              <w:bottom w:val="single" w:color="auto" w:sz="4" w:space="0"/>
              <w:right w:val="single" w:color="auto" w:sz="4" w:space="0"/>
            </w:tcBorders>
            <w:noWrap w:val="0"/>
            <w:vAlign w:val="center"/>
          </w:tcPr>
          <w:p>
            <w:pPr>
              <w:widowControl/>
              <w:spacing w:line="240" w:lineRule="exact"/>
              <w:jc w:val="left"/>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纳入专户管理的非税收入拨款：</w:t>
            </w:r>
          </w:p>
        </w:tc>
        <w:tc>
          <w:tcPr>
            <w:tcW w:w="4304" w:type="dxa"/>
            <w:gridSpan w:val="4"/>
            <w:tcBorders>
              <w:top w:val="nil"/>
              <w:left w:val="nil"/>
              <w:bottom w:val="single" w:color="auto" w:sz="4" w:space="0"/>
              <w:right w:val="single" w:color="auto" w:sz="4" w:space="0"/>
            </w:tcBorders>
            <w:noWrap w:val="0"/>
            <w:vAlign w:val="center"/>
          </w:tcPr>
          <w:p>
            <w:pPr>
              <w:widowControl/>
              <w:spacing w:line="240" w:lineRule="exact"/>
              <w:jc w:val="left"/>
              <w:rPr>
                <w:rFonts w:ascii="Times New Roman" w:hAnsi="Times New Roman" w:eastAsia="仿宋_GB2312" w:cs="Times New Roman"/>
                <w:color w:val="000000"/>
                <w:sz w:val="20"/>
                <w:szCs w:val="20"/>
              </w:rPr>
            </w:pPr>
          </w:p>
        </w:tc>
      </w:tr>
      <w:tr>
        <w:trPr>
          <w:jc w:val="center"/>
        </w:trPr>
        <w:tc>
          <w:tcPr>
            <w:tcW w:w="1080" w:type="dxa"/>
            <w:vMerge w:val="continue"/>
            <w:tcBorders>
              <w:left w:val="single" w:color="auto" w:sz="4" w:space="0"/>
              <w:bottom w:val="single" w:color="000000" w:sz="4" w:space="0"/>
              <w:right w:val="single" w:color="auto" w:sz="4" w:space="0"/>
            </w:tcBorders>
            <w:noWrap w:val="0"/>
            <w:vAlign w:val="center"/>
          </w:tcPr>
          <w:p>
            <w:pPr>
              <w:widowControl/>
              <w:spacing w:line="240" w:lineRule="exact"/>
              <w:jc w:val="left"/>
              <w:rPr>
                <w:rFonts w:ascii="Times New Roman" w:hAnsi="Times New Roman" w:eastAsia="仿宋_GB2312" w:cs="Times New Roman"/>
                <w:color w:val="000000"/>
                <w:sz w:val="20"/>
                <w:szCs w:val="20"/>
              </w:rPr>
            </w:pPr>
          </w:p>
        </w:tc>
        <w:tc>
          <w:tcPr>
            <w:tcW w:w="4695" w:type="dxa"/>
            <w:gridSpan w:val="5"/>
            <w:tcBorders>
              <w:top w:val="nil"/>
              <w:left w:val="nil"/>
              <w:bottom w:val="single" w:color="auto" w:sz="4" w:space="0"/>
              <w:right w:val="single" w:color="auto" w:sz="4" w:space="0"/>
            </w:tcBorders>
            <w:noWrap w:val="0"/>
            <w:vAlign w:val="center"/>
          </w:tcPr>
          <w:p>
            <w:pPr>
              <w:widowControl/>
              <w:spacing w:line="240" w:lineRule="exact"/>
              <w:ind w:firstLine="1400" w:firstLineChars="700"/>
              <w:jc w:val="left"/>
              <w:rPr>
                <w:rFonts w:hint="default" w:ascii="Times New Roman" w:hAnsi="Times New Roman" w:eastAsia="仿宋_GB2312" w:cs="Times New Roman"/>
                <w:color w:val="000000"/>
                <w:sz w:val="20"/>
                <w:szCs w:val="20"/>
                <w:lang w:val="en-US" w:eastAsia="zh-CN"/>
              </w:rPr>
            </w:pPr>
            <w:r>
              <w:rPr>
                <w:rFonts w:hint="eastAsia" w:ascii="Times New Roman" w:hAnsi="Times New Roman" w:eastAsia="仿宋_GB2312" w:cs="Times New Roman"/>
                <w:color w:val="000000"/>
                <w:sz w:val="20"/>
                <w:szCs w:val="20"/>
                <w:lang w:eastAsia="zh-CN"/>
              </w:rPr>
              <w:t>上年结转</w:t>
            </w:r>
            <w:r>
              <w:rPr>
                <w:rFonts w:ascii="Times New Roman" w:hAnsi="Times New Roman" w:eastAsia="仿宋_GB2312" w:cs="Times New Roman"/>
                <w:color w:val="000000"/>
                <w:sz w:val="20"/>
                <w:szCs w:val="20"/>
              </w:rPr>
              <w:t>资金：</w:t>
            </w:r>
            <w:r>
              <w:rPr>
                <w:rFonts w:hint="eastAsia" w:ascii="Times New Roman" w:hAnsi="Times New Roman" w:eastAsia="仿宋_GB2312" w:cs="Times New Roman"/>
                <w:color w:val="000000"/>
                <w:sz w:val="20"/>
                <w:szCs w:val="20"/>
                <w:lang w:val="en-US" w:eastAsia="zh-CN"/>
              </w:rPr>
              <w:t>240.9</w:t>
            </w:r>
          </w:p>
        </w:tc>
        <w:tc>
          <w:tcPr>
            <w:tcW w:w="4304" w:type="dxa"/>
            <w:gridSpan w:val="4"/>
            <w:tcBorders>
              <w:top w:val="nil"/>
              <w:left w:val="nil"/>
              <w:bottom w:val="single" w:color="auto" w:sz="4" w:space="0"/>
              <w:right w:val="single" w:color="auto" w:sz="4" w:space="0"/>
            </w:tcBorders>
            <w:noWrap w:val="0"/>
            <w:vAlign w:val="center"/>
          </w:tcPr>
          <w:p>
            <w:pPr>
              <w:widowControl/>
              <w:spacing w:line="240" w:lineRule="exact"/>
              <w:jc w:val="left"/>
              <w:rPr>
                <w:rFonts w:ascii="Times New Roman" w:hAnsi="Times New Roman" w:eastAsia="仿宋_GB2312" w:cs="Times New Roman"/>
                <w:color w:val="000000"/>
                <w:sz w:val="20"/>
                <w:szCs w:val="20"/>
              </w:rPr>
            </w:pPr>
          </w:p>
        </w:tc>
      </w:tr>
      <w:tr>
        <w:tblPrEx>
          <w:tblCellMar>
            <w:top w:w="0" w:type="dxa"/>
            <w:left w:w="108" w:type="dxa"/>
            <w:bottom w:w="0" w:type="dxa"/>
            <w:right w:w="108" w:type="dxa"/>
          </w:tblCellMar>
        </w:tblPrEx>
        <w:trPr>
          <w:jc w:val="center"/>
        </w:trPr>
        <w:tc>
          <w:tcPr>
            <w:tcW w:w="1080" w:type="dxa"/>
            <w:vMerge w:val="restart"/>
            <w:tcBorders>
              <w:top w:val="nil"/>
              <w:left w:val="single" w:color="auto" w:sz="4" w:space="0"/>
              <w:bottom w:val="single" w:color="000000"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年度总体目标</w:t>
            </w:r>
          </w:p>
        </w:tc>
        <w:tc>
          <w:tcPr>
            <w:tcW w:w="4695" w:type="dxa"/>
            <w:gridSpan w:val="5"/>
            <w:tcBorders>
              <w:top w:val="single" w:color="auto" w:sz="4" w:space="0"/>
              <w:left w:val="nil"/>
              <w:bottom w:val="single" w:color="auto" w:sz="4" w:space="0"/>
              <w:right w:val="single" w:color="000000"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预期目标</w:t>
            </w:r>
          </w:p>
        </w:tc>
        <w:tc>
          <w:tcPr>
            <w:tcW w:w="4304" w:type="dxa"/>
            <w:gridSpan w:val="4"/>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实际完成情况　</w:t>
            </w:r>
          </w:p>
        </w:tc>
      </w:tr>
      <w:tr>
        <w:tblPrEx>
          <w:tblCellMar>
            <w:top w:w="0" w:type="dxa"/>
            <w:left w:w="108" w:type="dxa"/>
            <w:bottom w:w="0" w:type="dxa"/>
            <w:right w:w="108" w:type="dxa"/>
          </w:tblCellMar>
        </w:tblPrEx>
        <w:trPr>
          <w:trHeight w:val="90" w:hRule="atLeast"/>
          <w:jc w:val="center"/>
        </w:trPr>
        <w:tc>
          <w:tcPr>
            <w:tcW w:w="1080" w:type="dxa"/>
            <w:vMerge w:val="continue"/>
            <w:tcBorders>
              <w:top w:val="nil"/>
              <w:left w:val="single" w:color="auto" w:sz="4" w:space="0"/>
              <w:bottom w:val="single" w:color="000000" w:sz="4" w:space="0"/>
              <w:right w:val="single" w:color="auto" w:sz="4" w:space="0"/>
            </w:tcBorders>
            <w:noWrap w:val="0"/>
            <w:vAlign w:val="center"/>
          </w:tcPr>
          <w:p>
            <w:pPr>
              <w:widowControl/>
              <w:spacing w:line="240" w:lineRule="exact"/>
              <w:jc w:val="left"/>
              <w:rPr>
                <w:rFonts w:ascii="Times New Roman" w:hAnsi="Times New Roman" w:eastAsia="仿宋_GB2312" w:cs="Times New Roman"/>
                <w:color w:val="000000"/>
                <w:sz w:val="20"/>
                <w:szCs w:val="20"/>
              </w:rPr>
            </w:pPr>
          </w:p>
        </w:tc>
        <w:tc>
          <w:tcPr>
            <w:tcW w:w="4695" w:type="dxa"/>
            <w:gridSpan w:val="5"/>
            <w:tcBorders>
              <w:top w:val="single" w:color="auto" w:sz="4" w:space="0"/>
              <w:left w:val="nil"/>
              <w:bottom w:val="single" w:color="auto" w:sz="4" w:space="0"/>
              <w:right w:val="single" w:color="000000"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hint="eastAsia" w:ascii="Times New Roman" w:hAnsi="Times New Roman" w:eastAsia="仿宋_GB2312" w:cs="Times New Roman"/>
                <w:color w:val="000000"/>
                <w:sz w:val="20"/>
                <w:szCs w:val="20"/>
              </w:rPr>
              <w:t>制定和组织实施经济、科技和社会发展计划，部署重点工程建设，地方道路建设及公共设施，水利设施的管理，负责土地、林木、 水等自然资源和生态环境的保护，做好护林防火工作，负责本辖区内的民政、文化教育、卫生、体育等社会公益事业的综合性工作，按计划组织税收的征收，管好财政资金，增强财政实力。</w:t>
            </w:r>
            <w:r>
              <w:rPr>
                <w:rFonts w:ascii="Times New Roman" w:hAnsi="Times New Roman" w:eastAsia="仿宋_GB2312" w:cs="Times New Roman"/>
                <w:color w:val="000000"/>
                <w:sz w:val="20"/>
                <w:szCs w:val="20"/>
              </w:rPr>
              <w:t>　　</w:t>
            </w:r>
          </w:p>
        </w:tc>
        <w:tc>
          <w:tcPr>
            <w:tcW w:w="4304" w:type="dxa"/>
            <w:gridSpan w:val="4"/>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　</w:t>
            </w:r>
            <w:r>
              <w:rPr>
                <w:rFonts w:hint="eastAsia" w:eastAsia="仿宋_GB2312"/>
                <w:color w:val="000000"/>
                <w:kern w:val="0"/>
                <w:szCs w:val="21"/>
              </w:rPr>
              <w:t>实现了乡政府正常运转，各职能部门正常履职。按计划组织本级财政收入和地方税的征收，完成国家财政计划，不断培植税源，管好财政资金，增强财政实。</w:t>
            </w:r>
          </w:p>
        </w:tc>
      </w:tr>
      <w:tr>
        <w:tblPrEx>
          <w:tblCellMar>
            <w:top w:w="0" w:type="dxa"/>
            <w:left w:w="108" w:type="dxa"/>
            <w:bottom w:w="0" w:type="dxa"/>
            <w:right w:w="108" w:type="dxa"/>
          </w:tblCellMar>
        </w:tblPrEx>
        <w:trPr>
          <w:jc w:val="center"/>
        </w:trPr>
        <w:tc>
          <w:tcPr>
            <w:tcW w:w="1080" w:type="dxa"/>
            <w:vMerge w:val="restart"/>
            <w:tcBorders>
              <w:top w:val="nil"/>
              <w:left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绩</w:t>
            </w:r>
          </w:p>
          <w:p>
            <w:pPr>
              <w:widowControl/>
              <w:spacing w:line="240" w:lineRule="exact"/>
              <w:jc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效</w:t>
            </w:r>
          </w:p>
          <w:p>
            <w:pPr>
              <w:widowControl/>
              <w:spacing w:line="240" w:lineRule="exact"/>
              <w:jc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指</w:t>
            </w:r>
          </w:p>
          <w:p>
            <w:pPr>
              <w:widowControl/>
              <w:spacing w:line="240" w:lineRule="exact"/>
              <w:jc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标</w:t>
            </w:r>
          </w:p>
          <w:p>
            <w:pPr>
              <w:widowControl/>
              <w:spacing w:line="240" w:lineRule="exact"/>
              <w:jc w:val="center"/>
              <w:rPr>
                <w:rFonts w:ascii="Times New Roman" w:hAnsi="Times New Roman" w:eastAsia="仿宋_GB2312" w:cs="Times New Roman"/>
                <w:color w:val="000000"/>
                <w:sz w:val="20"/>
                <w:szCs w:val="20"/>
              </w:rPr>
            </w:pPr>
          </w:p>
        </w:tc>
        <w:tc>
          <w:tcPr>
            <w:tcW w:w="1080" w:type="dxa"/>
            <w:tcBorders>
              <w:top w:val="nil"/>
              <w:left w:val="nil"/>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一级指标</w:t>
            </w:r>
          </w:p>
        </w:tc>
        <w:tc>
          <w:tcPr>
            <w:tcW w:w="953"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二级指标</w:t>
            </w:r>
          </w:p>
        </w:tc>
        <w:tc>
          <w:tcPr>
            <w:tcW w:w="135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三级指标</w:t>
            </w:r>
          </w:p>
        </w:tc>
        <w:tc>
          <w:tcPr>
            <w:tcW w:w="1311" w:type="dxa"/>
            <w:tcBorders>
              <w:top w:val="nil"/>
              <w:left w:val="nil"/>
              <w:bottom w:val="single" w:color="auto" w:sz="4" w:space="0"/>
              <w:right w:val="single" w:color="auto" w:sz="4" w:space="0"/>
            </w:tcBorders>
            <w:noWrap w:val="0"/>
            <w:vAlign w:val="center"/>
          </w:tcPr>
          <w:p>
            <w:pPr>
              <w:widowControl/>
              <w:spacing w:line="240" w:lineRule="exact"/>
              <w:jc w:val="both"/>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年度指标值</w:t>
            </w:r>
          </w:p>
        </w:tc>
        <w:tc>
          <w:tcPr>
            <w:tcW w:w="1269" w:type="dxa"/>
            <w:tcBorders>
              <w:top w:val="nil"/>
              <w:left w:val="nil"/>
              <w:bottom w:val="single" w:color="auto" w:sz="4" w:space="0"/>
              <w:right w:val="single" w:color="auto" w:sz="4" w:space="0"/>
            </w:tcBorders>
            <w:noWrap w:val="0"/>
            <w:vAlign w:val="center"/>
          </w:tcPr>
          <w:p>
            <w:pPr>
              <w:widowControl/>
              <w:spacing w:line="240" w:lineRule="exact"/>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实际完成值</w:t>
            </w:r>
          </w:p>
        </w:tc>
        <w:tc>
          <w:tcPr>
            <w:tcW w:w="716" w:type="dxa"/>
            <w:tcBorders>
              <w:top w:val="nil"/>
              <w:left w:val="nil"/>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分值</w:t>
            </w:r>
          </w:p>
        </w:tc>
        <w:tc>
          <w:tcPr>
            <w:tcW w:w="881" w:type="dxa"/>
            <w:tcBorders>
              <w:top w:val="nil"/>
              <w:left w:val="nil"/>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得分</w:t>
            </w:r>
          </w:p>
        </w:tc>
        <w:tc>
          <w:tcPr>
            <w:tcW w:w="1438" w:type="dxa"/>
            <w:tcBorders>
              <w:top w:val="nil"/>
              <w:left w:val="nil"/>
              <w:bottom w:val="single" w:color="auto" w:sz="4" w:space="0"/>
              <w:right w:val="single" w:color="auto" w:sz="4" w:space="0"/>
            </w:tcBorders>
            <w:noWrap w:val="0"/>
            <w:vAlign w:val="center"/>
          </w:tcPr>
          <w:p>
            <w:pPr>
              <w:widowControl/>
              <w:spacing w:line="240" w:lineRule="exact"/>
              <w:jc w:val="both"/>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偏差原因分析及改进措施</w:t>
            </w:r>
          </w:p>
        </w:tc>
      </w:tr>
      <w:tr>
        <w:tblPrEx>
          <w:tblCellMar>
            <w:top w:w="0" w:type="dxa"/>
            <w:left w:w="108" w:type="dxa"/>
            <w:bottom w:w="0" w:type="dxa"/>
            <w:right w:w="108" w:type="dxa"/>
          </w:tblCellMar>
        </w:tblPrEx>
        <w:trPr>
          <w:trHeight w:val="630" w:hRule="atLeast"/>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ascii="Times New Roman" w:hAnsi="Times New Roman" w:eastAsia="仿宋_GB2312" w:cs="Times New Roman"/>
                <w:color w:val="000000"/>
                <w:sz w:val="20"/>
                <w:szCs w:val="20"/>
              </w:rPr>
            </w:pPr>
          </w:p>
        </w:tc>
        <w:tc>
          <w:tcPr>
            <w:tcW w:w="1080" w:type="dxa"/>
            <w:vMerge w:val="restart"/>
            <w:tcBorders>
              <w:top w:val="nil"/>
              <w:left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产出指标</w:t>
            </w:r>
          </w:p>
          <w:p>
            <w:pPr>
              <w:widowControl/>
              <w:spacing w:line="240" w:lineRule="exact"/>
              <w:jc w:val="center"/>
              <w:rPr>
                <w:rFonts w:ascii="Times New Roman" w:hAnsi="Times New Roman" w:eastAsia="仿宋_GB2312" w:cs="Times New Roman"/>
                <w:color w:val="000000"/>
                <w:sz w:val="20"/>
                <w:szCs w:val="20"/>
              </w:rPr>
            </w:pPr>
          </w:p>
          <w:p>
            <w:pPr>
              <w:widowControl/>
              <w:spacing w:line="240" w:lineRule="exact"/>
              <w:jc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(50分)</w:t>
            </w:r>
          </w:p>
        </w:tc>
        <w:tc>
          <w:tcPr>
            <w:tcW w:w="953"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数量指标</w:t>
            </w:r>
          </w:p>
        </w:tc>
        <w:tc>
          <w:tcPr>
            <w:tcW w:w="135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hint="eastAsia" w:ascii="仿宋_GB2312" w:hAnsi="宋体" w:eastAsia="仿宋_GB2312" w:cs="宋体"/>
                <w:kern w:val="0"/>
                <w:sz w:val="20"/>
                <w:szCs w:val="20"/>
              </w:rPr>
              <w:t>在职人员控制率</w:t>
            </w:r>
          </w:p>
        </w:tc>
        <w:tc>
          <w:tcPr>
            <w:tcW w:w="1311"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Times New Roman" w:hAnsi="Times New Roman" w:eastAsia="仿宋_GB2312" w:cs="Times New Roman"/>
                <w:color w:val="000000"/>
                <w:sz w:val="20"/>
                <w:szCs w:val="20"/>
                <w:lang w:val="en-US" w:eastAsia="zh-CN"/>
              </w:rPr>
            </w:pPr>
            <w:r>
              <w:rPr>
                <w:rFonts w:hint="eastAsia" w:ascii="Times New Roman" w:hAnsi="Times New Roman" w:eastAsia="仿宋_GB2312" w:cs="Times New Roman"/>
                <w:color w:val="000000"/>
                <w:sz w:val="20"/>
                <w:szCs w:val="20"/>
                <w:lang w:val="en-US" w:eastAsia="zh-CN"/>
              </w:rPr>
              <w:t>83人</w:t>
            </w:r>
          </w:p>
        </w:tc>
        <w:tc>
          <w:tcPr>
            <w:tcW w:w="1269"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Times New Roman" w:hAnsi="Times New Roman" w:eastAsia="仿宋_GB2312" w:cs="Times New Roman"/>
                <w:color w:val="000000"/>
                <w:sz w:val="20"/>
                <w:szCs w:val="20"/>
                <w:lang w:val="en-US" w:eastAsia="zh-CN"/>
              </w:rPr>
            </w:pPr>
            <w:r>
              <w:rPr>
                <w:rFonts w:hint="eastAsia" w:ascii="Times New Roman" w:hAnsi="Times New Roman" w:eastAsia="仿宋_GB2312" w:cs="Times New Roman"/>
                <w:color w:val="000000"/>
                <w:sz w:val="20"/>
                <w:szCs w:val="20"/>
                <w:lang w:val="en-US" w:eastAsia="zh-CN"/>
              </w:rPr>
              <w:t>95人</w:t>
            </w:r>
          </w:p>
        </w:tc>
        <w:tc>
          <w:tcPr>
            <w:tcW w:w="716"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Times New Roman" w:hAnsi="Times New Roman" w:eastAsia="仿宋_GB2312" w:cs="Times New Roman"/>
                <w:color w:val="000000"/>
                <w:sz w:val="20"/>
                <w:szCs w:val="20"/>
                <w:lang w:val="en-US" w:eastAsia="zh-CN"/>
              </w:rPr>
            </w:pPr>
            <w:r>
              <w:rPr>
                <w:rFonts w:hint="eastAsia" w:ascii="Times New Roman" w:hAnsi="Times New Roman" w:eastAsia="仿宋_GB2312" w:cs="Times New Roman"/>
                <w:color w:val="000000"/>
                <w:sz w:val="20"/>
                <w:szCs w:val="20"/>
                <w:lang w:val="en-US" w:eastAsia="zh-CN"/>
              </w:rPr>
              <w:t>5</w:t>
            </w:r>
          </w:p>
        </w:tc>
        <w:tc>
          <w:tcPr>
            <w:tcW w:w="881" w:type="dxa"/>
            <w:tcBorders>
              <w:top w:val="nil"/>
              <w:left w:val="nil"/>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hint="eastAsia" w:ascii="Times New Roman" w:hAnsi="Times New Roman" w:eastAsia="仿宋_GB2312" w:cs="Times New Roman"/>
                <w:color w:val="000000"/>
                <w:sz w:val="20"/>
                <w:szCs w:val="20"/>
                <w:lang w:val="en-US" w:eastAsia="zh-CN"/>
              </w:rPr>
              <w:t>0</w:t>
            </w:r>
          </w:p>
        </w:tc>
        <w:tc>
          <w:tcPr>
            <w:tcW w:w="1438"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Times New Roman" w:hAnsi="Times New Roman" w:eastAsia="仿宋_GB2312" w:cs="Times New Roman"/>
                <w:color w:val="000000"/>
                <w:sz w:val="20"/>
                <w:szCs w:val="20"/>
                <w:lang w:eastAsia="zh-CN"/>
              </w:rPr>
            </w:pPr>
            <w:r>
              <w:rPr>
                <w:rFonts w:hint="eastAsia" w:ascii="Times New Roman" w:hAnsi="Times New Roman" w:eastAsia="仿宋_GB2312" w:cs="Times New Roman"/>
                <w:color w:val="000000"/>
                <w:sz w:val="20"/>
                <w:szCs w:val="20"/>
                <w:lang w:eastAsia="zh-CN"/>
              </w:rPr>
              <w:t>健全管理体系</w:t>
            </w:r>
          </w:p>
        </w:tc>
      </w:tr>
      <w:tr>
        <w:tblPrEx>
          <w:tblCellMar>
            <w:top w:w="0" w:type="dxa"/>
            <w:left w:w="108" w:type="dxa"/>
            <w:bottom w:w="0" w:type="dxa"/>
            <w:right w:w="108" w:type="dxa"/>
          </w:tblCellMar>
        </w:tblPrEx>
        <w:trPr>
          <w:trHeight w:val="640" w:hRule="atLeast"/>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ascii="Times New Roman" w:hAnsi="Times New Roman" w:eastAsia="仿宋_GB2312" w:cs="Times New Roman"/>
                <w:color w:val="000000"/>
                <w:sz w:val="20"/>
                <w:szCs w:val="20"/>
              </w:rPr>
            </w:pPr>
          </w:p>
        </w:tc>
        <w:tc>
          <w:tcPr>
            <w:tcW w:w="1080" w:type="dxa"/>
            <w:vMerge w:val="continue"/>
            <w:tcBorders>
              <w:left w:val="single" w:color="auto" w:sz="4" w:space="0"/>
              <w:right w:val="single" w:color="auto" w:sz="4" w:space="0"/>
            </w:tcBorders>
            <w:noWrap w:val="0"/>
            <w:vAlign w:val="center"/>
          </w:tcPr>
          <w:p>
            <w:pPr>
              <w:spacing w:line="240" w:lineRule="exact"/>
              <w:jc w:val="left"/>
              <w:rPr>
                <w:rFonts w:ascii="Times New Roman" w:hAnsi="Times New Roman" w:eastAsia="仿宋_GB2312" w:cs="Times New Roman"/>
                <w:color w:val="000000"/>
                <w:sz w:val="20"/>
                <w:szCs w:val="20"/>
              </w:rPr>
            </w:pPr>
          </w:p>
        </w:tc>
        <w:tc>
          <w:tcPr>
            <w:tcW w:w="953"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仿宋_GB2312" w:cs="Times New Roman"/>
                <w:color w:val="000000"/>
                <w:sz w:val="20"/>
                <w:szCs w:val="20"/>
              </w:rPr>
            </w:pPr>
          </w:p>
        </w:tc>
        <w:tc>
          <w:tcPr>
            <w:tcW w:w="135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Times New Roman" w:hAnsi="Times New Roman" w:eastAsia="仿宋_GB2312" w:cs="Times New Roman"/>
                <w:color w:val="000000"/>
                <w:sz w:val="20"/>
                <w:szCs w:val="20"/>
              </w:rPr>
            </w:pPr>
            <w:r>
              <w:rPr>
                <w:rFonts w:hint="eastAsia" w:ascii="Times New Roman" w:hAnsi="Times New Roman" w:eastAsia="仿宋_GB2312" w:cs="Times New Roman"/>
                <w:color w:val="000000"/>
                <w:sz w:val="20"/>
                <w:szCs w:val="20"/>
              </w:rPr>
              <w:t>预算执行率</w:t>
            </w:r>
          </w:p>
        </w:tc>
        <w:tc>
          <w:tcPr>
            <w:tcW w:w="1311"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Times New Roman" w:hAnsi="Times New Roman" w:eastAsia="仿宋_GB2312" w:cs="Times New Roman"/>
                <w:color w:val="000000"/>
                <w:sz w:val="20"/>
                <w:szCs w:val="20"/>
                <w:lang w:val="en-US" w:eastAsia="zh-CN"/>
              </w:rPr>
            </w:pPr>
          </w:p>
          <w:p>
            <w:pPr>
              <w:widowControl/>
              <w:spacing w:line="240" w:lineRule="exact"/>
              <w:jc w:val="center"/>
              <w:rPr>
                <w:rFonts w:hint="eastAsia" w:ascii="Times New Roman" w:hAnsi="Times New Roman" w:eastAsia="仿宋_GB2312" w:cs="Times New Roman"/>
                <w:color w:val="000000"/>
                <w:sz w:val="20"/>
                <w:szCs w:val="20"/>
              </w:rPr>
            </w:pPr>
            <w:r>
              <w:rPr>
                <w:rFonts w:hint="eastAsia" w:ascii="Times New Roman" w:hAnsi="Times New Roman" w:eastAsia="仿宋_GB2312" w:cs="Times New Roman"/>
                <w:color w:val="000000"/>
                <w:sz w:val="20"/>
                <w:szCs w:val="20"/>
                <w:lang w:val="en-US" w:eastAsia="zh-CN"/>
              </w:rPr>
              <w:t>100%</w:t>
            </w:r>
          </w:p>
          <w:p>
            <w:pPr>
              <w:widowControl/>
              <w:spacing w:line="240" w:lineRule="exact"/>
              <w:jc w:val="center"/>
              <w:rPr>
                <w:rFonts w:hint="eastAsia" w:ascii="Times New Roman" w:hAnsi="Times New Roman" w:eastAsia="仿宋_GB2312" w:cs="Times New Roman"/>
                <w:color w:val="000000"/>
                <w:sz w:val="20"/>
                <w:szCs w:val="20"/>
              </w:rPr>
            </w:pPr>
          </w:p>
        </w:tc>
        <w:tc>
          <w:tcPr>
            <w:tcW w:w="1269"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Times New Roman" w:hAnsi="Times New Roman" w:eastAsia="仿宋_GB2312" w:cs="Times New Roman"/>
                <w:color w:val="000000"/>
                <w:sz w:val="20"/>
                <w:szCs w:val="20"/>
                <w:lang w:val="en-US" w:eastAsia="zh-CN"/>
              </w:rPr>
            </w:pPr>
          </w:p>
          <w:p>
            <w:pPr>
              <w:widowControl/>
              <w:spacing w:line="240" w:lineRule="exact"/>
              <w:jc w:val="center"/>
              <w:rPr>
                <w:rFonts w:hint="eastAsia" w:ascii="Times New Roman" w:hAnsi="Times New Roman" w:eastAsia="仿宋_GB2312" w:cs="Times New Roman"/>
                <w:color w:val="000000"/>
                <w:sz w:val="20"/>
                <w:szCs w:val="20"/>
              </w:rPr>
            </w:pPr>
            <w:r>
              <w:rPr>
                <w:rFonts w:hint="eastAsia" w:ascii="Times New Roman" w:hAnsi="Times New Roman" w:eastAsia="仿宋_GB2312" w:cs="Times New Roman"/>
                <w:color w:val="000000"/>
                <w:sz w:val="20"/>
                <w:szCs w:val="20"/>
                <w:lang w:val="en-US" w:eastAsia="zh-CN"/>
              </w:rPr>
              <w:t>100%</w:t>
            </w:r>
          </w:p>
          <w:p>
            <w:pPr>
              <w:widowControl/>
              <w:spacing w:line="240" w:lineRule="exact"/>
              <w:jc w:val="center"/>
              <w:rPr>
                <w:rFonts w:hint="eastAsia" w:ascii="Times New Roman" w:hAnsi="Times New Roman" w:eastAsia="仿宋_GB2312" w:cs="Times New Roman"/>
                <w:color w:val="000000"/>
                <w:sz w:val="20"/>
                <w:szCs w:val="20"/>
              </w:rPr>
            </w:pPr>
          </w:p>
        </w:tc>
        <w:tc>
          <w:tcPr>
            <w:tcW w:w="716"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Times New Roman" w:hAnsi="Times New Roman" w:eastAsia="仿宋_GB2312" w:cs="Times New Roman"/>
                <w:color w:val="000000"/>
                <w:sz w:val="20"/>
                <w:szCs w:val="20"/>
                <w:lang w:val="en-US" w:eastAsia="zh-CN"/>
              </w:rPr>
            </w:pPr>
            <w:r>
              <w:rPr>
                <w:rFonts w:hint="eastAsia" w:ascii="Times New Roman" w:hAnsi="Times New Roman" w:eastAsia="仿宋_GB2312" w:cs="Times New Roman"/>
                <w:color w:val="000000"/>
                <w:sz w:val="20"/>
                <w:szCs w:val="20"/>
                <w:lang w:val="en-US" w:eastAsia="zh-CN"/>
              </w:rPr>
              <w:t>5</w:t>
            </w:r>
          </w:p>
        </w:tc>
        <w:tc>
          <w:tcPr>
            <w:tcW w:w="881"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hint="eastAsia" w:ascii="Times New Roman" w:hAnsi="Times New Roman" w:eastAsia="仿宋_GB2312" w:cs="Times New Roman"/>
                <w:color w:val="000000"/>
                <w:sz w:val="20"/>
                <w:szCs w:val="20"/>
                <w:lang w:val="en-US" w:eastAsia="zh-CN"/>
              </w:rPr>
              <w:t>5</w:t>
            </w:r>
          </w:p>
        </w:tc>
        <w:tc>
          <w:tcPr>
            <w:tcW w:w="143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　</w:t>
            </w:r>
          </w:p>
          <w:p>
            <w:pPr>
              <w:widowControl/>
              <w:spacing w:line="240" w:lineRule="exact"/>
              <w:jc w:val="left"/>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　</w:t>
            </w:r>
          </w:p>
        </w:tc>
      </w:tr>
      <w:tr>
        <w:tblPrEx>
          <w:tblCellMar>
            <w:top w:w="0" w:type="dxa"/>
            <w:left w:w="108" w:type="dxa"/>
            <w:bottom w:w="0" w:type="dxa"/>
            <w:right w:w="108" w:type="dxa"/>
          </w:tblCellMar>
        </w:tblPrEx>
        <w:trPr>
          <w:trHeight w:val="2075" w:hRule="atLeast"/>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ascii="Times New Roman" w:hAnsi="Times New Roman" w:eastAsia="仿宋_GB2312" w:cs="Times New Roman"/>
                <w:color w:val="000000"/>
                <w:sz w:val="20"/>
                <w:szCs w:val="20"/>
              </w:rPr>
            </w:pPr>
          </w:p>
        </w:tc>
        <w:tc>
          <w:tcPr>
            <w:tcW w:w="1080" w:type="dxa"/>
            <w:vMerge w:val="continue"/>
            <w:tcBorders>
              <w:left w:val="single" w:color="auto" w:sz="4" w:space="0"/>
              <w:right w:val="single" w:color="auto" w:sz="4" w:space="0"/>
            </w:tcBorders>
            <w:noWrap w:val="0"/>
            <w:vAlign w:val="center"/>
          </w:tcPr>
          <w:p>
            <w:pPr>
              <w:spacing w:line="240" w:lineRule="exact"/>
              <w:jc w:val="left"/>
              <w:rPr>
                <w:rFonts w:ascii="Times New Roman" w:hAnsi="Times New Roman" w:eastAsia="仿宋_GB2312" w:cs="Times New Roman"/>
                <w:color w:val="000000"/>
                <w:sz w:val="20"/>
                <w:szCs w:val="20"/>
              </w:rPr>
            </w:pPr>
          </w:p>
        </w:tc>
        <w:tc>
          <w:tcPr>
            <w:tcW w:w="953" w:type="dxa"/>
            <w:vMerge w:val="restart"/>
            <w:tcBorders>
              <w:top w:val="single" w:color="auto" w:sz="4" w:space="0"/>
              <w:left w:val="nil"/>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质量指标</w:t>
            </w:r>
          </w:p>
        </w:tc>
        <w:tc>
          <w:tcPr>
            <w:tcW w:w="1351" w:type="dxa"/>
            <w:gridSpan w:val="2"/>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eastAsia" w:ascii="Times New Roman" w:hAnsi="Times New Roman" w:eastAsia="仿宋_GB2312" w:cs="Times New Roman"/>
                <w:color w:val="000000"/>
                <w:sz w:val="20"/>
                <w:szCs w:val="20"/>
              </w:rPr>
            </w:pPr>
            <w:r>
              <w:rPr>
                <w:rFonts w:hint="eastAsia" w:ascii="Times New Roman" w:hAnsi="Times New Roman" w:eastAsia="仿宋_GB2312" w:cs="Times New Roman"/>
                <w:color w:val="000000"/>
                <w:sz w:val="20"/>
                <w:szCs w:val="20"/>
              </w:rPr>
              <w:t>财政资金管理及使用</w:t>
            </w:r>
          </w:p>
        </w:tc>
        <w:tc>
          <w:tcPr>
            <w:tcW w:w="1311"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eastAsia" w:ascii="Times New Roman" w:hAnsi="Times New Roman" w:eastAsia="仿宋_GB2312" w:cs="Times New Roman"/>
                <w:color w:val="000000"/>
                <w:sz w:val="20"/>
                <w:szCs w:val="20"/>
                <w:lang w:val="en-US" w:eastAsia="zh-CN"/>
              </w:rPr>
            </w:pPr>
          </w:p>
          <w:p>
            <w:pPr>
              <w:widowControl/>
              <w:spacing w:line="240" w:lineRule="exact"/>
              <w:jc w:val="center"/>
              <w:rPr>
                <w:rFonts w:hint="eastAsia" w:ascii="Times New Roman" w:hAnsi="Times New Roman" w:eastAsia="仿宋_GB2312" w:cs="Times New Roman"/>
                <w:color w:val="000000"/>
                <w:sz w:val="20"/>
                <w:szCs w:val="20"/>
              </w:rPr>
            </w:pPr>
            <w:r>
              <w:rPr>
                <w:rFonts w:hint="eastAsia" w:ascii="Times New Roman" w:hAnsi="Times New Roman" w:eastAsia="仿宋_GB2312" w:cs="Times New Roman"/>
                <w:color w:val="000000"/>
                <w:sz w:val="20"/>
                <w:szCs w:val="20"/>
              </w:rPr>
              <w:t>规范预算开支，不得挤占挪用财政资金，资金的拨付是否有完整的审批程序和手续。</w:t>
            </w:r>
          </w:p>
        </w:tc>
        <w:tc>
          <w:tcPr>
            <w:tcW w:w="1269"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eastAsia" w:ascii="Times New Roman" w:hAnsi="Times New Roman" w:eastAsia="仿宋_GB2312" w:cs="Times New Roman"/>
                <w:color w:val="000000"/>
                <w:sz w:val="20"/>
                <w:szCs w:val="20"/>
                <w:lang w:val="en-US" w:eastAsia="zh-CN"/>
              </w:rPr>
            </w:pPr>
          </w:p>
          <w:p>
            <w:pPr>
              <w:widowControl/>
              <w:spacing w:line="240" w:lineRule="exact"/>
              <w:jc w:val="center"/>
              <w:rPr>
                <w:rFonts w:hint="eastAsia" w:ascii="Times New Roman" w:hAnsi="Times New Roman" w:eastAsia="仿宋_GB2312" w:cs="Times New Roman"/>
                <w:color w:val="000000"/>
                <w:sz w:val="20"/>
                <w:szCs w:val="20"/>
              </w:rPr>
            </w:pPr>
            <w:r>
              <w:rPr>
                <w:rFonts w:hint="eastAsia" w:ascii="Times New Roman" w:hAnsi="Times New Roman" w:eastAsia="仿宋_GB2312" w:cs="Times New Roman"/>
                <w:color w:val="000000"/>
                <w:sz w:val="20"/>
                <w:szCs w:val="20"/>
              </w:rPr>
              <w:t>未出现挤占挪用情况，支付审批程序完备</w:t>
            </w:r>
          </w:p>
        </w:tc>
        <w:tc>
          <w:tcPr>
            <w:tcW w:w="716"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default" w:ascii="Times New Roman" w:hAnsi="Times New Roman" w:eastAsia="仿宋_GB2312" w:cs="Times New Roman"/>
                <w:color w:val="000000"/>
                <w:sz w:val="20"/>
                <w:szCs w:val="20"/>
                <w:lang w:val="en-US" w:eastAsia="zh-CN"/>
              </w:rPr>
            </w:pPr>
            <w:r>
              <w:rPr>
                <w:rFonts w:hint="eastAsia" w:ascii="Times New Roman" w:hAnsi="Times New Roman" w:eastAsia="仿宋_GB2312" w:cs="Times New Roman"/>
                <w:color w:val="000000"/>
                <w:sz w:val="20"/>
                <w:szCs w:val="20"/>
                <w:lang w:val="en-US" w:eastAsia="zh-CN"/>
              </w:rPr>
              <w:t>10</w:t>
            </w:r>
          </w:p>
        </w:tc>
        <w:tc>
          <w:tcPr>
            <w:tcW w:w="881"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default" w:ascii="Times New Roman" w:hAnsi="Times New Roman" w:eastAsia="仿宋_GB2312" w:cs="Times New Roman"/>
                <w:color w:val="000000"/>
                <w:sz w:val="20"/>
                <w:szCs w:val="20"/>
                <w:lang w:val="en-US"/>
              </w:rPr>
            </w:pPr>
            <w:r>
              <w:rPr>
                <w:rFonts w:hint="eastAsia" w:ascii="Times New Roman" w:hAnsi="Times New Roman" w:eastAsia="仿宋_GB2312" w:cs="Times New Roman"/>
                <w:color w:val="000000"/>
                <w:sz w:val="20"/>
                <w:szCs w:val="20"/>
                <w:lang w:val="en-US" w:eastAsia="zh-CN"/>
              </w:rPr>
              <w:t>10</w:t>
            </w:r>
          </w:p>
        </w:tc>
        <w:tc>
          <w:tcPr>
            <w:tcW w:w="1438"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　</w:t>
            </w:r>
          </w:p>
        </w:tc>
      </w:tr>
      <w:tr>
        <w:tblPrEx>
          <w:tblCellMar>
            <w:top w:w="0" w:type="dxa"/>
            <w:left w:w="108" w:type="dxa"/>
            <w:bottom w:w="0" w:type="dxa"/>
            <w:right w:w="108" w:type="dxa"/>
          </w:tblCellMar>
        </w:tblPrEx>
        <w:trPr>
          <w:trHeight w:val="718" w:hRule="atLeast"/>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ascii="Times New Roman" w:hAnsi="Times New Roman" w:eastAsia="仿宋_GB2312" w:cs="Times New Roman"/>
                <w:color w:val="000000"/>
                <w:sz w:val="20"/>
                <w:szCs w:val="20"/>
              </w:rPr>
            </w:pPr>
          </w:p>
        </w:tc>
        <w:tc>
          <w:tcPr>
            <w:tcW w:w="1080" w:type="dxa"/>
            <w:vMerge w:val="continue"/>
            <w:tcBorders>
              <w:left w:val="single" w:color="auto" w:sz="4" w:space="0"/>
              <w:right w:val="single" w:color="auto" w:sz="4" w:space="0"/>
            </w:tcBorders>
            <w:noWrap w:val="0"/>
            <w:vAlign w:val="center"/>
          </w:tcPr>
          <w:p>
            <w:pPr>
              <w:spacing w:line="240" w:lineRule="exact"/>
              <w:jc w:val="left"/>
              <w:rPr>
                <w:rFonts w:ascii="Times New Roman" w:hAnsi="Times New Roman" w:eastAsia="仿宋_GB2312" w:cs="Times New Roman"/>
                <w:color w:val="000000"/>
                <w:sz w:val="20"/>
                <w:szCs w:val="20"/>
              </w:rPr>
            </w:pPr>
          </w:p>
        </w:tc>
        <w:tc>
          <w:tcPr>
            <w:tcW w:w="953" w:type="dxa"/>
            <w:vMerge w:val="continue"/>
            <w:tcBorders>
              <w:left w:val="nil"/>
              <w:right w:val="single" w:color="auto" w:sz="4" w:space="0"/>
            </w:tcBorders>
            <w:noWrap w:val="0"/>
            <w:vAlign w:val="center"/>
          </w:tcPr>
          <w:p>
            <w:pPr>
              <w:spacing w:line="240" w:lineRule="exact"/>
              <w:jc w:val="center"/>
              <w:rPr>
                <w:rFonts w:ascii="Times New Roman" w:hAnsi="Times New Roman" w:eastAsia="仿宋_GB2312" w:cs="Times New Roman"/>
                <w:color w:val="000000"/>
                <w:sz w:val="20"/>
                <w:szCs w:val="20"/>
              </w:rPr>
            </w:pPr>
          </w:p>
        </w:tc>
        <w:tc>
          <w:tcPr>
            <w:tcW w:w="1351" w:type="dxa"/>
            <w:gridSpan w:val="2"/>
            <w:tcBorders>
              <w:top w:val="nil"/>
              <w:left w:val="nil"/>
              <w:bottom w:val="single" w:color="auto" w:sz="4" w:space="0"/>
              <w:right w:val="single" w:color="auto" w:sz="4" w:space="0"/>
            </w:tcBorders>
            <w:noWrap w:val="0"/>
            <w:vAlign w:val="center"/>
          </w:tcPr>
          <w:p>
            <w:pPr>
              <w:widowControl/>
              <w:spacing w:line="240" w:lineRule="exact"/>
              <w:jc w:val="center"/>
              <w:rPr>
                <w:rFonts w:hint="eastAsia" w:ascii="Times New Roman" w:hAnsi="Times New Roman" w:eastAsia="仿宋_GB2312" w:cs="Times New Roman"/>
                <w:color w:val="000000"/>
                <w:sz w:val="20"/>
                <w:szCs w:val="20"/>
              </w:rPr>
            </w:pPr>
            <w:r>
              <w:rPr>
                <w:rFonts w:hint="eastAsia" w:ascii="Times New Roman" w:hAnsi="Times New Roman" w:eastAsia="仿宋_GB2312" w:cs="Times New Roman"/>
                <w:color w:val="000000"/>
                <w:sz w:val="20"/>
                <w:szCs w:val="20"/>
              </w:rPr>
              <w:t>预决算信息公开性</w:t>
            </w:r>
          </w:p>
        </w:tc>
        <w:tc>
          <w:tcPr>
            <w:tcW w:w="1311"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Times New Roman" w:hAnsi="Times New Roman" w:eastAsia="仿宋_GB2312" w:cs="Times New Roman"/>
                <w:color w:val="000000"/>
                <w:sz w:val="20"/>
                <w:szCs w:val="20"/>
                <w:lang w:val="en-US" w:eastAsia="zh-CN"/>
              </w:rPr>
            </w:pPr>
          </w:p>
          <w:p>
            <w:pPr>
              <w:widowControl/>
              <w:spacing w:line="240" w:lineRule="exact"/>
              <w:jc w:val="center"/>
              <w:rPr>
                <w:rFonts w:hint="eastAsia" w:ascii="Times New Roman" w:hAnsi="Times New Roman" w:eastAsia="仿宋_GB2312" w:cs="Times New Roman"/>
                <w:color w:val="000000"/>
                <w:sz w:val="20"/>
                <w:szCs w:val="20"/>
              </w:rPr>
            </w:pPr>
            <w:r>
              <w:rPr>
                <w:rFonts w:hint="eastAsia" w:ascii="Times New Roman" w:hAnsi="Times New Roman" w:eastAsia="仿宋_GB2312" w:cs="Times New Roman"/>
                <w:color w:val="000000"/>
                <w:sz w:val="20"/>
                <w:szCs w:val="20"/>
              </w:rPr>
              <w:t>按规定内容公开预决算信息；按规定时限公开预决算信息。</w:t>
            </w:r>
          </w:p>
        </w:tc>
        <w:tc>
          <w:tcPr>
            <w:tcW w:w="1269"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Times New Roman" w:hAnsi="Times New Roman" w:eastAsia="仿宋_GB2312" w:cs="Times New Roman"/>
                <w:color w:val="000000"/>
                <w:sz w:val="20"/>
                <w:szCs w:val="20"/>
              </w:rPr>
            </w:pPr>
            <w:r>
              <w:rPr>
                <w:rFonts w:hint="eastAsia" w:ascii="Times New Roman" w:hAnsi="Times New Roman" w:eastAsia="仿宋_GB2312" w:cs="Times New Roman"/>
                <w:color w:val="000000"/>
                <w:sz w:val="20"/>
                <w:szCs w:val="20"/>
              </w:rPr>
              <w:t>按规定内容、时间公开了预决算信息</w:t>
            </w:r>
          </w:p>
        </w:tc>
        <w:tc>
          <w:tcPr>
            <w:tcW w:w="716"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Times New Roman" w:hAnsi="Times New Roman" w:eastAsia="仿宋_GB2312" w:cs="Times New Roman"/>
                <w:color w:val="000000"/>
                <w:sz w:val="20"/>
                <w:szCs w:val="20"/>
                <w:lang w:val="en-US" w:eastAsia="zh-CN"/>
              </w:rPr>
            </w:pPr>
            <w:r>
              <w:rPr>
                <w:rFonts w:hint="eastAsia" w:ascii="Times New Roman" w:hAnsi="Times New Roman" w:eastAsia="仿宋_GB2312" w:cs="Times New Roman"/>
                <w:color w:val="000000"/>
                <w:sz w:val="20"/>
                <w:szCs w:val="20"/>
                <w:lang w:val="en-US" w:eastAsia="zh-CN"/>
              </w:rPr>
              <w:t>5</w:t>
            </w:r>
          </w:p>
        </w:tc>
        <w:tc>
          <w:tcPr>
            <w:tcW w:w="881" w:type="dxa"/>
            <w:tcBorders>
              <w:top w:val="nil"/>
              <w:left w:val="nil"/>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hint="eastAsia" w:ascii="Times New Roman" w:hAnsi="Times New Roman" w:eastAsia="仿宋_GB2312" w:cs="Times New Roman"/>
                <w:color w:val="000000"/>
                <w:sz w:val="20"/>
                <w:szCs w:val="20"/>
                <w:lang w:val="en-US" w:eastAsia="zh-CN"/>
              </w:rPr>
              <w:t>5</w:t>
            </w:r>
          </w:p>
        </w:tc>
        <w:tc>
          <w:tcPr>
            <w:tcW w:w="1438" w:type="dxa"/>
            <w:tcBorders>
              <w:top w:val="nil"/>
              <w:left w:val="nil"/>
              <w:bottom w:val="single" w:color="auto" w:sz="4" w:space="0"/>
              <w:right w:val="single" w:color="auto" w:sz="4" w:space="0"/>
            </w:tcBorders>
            <w:noWrap w:val="0"/>
            <w:vAlign w:val="center"/>
          </w:tcPr>
          <w:p>
            <w:pPr>
              <w:widowControl/>
              <w:spacing w:line="240" w:lineRule="exact"/>
              <w:jc w:val="left"/>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　</w:t>
            </w:r>
          </w:p>
        </w:tc>
      </w:tr>
      <w:tr>
        <w:tblPrEx>
          <w:tblCellMar>
            <w:top w:w="0" w:type="dxa"/>
            <w:left w:w="108" w:type="dxa"/>
            <w:bottom w:w="0" w:type="dxa"/>
            <w:right w:w="108" w:type="dxa"/>
          </w:tblCellMar>
        </w:tblPrEx>
        <w:trPr>
          <w:trHeight w:val="677" w:hRule="atLeast"/>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ascii="Times New Roman" w:hAnsi="Times New Roman" w:eastAsia="仿宋_GB2312" w:cs="Times New Roman"/>
                <w:color w:val="000000"/>
                <w:sz w:val="20"/>
                <w:szCs w:val="20"/>
              </w:rPr>
            </w:pPr>
          </w:p>
        </w:tc>
        <w:tc>
          <w:tcPr>
            <w:tcW w:w="1080" w:type="dxa"/>
            <w:vMerge w:val="continue"/>
            <w:tcBorders>
              <w:left w:val="single" w:color="auto" w:sz="4" w:space="0"/>
              <w:right w:val="single" w:color="auto" w:sz="4" w:space="0"/>
            </w:tcBorders>
            <w:noWrap w:val="0"/>
            <w:vAlign w:val="center"/>
          </w:tcPr>
          <w:p>
            <w:pPr>
              <w:spacing w:line="240" w:lineRule="exact"/>
              <w:jc w:val="left"/>
              <w:rPr>
                <w:rFonts w:ascii="Times New Roman" w:hAnsi="Times New Roman" w:eastAsia="仿宋_GB2312" w:cs="Times New Roman"/>
                <w:color w:val="000000"/>
                <w:sz w:val="20"/>
                <w:szCs w:val="20"/>
              </w:rPr>
            </w:pPr>
          </w:p>
        </w:tc>
        <w:tc>
          <w:tcPr>
            <w:tcW w:w="953" w:type="dxa"/>
            <w:vMerge w:val="continue"/>
            <w:tcBorders>
              <w:left w:val="nil"/>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p>
        </w:tc>
        <w:tc>
          <w:tcPr>
            <w:tcW w:w="1351" w:type="dxa"/>
            <w:gridSpan w:val="2"/>
            <w:tcBorders>
              <w:top w:val="nil"/>
              <w:left w:val="nil"/>
              <w:bottom w:val="single" w:color="auto" w:sz="4" w:space="0"/>
              <w:right w:val="single" w:color="auto" w:sz="4" w:space="0"/>
            </w:tcBorders>
            <w:noWrap w:val="0"/>
            <w:vAlign w:val="center"/>
          </w:tcPr>
          <w:p>
            <w:pPr>
              <w:widowControl/>
              <w:spacing w:line="240" w:lineRule="exact"/>
              <w:jc w:val="center"/>
              <w:rPr>
                <w:rFonts w:hint="eastAsia" w:ascii="Times New Roman" w:hAnsi="Times New Roman" w:eastAsia="仿宋_GB2312" w:cs="Times New Roman"/>
                <w:color w:val="000000"/>
                <w:sz w:val="20"/>
                <w:szCs w:val="20"/>
              </w:rPr>
            </w:pPr>
            <w:r>
              <w:rPr>
                <w:rFonts w:hint="eastAsia" w:ascii="Times New Roman" w:hAnsi="Times New Roman" w:eastAsia="仿宋_GB2312" w:cs="Times New Roman"/>
                <w:color w:val="000000"/>
                <w:sz w:val="20"/>
                <w:szCs w:val="20"/>
              </w:rPr>
              <w:t>机关事务正常运转率</w:t>
            </w:r>
          </w:p>
        </w:tc>
        <w:tc>
          <w:tcPr>
            <w:tcW w:w="1311"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Times New Roman" w:hAnsi="Times New Roman" w:eastAsia="仿宋_GB2312" w:cs="Times New Roman"/>
                <w:color w:val="000000"/>
                <w:sz w:val="20"/>
                <w:szCs w:val="20"/>
                <w:lang w:val="en-US" w:eastAsia="zh-CN"/>
              </w:rPr>
            </w:pPr>
          </w:p>
          <w:p>
            <w:pPr>
              <w:widowControl/>
              <w:spacing w:line="240" w:lineRule="exact"/>
              <w:jc w:val="center"/>
              <w:rPr>
                <w:rFonts w:hint="eastAsia" w:ascii="Times New Roman" w:hAnsi="Times New Roman" w:eastAsia="仿宋_GB2312" w:cs="Times New Roman"/>
                <w:color w:val="000000"/>
                <w:sz w:val="20"/>
                <w:szCs w:val="20"/>
              </w:rPr>
            </w:pPr>
            <w:r>
              <w:rPr>
                <w:rFonts w:hint="eastAsia" w:ascii="Times New Roman" w:hAnsi="Times New Roman" w:eastAsia="仿宋_GB2312" w:cs="Times New Roman"/>
                <w:color w:val="000000"/>
                <w:sz w:val="20"/>
                <w:szCs w:val="20"/>
                <w:lang w:val="en-US" w:eastAsia="zh-CN"/>
              </w:rPr>
              <w:t>100%</w:t>
            </w:r>
          </w:p>
          <w:p>
            <w:pPr>
              <w:widowControl/>
              <w:spacing w:line="240" w:lineRule="exact"/>
              <w:jc w:val="center"/>
              <w:rPr>
                <w:rFonts w:hint="eastAsia" w:ascii="Times New Roman" w:hAnsi="Times New Roman" w:eastAsia="仿宋_GB2312" w:cs="Times New Roman"/>
                <w:color w:val="000000"/>
                <w:sz w:val="20"/>
                <w:szCs w:val="20"/>
              </w:rPr>
            </w:pPr>
          </w:p>
        </w:tc>
        <w:tc>
          <w:tcPr>
            <w:tcW w:w="1269"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Times New Roman" w:hAnsi="Times New Roman" w:eastAsia="仿宋_GB2312" w:cs="Times New Roman"/>
                <w:color w:val="000000"/>
                <w:sz w:val="20"/>
                <w:szCs w:val="20"/>
                <w:lang w:val="en-US" w:eastAsia="zh-CN"/>
              </w:rPr>
            </w:pPr>
          </w:p>
          <w:p>
            <w:pPr>
              <w:widowControl/>
              <w:spacing w:line="240" w:lineRule="exact"/>
              <w:jc w:val="center"/>
              <w:rPr>
                <w:rFonts w:hint="eastAsia" w:ascii="Times New Roman" w:hAnsi="Times New Roman" w:eastAsia="仿宋_GB2312" w:cs="Times New Roman"/>
                <w:color w:val="000000"/>
                <w:sz w:val="20"/>
                <w:szCs w:val="20"/>
              </w:rPr>
            </w:pPr>
            <w:r>
              <w:rPr>
                <w:rFonts w:hint="eastAsia" w:ascii="Times New Roman" w:hAnsi="Times New Roman" w:eastAsia="仿宋_GB2312" w:cs="Times New Roman"/>
                <w:color w:val="000000"/>
                <w:sz w:val="20"/>
                <w:szCs w:val="20"/>
                <w:lang w:val="en-US" w:eastAsia="zh-CN"/>
              </w:rPr>
              <w:t>100%</w:t>
            </w:r>
          </w:p>
          <w:p>
            <w:pPr>
              <w:widowControl/>
              <w:spacing w:line="240" w:lineRule="exact"/>
              <w:jc w:val="center"/>
              <w:rPr>
                <w:rFonts w:hint="eastAsia" w:ascii="Times New Roman" w:hAnsi="Times New Roman" w:eastAsia="仿宋_GB2312" w:cs="Times New Roman"/>
                <w:color w:val="000000"/>
                <w:sz w:val="20"/>
                <w:szCs w:val="20"/>
              </w:rPr>
            </w:pPr>
          </w:p>
        </w:tc>
        <w:tc>
          <w:tcPr>
            <w:tcW w:w="716"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Times New Roman" w:hAnsi="Times New Roman" w:eastAsia="仿宋_GB2312" w:cs="Times New Roman"/>
                <w:color w:val="000000"/>
                <w:sz w:val="20"/>
                <w:szCs w:val="20"/>
                <w:lang w:val="en-US" w:eastAsia="zh-CN"/>
              </w:rPr>
            </w:pPr>
            <w:r>
              <w:rPr>
                <w:rFonts w:hint="eastAsia" w:ascii="Times New Roman" w:hAnsi="Times New Roman" w:eastAsia="仿宋_GB2312" w:cs="Times New Roman"/>
                <w:color w:val="000000"/>
                <w:sz w:val="20"/>
                <w:szCs w:val="20"/>
                <w:lang w:val="en-US" w:eastAsia="zh-CN"/>
              </w:rPr>
              <w:t>5</w:t>
            </w:r>
          </w:p>
        </w:tc>
        <w:tc>
          <w:tcPr>
            <w:tcW w:w="881" w:type="dxa"/>
            <w:tcBorders>
              <w:top w:val="nil"/>
              <w:left w:val="nil"/>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hint="eastAsia" w:ascii="Times New Roman" w:hAnsi="Times New Roman" w:eastAsia="仿宋_GB2312" w:cs="Times New Roman"/>
                <w:color w:val="000000"/>
                <w:sz w:val="20"/>
                <w:szCs w:val="20"/>
                <w:lang w:val="en-US" w:eastAsia="zh-CN"/>
              </w:rPr>
              <w:t>5</w:t>
            </w:r>
          </w:p>
        </w:tc>
        <w:tc>
          <w:tcPr>
            <w:tcW w:w="1438" w:type="dxa"/>
            <w:tcBorders>
              <w:top w:val="nil"/>
              <w:left w:val="nil"/>
              <w:bottom w:val="single" w:color="auto" w:sz="4" w:space="0"/>
              <w:right w:val="single" w:color="auto" w:sz="4" w:space="0"/>
            </w:tcBorders>
            <w:noWrap w:val="0"/>
            <w:vAlign w:val="center"/>
          </w:tcPr>
          <w:p>
            <w:pPr>
              <w:widowControl/>
              <w:spacing w:line="240" w:lineRule="exact"/>
              <w:jc w:val="left"/>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　</w:t>
            </w:r>
          </w:p>
        </w:tc>
      </w:tr>
      <w:tr>
        <w:tblPrEx>
          <w:tblCellMar>
            <w:top w:w="0" w:type="dxa"/>
            <w:left w:w="108" w:type="dxa"/>
            <w:bottom w:w="0" w:type="dxa"/>
            <w:right w:w="108" w:type="dxa"/>
          </w:tblCellMar>
        </w:tblPrEx>
        <w:trPr>
          <w:trHeight w:val="640" w:hRule="atLeast"/>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ascii="Times New Roman" w:hAnsi="Times New Roman" w:eastAsia="仿宋_GB2312" w:cs="Times New Roman"/>
                <w:color w:val="000000"/>
                <w:sz w:val="20"/>
                <w:szCs w:val="20"/>
              </w:rPr>
            </w:pPr>
          </w:p>
        </w:tc>
        <w:tc>
          <w:tcPr>
            <w:tcW w:w="1080" w:type="dxa"/>
            <w:vMerge w:val="continue"/>
            <w:tcBorders>
              <w:left w:val="single" w:color="auto" w:sz="4" w:space="0"/>
              <w:right w:val="single" w:color="auto" w:sz="4" w:space="0"/>
            </w:tcBorders>
            <w:noWrap w:val="0"/>
            <w:vAlign w:val="center"/>
          </w:tcPr>
          <w:p>
            <w:pPr>
              <w:spacing w:line="240" w:lineRule="exact"/>
              <w:jc w:val="left"/>
              <w:rPr>
                <w:rFonts w:ascii="Times New Roman" w:hAnsi="Times New Roman" w:eastAsia="仿宋_GB2312" w:cs="Times New Roman"/>
                <w:color w:val="000000"/>
                <w:sz w:val="20"/>
                <w:szCs w:val="20"/>
              </w:rPr>
            </w:pPr>
          </w:p>
        </w:tc>
        <w:tc>
          <w:tcPr>
            <w:tcW w:w="953"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时效指标</w:t>
            </w:r>
          </w:p>
        </w:tc>
        <w:tc>
          <w:tcPr>
            <w:tcW w:w="135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Times New Roman" w:hAnsi="Times New Roman" w:eastAsia="仿宋_GB2312" w:cs="Times New Roman"/>
                <w:color w:val="000000"/>
                <w:sz w:val="20"/>
                <w:szCs w:val="20"/>
              </w:rPr>
            </w:pPr>
            <w:r>
              <w:rPr>
                <w:rFonts w:hint="eastAsia" w:ascii="Times New Roman" w:hAnsi="Times New Roman" w:eastAsia="仿宋_GB2312" w:cs="Times New Roman"/>
                <w:color w:val="000000"/>
                <w:sz w:val="20"/>
                <w:szCs w:val="20"/>
              </w:rPr>
              <w:t>资金支付时效</w:t>
            </w:r>
          </w:p>
        </w:tc>
        <w:tc>
          <w:tcPr>
            <w:tcW w:w="1311"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Times New Roman" w:hAnsi="Times New Roman" w:eastAsia="仿宋_GB2312" w:cs="Times New Roman"/>
                <w:color w:val="000000"/>
                <w:sz w:val="20"/>
                <w:szCs w:val="20"/>
              </w:rPr>
            </w:pPr>
            <w:r>
              <w:rPr>
                <w:rFonts w:hint="eastAsia" w:ascii="Times New Roman" w:hAnsi="Times New Roman" w:eastAsia="仿宋_GB2312" w:cs="Times New Roman"/>
                <w:color w:val="000000"/>
                <w:sz w:val="20"/>
                <w:szCs w:val="20"/>
              </w:rPr>
              <w:t>按计划及时支付</w:t>
            </w:r>
          </w:p>
        </w:tc>
        <w:tc>
          <w:tcPr>
            <w:tcW w:w="1269"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Times New Roman" w:hAnsi="Times New Roman" w:eastAsia="仿宋_GB2312" w:cs="Times New Roman"/>
                <w:color w:val="000000"/>
                <w:sz w:val="20"/>
                <w:szCs w:val="20"/>
              </w:rPr>
            </w:pPr>
            <w:r>
              <w:rPr>
                <w:rFonts w:hint="eastAsia" w:ascii="Times New Roman" w:hAnsi="Times New Roman" w:eastAsia="仿宋_GB2312" w:cs="Times New Roman"/>
                <w:color w:val="000000"/>
                <w:sz w:val="20"/>
                <w:szCs w:val="20"/>
              </w:rPr>
              <w:t>按计划及时支付</w:t>
            </w:r>
          </w:p>
        </w:tc>
        <w:tc>
          <w:tcPr>
            <w:tcW w:w="716"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Times New Roman" w:hAnsi="Times New Roman" w:eastAsia="仿宋_GB2312" w:cs="Times New Roman"/>
                <w:color w:val="000000"/>
                <w:sz w:val="20"/>
                <w:szCs w:val="20"/>
                <w:lang w:val="en-US" w:eastAsia="zh-CN"/>
              </w:rPr>
            </w:pPr>
            <w:r>
              <w:rPr>
                <w:rFonts w:hint="eastAsia" w:ascii="Times New Roman" w:hAnsi="Times New Roman" w:eastAsia="仿宋_GB2312" w:cs="Times New Roman"/>
                <w:color w:val="000000"/>
                <w:sz w:val="20"/>
                <w:szCs w:val="20"/>
                <w:lang w:val="en-US" w:eastAsia="zh-CN"/>
              </w:rPr>
              <w:t>5</w:t>
            </w:r>
          </w:p>
        </w:tc>
        <w:tc>
          <w:tcPr>
            <w:tcW w:w="881"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hint="eastAsia" w:ascii="Times New Roman" w:hAnsi="Times New Roman" w:eastAsia="仿宋_GB2312" w:cs="Times New Roman"/>
                <w:color w:val="000000"/>
                <w:sz w:val="20"/>
                <w:szCs w:val="20"/>
                <w:lang w:val="en-US" w:eastAsia="zh-CN"/>
              </w:rPr>
              <w:t>5</w:t>
            </w:r>
          </w:p>
        </w:tc>
        <w:tc>
          <w:tcPr>
            <w:tcW w:w="143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　</w:t>
            </w:r>
          </w:p>
        </w:tc>
      </w:tr>
      <w:tr>
        <w:tblPrEx>
          <w:tblCellMar>
            <w:top w:w="0" w:type="dxa"/>
            <w:left w:w="108" w:type="dxa"/>
            <w:bottom w:w="0" w:type="dxa"/>
            <w:right w:w="108" w:type="dxa"/>
          </w:tblCellMar>
        </w:tblPrEx>
        <w:trPr>
          <w:trHeight w:val="699" w:hRule="atLeast"/>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ascii="Times New Roman" w:hAnsi="Times New Roman" w:eastAsia="仿宋_GB2312" w:cs="Times New Roman"/>
                <w:color w:val="000000"/>
                <w:sz w:val="20"/>
                <w:szCs w:val="20"/>
              </w:rPr>
            </w:pPr>
          </w:p>
        </w:tc>
        <w:tc>
          <w:tcPr>
            <w:tcW w:w="1080" w:type="dxa"/>
            <w:vMerge w:val="continue"/>
            <w:tcBorders>
              <w:left w:val="single" w:color="auto" w:sz="4" w:space="0"/>
              <w:bottom w:val="single" w:color="auto" w:sz="4" w:space="0"/>
              <w:right w:val="single" w:color="auto" w:sz="4" w:space="0"/>
            </w:tcBorders>
            <w:noWrap w:val="0"/>
            <w:vAlign w:val="center"/>
          </w:tcPr>
          <w:p>
            <w:pPr>
              <w:spacing w:line="240" w:lineRule="exact"/>
              <w:jc w:val="left"/>
              <w:rPr>
                <w:rFonts w:ascii="Times New Roman" w:hAnsi="Times New Roman" w:eastAsia="仿宋_GB2312" w:cs="Times New Roman"/>
                <w:color w:val="000000"/>
                <w:sz w:val="20"/>
                <w:szCs w:val="20"/>
              </w:rPr>
            </w:pPr>
          </w:p>
        </w:tc>
        <w:tc>
          <w:tcPr>
            <w:tcW w:w="953"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仿宋_GB2312" w:cs="Times New Roman"/>
                <w:color w:val="000000"/>
                <w:sz w:val="20"/>
                <w:szCs w:val="20"/>
              </w:rPr>
            </w:pPr>
          </w:p>
        </w:tc>
        <w:tc>
          <w:tcPr>
            <w:tcW w:w="135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Times New Roman" w:hAnsi="Times New Roman" w:eastAsia="仿宋_GB2312" w:cs="Times New Roman"/>
                <w:color w:val="000000"/>
                <w:sz w:val="20"/>
                <w:szCs w:val="20"/>
              </w:rPr>
            </w:pPr>
            <w:r>
              <w:rPr>
                <w:rFonts w:hint="eastAsia" w:ascii="Times New Roman" w:hAnsi="Times New Roman" w:eastAsia="仿宋_GB2312" w:cs="Times New Roman"/>
                <w:color w:val="000000"/>
                <w:sz w:val="20"/>
                <w:szCs w:val="20"/>
              </w:rPr>
              <w:t>工作完成及时情况</w:t>
            </w:r>
          </w:p>
        </w:tc>
        <w:tc>
          <w:tcPr>
            <w:tcW w:w="1311"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Times New Roman" w:hAnsi="Times New Roman" w:eastAsia="仿宋_GB2312" w:cs="Times New Roman"/>
                <w:color w:val="000000"/>
                <w:sz w:val="20"/>
                <w:szCs w:val="20"/>
              </w:rPr>
            </w:pPr>
            <w:r>
              <w:rPr>
                <w:rFonts w:hint="eastAsia" w:ascii="Times New Roman" w:hAnsi="Times New Roman" w:eastAsia="仿宋_GB2312" w:cs="Times New Roman"/>
                <w:color w:val="000000"/>
                <w:sz w:val="20"/>
                <w:szCs w:val="20"/>
              </w:rPr>
              <w:t>部门在规定时限内及时完成全年任务考核</w:t>
            </w:r>
          </w:p>
        </w:tc>
        <w:tc>
          <w:tcPr>
            <w:tcW w:w="1269"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Times New Roman" w:hAnsi="Times New Roman" w:eastAsia="仿宋_GB2312" w:cs="Times New Roman"/>
                <w:color w:val="000000"/>
                <w:sz w:val="20"/>
                <w:szCs w:val="20"/>
              </w:rPr>
            </w:pPr>
          </w:p>
          <w:p>
            <w:pPr>
              <w:widowControl/>
              <w:spacing w:line="240" w:lineRule="exact"/>
              <w:jc w:val="center"/>
              <w:rPr>
                <w:rFonts w:hint="eastAsia" w:ascii="Times New Roman" w:hAnsi="Times New Roman" w:eastAsia="仿宋_GB2312" w:cs="Times New Roman"/>
                <w:color w:val="000000"/>
                <w:sz w:val="20"/>
                <w:szCs w:val="20"/>
              </w:rPr>
            </w:pPr>
            <w:r>
              <w:rPr>
                <w:rFonts w:hint="eastAsia" w:ascii="Times New Roman" w:hAnsi="Times New Roman" w:eastAsia="仿宋_GB2312" w:cs="Times New Roman"/>
                <w:color w:val="000000"/>
                <w:sz w:val="20"/>
                <w:szCs w:val="20"/>
              </w:rPr>
              <w:t>按时完成</w:t>
            </w:r>
          </w:p>
        </w:tc>
        <w:tc>
          <w:tcPr>
            <w:tcW w:w="716"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Times New Roman" w:hAnsi="Times New Roman" w:eastAsia="仿宋_GB2312" w:cs="Times New Roman"/>
                <w:color w:val="000000"/>
                <w:sz w:val="20"/>
                <w:szCs w:val="20"/>
                <w:lang w:val="en-US" w:eastAsia="zh-CN"/>
              </w:rPr>
            </w:pPr>
            <w:r>
              <w:rPr>
                <w:rFonts w:hint="eastAsia" w:ascii="Times New Roman" w:hAnsi="Times New Roman" w:eastAsia="仿宋_GB2312" w:cs="Times New Roman"/>
                <w:color w:val="000000"/>
                <w:sz w:val="20"/>
                <w:szCs w:val="20"/>
                <w:lang w:val="en-US" w:eastAsia="zh-CN"/>
              </w:rPr>
              <w:t>5</w:t>
            </w:r>
          </w:p>
        </w:tc>
        <w:tc>
          <w:tcPr>
            <w:tcW w:w="881"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p>
          <w:p>
            <w:pPr>
              <w:widowControl/>
              <w:spacing w:line="240" w:lineRule="exact"/>
              <w:jc w:val="center"/>
              <w:rPr>
                <w:rFonts w:hint="eastAsia" w:ascii="Times New Roman" w:hAnsi="Times New Roman" w:eastAsia="仿宋_GB2312" w:cs="Times New Roman"/>
                <w:color w:val="000000"/>
                <w:sz w:val="20"/>
                <w:szCs w:val="20"/>
                <w:lang w:val="en-US" w:eastAsia="zh-CN"/>
              </w:rPr>
            </w:pPr>
            <w:r>
              <w:rPr>
                <w:rFonts w:hint="eastAsia" w:ascii="Times New Roman" w:hAnsi="Times New Roman" w:eastAsia="仿宋_GB2312" w:cs="Times New Roman"/>
                <w:color w:val="000000"/>
                <w:sz w:val="20"/>
                <w:szCs w:val="20"/>
                <w:lang w:val="en-US" w:eastAsia="zh-CN"/>
              </w:rPr>
              <w:t>5</w:t>
            </w:r>
          </w:p>
          <w:p>
            <w:pPr>
              <w:widowControl/>
              <w:spacing w:line="240" w:lineRule="exact"/>
              <w:jc w:val="center"/>
              <w:rPr>
                <w:rFonts w:ascii="Times New Roman" w:hAnsi="Times New Roman" w:eastAsia="仿宋_GB2312" w:cs="Times New Roman"/>
                <w:color w:val="000000"/>
                <w:sz w:val="20"/>
                <w:szCs w:val="20"/>
              </w:rPr>
            </w:pPr>
          </w:p>
        </w:tc>
        <w:tc>
          <w:tcPr>
            <w:tcW w:w="143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　</w:t>
            </w:r>
          </w:p>
          <w:p>
            <w:pPr>
              <w:widowControl/>
              <w:spacing w:line="240" w:lineRule="exact"/>
              <w:jc w:val="left"/>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　</w:t>
            </w:r>
          </w:p>
        </w:tc>
      </w:tr>
      <w:tr>
        <w:tblPrEx>
          <w:tblCellMar>
            <w:top w:w="0" w:type="dxa"/>
            <w:left w:w="108" w:type="dxa"/>
            <w:bottom w:w="0" w:type="dxa"/>
            <w:right w:w="108" w:type="dxa"/>
          </w:tblCellMar>
        </w:tblPrEx>
        <w:trPr>
          <w:trHeight w:val="842" w:hRule="atLeast"/>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ascii="Times New Roman" w:hAnsi="Times New Roman" w:eastAsia="仿宋_GB2312" w:cs="Times New Roman"/>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rPr>
                <w:rFonts w:ascii="Times New Roman" w:hAnsi="Times New Roman" w:eastAsia="仿宋_GB2312" w:cs="Times New Roman"/>
                <w:color w:val="000000"/>
                <w:sz w:val="20"/>
                <w:szCs w:val="20"/>
              </w:rPr>
            </w:pPr>
          </w:p>
        </w:tc>
        <w:tc>
          <w:tcPr>
            <w:tcW w:w="953"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成本指标</w:t>
            </w:r>
          </w:p>
        </w:tc>
        <w:tc>
          <w:tcPr>
            <w:tcW w:w="135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kern w:val="2"/>
                <w:sz w:val="20"/>
                <w:szCs w:val="20"/>
                <w:lang w:val="en-US" w:eastAsia="zh-CN" w:bidi="ar-SA"/>
              </w:rPr>
            </w:pPr>
            <w:r>
              <w:rPr>
                <w:rFonts w:hint="default" w:ascii="Times New Roman" w:hAnsi="Times New Roman" w:eastAsia="宋体" w:cs="Times New Roman"/>
                <w:i w:val="0"/>
                <w:iCs w:val="0"/>
                <w:caps w:val="0"/>
                <w:color w:val="000000"/>
                <w:spacing w:val="0"/>
                <w:sz w:val="20"/>
                <w:szCs w:val="20"/>
                <w:shd w:val="clear" w:fill="FFFFFF"/>
              </w:rPr>
              <w:t>“</w:t>
            </w:r>
            <w:r>
              <w:rPr>
                <w:rFonts w:hint="eastAsia" w:ascii="Times New Roman" w:hAnsi="Times New Roman" w:eastAsia="仿宋_GB2312" w:cs="Times New Roman"/>
                <w:color w:val="000000"/>
                <w:sz w:val="20"/>
                <w:szCs w:val="20"/>
              </w:rPr>
              <w:t>三公经费</w:t>
            </w:r>
            <w:r>
              <w:rPr>
                <w:rFonts w:hint="default" w:ascii="Times New Roman" w:hAnsi="Times New Roman" w:eastAsia="仿宋_GB2312" w:cs="Times New Roman"/>
                <w:color w:val="000000"/>
                <w:sz w:val="20"/>
                <w:szCs w:val="20"/>
              </w:rPr>
              <w:t>”</w:t>
            </w:r>
            <w:r>
              <w:rPr>
                <w:rFonts w:hint="eastAsia" w:ascii="Times New Roman" w:hAnsi="Times New Roman" w:eastAsia="仿宋_GB2312" w:cs="Times New Roman"/>
                <w:color w:val="000000"/>
                <w:sz w:val="20"/>
                <w:szCs w:val="20"/>
              </w:rPr>
              <w:t>控制率</w:t>
            </w:r>
          </w:p>
        </w:tc>
        <w:tc>
          <w:tcPr>
            <w:tcW w:w="1311"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Times New Roman" w:hAnsi="Times New Roman" w:eastAsia="仿宋_GB2312" w:cs="Times New Roman"/>
                <w:color w:val="000000"/>
                <w:sz w:val="20"/>
                <w:szCs w:val="20"/>
                <w:lang w:val="en-US" w:eastAsia="zh-CN"/>
              </w:rPr>
            </w:pPr>
          </w:p>
          <w:p>
            <w:pPr>
              <w:widowControl/>
              <w:spacing w:line="240" w:lineRule="exact"/>
              <w:jc w:val="center"/>
              <w:rPr>
                <w:rFonts w:ascii="Times New Roman" w:hAnsi="Times New Roman" w:eastAsia="仿宋_GB2312" w:cs="Times New Roman"/>
                <w:color w:val="000000"/>
                <w:sz w:val="20"/>
                <w:szCs w:val="20"/>
              </w:rPr>
            </w:pPr>
            <w:r>
              <w:rPr>
                <w:rFonts w:hint="eastAsia" w:ascii="Times New Roman" w:hAnsi="Times New Roman" w:eastAsia="仿宋_GB2312" w:cs="Times New Roman"/>
                <w:color w:val="000000"/>
                <w:sz w:val="20"/>
                <w:szCs w:val="20"/>
                <w:lang w:val="en-US" w:eastAsia="zh-CN"/>
              </w:rPr>
              <w:t>≤100%</w:t>
            </w:r>
          </w:p>
          <w:p>
            <w:pPr>
              <w:widowControl/>
              <w:spacing w:line="240" w:lineRule="exact"/>
              <w:jc w:val="center"/>
              <w:rPr>
                <w:rFonts w:ascii="Times New Roman" w:hAnsi="Times New Roman" w:eastAsia="仿宋_GB2312" w:cs="Times New Roman"/>
                <w:color w:val="000000"/>
                <w:kern w:val="2"/>
                <w:sz w:val="20"/>
                <w:szCs w:val="20"/>
                <w:lang w:val="en-US" w:eastAsia="zh-CN" w:bidi="ar-SA"/>
              </w:rPr>
            </w:pPr>
          </w:p>
        </w:tc>
        <w:tc>
          <w:tcPr>
            <w:tcW w:w="1269"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p>
          <w:p>
            <w:pPr>
              <w:widowControl/>
              <w:spacing w:line="240" w:lineRule="exact"/>
              <w:jc w:val="center"/>
              <w:rPr>
                <w:rFonts w:ascii="Times New Roman" w:hAnsi="Times New Roman" w:eastAsia="仿宋_GB2312" w:cs="Times New Roman"/>
                <w:color w:val="000000"/>
                <w:sz w:val="20"/>
                <w:szCs w:val="20"/>
              </w:rPr>
            </w:pPr>
            <w:r>
              <w:rPr>
                <w:rFonts w:hint="eastAsia" w:ascii="Times New Roman" w:hAnsi="Times New Roman" w:eastAsia="仿宋_GB2312" w:cs="Times New Roman"/>
                <w:color w:val="000000"/>
                <w:sz w:val="20"/>
                <w:szCs w:val="20"/>
                <w:lang w:val="en-US" w:eastAsia="zh-CN"/>
              </w:rPr>
              <w:t>≤100%</w:t>
            </w:r>
          </w:p>
          <w:p>
            <w:pPr>
              <w:widowControl/>
              <w:spacing w:line="240" w:lineRule="exact"/>
              <w:jc w:val="center"/>
              <w:rPr>
                <w:rFonts w:ascii="Times New Roman" w:hAnsi="Times New Roman" w:eastAsia="仿宋_GB2312" w:cs="Times New Roman"/>
                <w:color w:val="000000"/>
                <w:kern w:val="2"/>
                <w:sz w:val="20"/>
                <w:szCs w:val="20"/>
                <w:lang w:val="en-US" w:eastAsia="zh-CN" w:bidi="ar-SA"/>
              </w:rPr>
            </w:pPr>
          </w:p>
        </w:tc>
        <w:tc>
          <w:tcPr>
            <w:tcW w:w="716"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default" w:ascii="Times New Roman" w:hAnsi="Times New Roman" w:eastAsia="仿宋_GB2312" w:cs="Times New Roman"/>
                <w:color w:val="000000"/>
                <w:kern w:val="2"/>
                <w:sz w:val="20"/>
                <w:szCs w:val="20"/>
                <w:lang w:val="en-US" w:eastAsia="zh-CN" w:bidi="ar-SA"/>
              </w:rPr>
            </w:pPr>
            <w:r>
              <w:rPr>
                <w:rFonts w:hint="eastAsia" w:ascii="Times New Roman" w:hAnsi="Times New Roman" w:eastAsia="仿宋_GB2312" w:cs="Times New Roman"/>
                <w:color w:val="000000"/>
                <w:sz w:val="20"/>
                <w:szCs w:val="20"/>
                <w:lang w:val="en-US" w:eastAsia="zh-CN"/>
              </w:rPr>
              <w:t>10</w:t>
            </w:r>
          </w:p>
        </w:tc>
        <w:tc>
          <w:tcPr>
            <w:tcW w:w="881"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kern w:val="2"/>
                <w:sz w:val="20"/>
                <w:szCs w:val="20"/>
                <w:lang w:val="en-US" w:eastAsia="zh-CN" w:bidi="ar-SA"/>
              </w:rPr>
            </w:pPr>
            <w:r>
              <w:rPr>
                <w:rFonts w:hint="eastAsia" w:ascii="Times New Roman" w:hAnsi="Times New Roman" w:eastAsia="仿宋_GB2312" w:cs="Times New Roman"/>
                <w:color w:val="000000"/>
                <w:sz w:val="20"/>
                <w:szCs w:val="20"/>
                <w:lang w:val="en-US" w:eastAsia="zh-CN"/>
              </w:rPr>
              <w:t>10</w:t>
            </w:r>
          </w:p>
        </w:tc>
        <w:tc>
          <w:tcPr>
            <w:tcW w:w="143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　</w:t>
            </w:r>
          </w:p>
          <w:p>
            <w:pPr>
              <w:widowControl/>
              <w:spacing w:line="240" w:lineRule="exact"/>
              <w:jc w:val="left"/>
              <w:rPr>
                <w:rFonts w:ascii="Times New Roman" w:hAnsi="Times New Roman" w:eastAsia="仿宋_GB2312" w:cs="Times New Roman"/>
                <w:color w:val="000000"/>
                <w:kern w:val="2"/>
                <w:sz w:val="20"/>
                <w:szCs w:val="20"/>
                <w:lang w:val="en-US" w:eastAsia="zh-CN" w:bidi="ar-SA"/>
              </w:rPr>
            </w:pPr>
            <w:r>
              <w:rPr>
                <w:rFonts w:ascii="Times New Roman" w:hAnsi="Times New Roman" w:eastAsia="仿宋_GB2312" w:cs="Times New Roman"/>
                <w:color w:val="000000"/>
                <w:sz w:val="20"/>
                <w:szCs w:val="20"/>
              </w:rPr>
              <w:t>　</w:t>
            </w:r>
          </w:p>
        </w:tc>
      </w:tr>
      <w:tr>
        <w:tblPrEx>
          <w:tblCellMar>
            <w:top w:w="0" w:type="dxa"/>
            <w:left w:w="108" w:type="dxa"/>
            <w:bottom w:w="0" w:type="dxa"/>
            <w:right w:w="108" w:type="dxa"/>
          </w:tblCellMar>
        </w:tblPrEx>
        <w:trPr>
          <w:trHeight w:val="1401" w:hRule="atLeast"/>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ascii="Times New Roman" w:hAnsi="Times New Roman" w:eastAsia="仿宋_GB2312" w:cs="Times New Roman"/>
                <w:color w:val="000000"/>
                <w:sz w:val="20"/>
                <w:szCs w:val="20"/>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效益指标</w:t>
            </w:r>
          </w:p>
          <w:p>
            <w:pPr>
              <w:widowControl/>
              <w:spacing w:line="240" w:lineRule="exact"/>
              <w:jc w:val="left"/>
              <w:rPr>
                <w:rFonts w:ascii="Times New Roman" w:hAnsi="Times New Roman" w:eastAsia="仿宋_GB2312" w:cs="Times New Roman"/>
                <w:color w:val="000000"/>
                <w:sz w:val="20"/>
                <w:szCs w:val="20"/>
              </w:rPr>
            </w:pPr>
          </w:p>
          <w:p>
            <w:pPr>
              <w:widowControl/>
              <w:spacing w:line="240" w:lineRule="exact"/>
              <w:jc w:val="left"/>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（30分）</w:t>
            </w:r>
          </w:p>
          <w:p>
            <w:pPr>
              <w:widowControl/>
              <w:spacing w:line="240" w:lineRule="exact"/>
              <w:jc w:val="left"/>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　</w:t>
            </w:r>
          </w:p>
        </w:tc>
        <w:tc>
          <w:tcPr>
            <w:tcW w:w="953"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经济效</w:t>
            </w:r>
          </w:p>
          <w:p>
            <w:pPr>
              <w:widowControl/>
              <w:spacing w:line="240" w:lineRule="exact"/>
              <w:jc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益指标</w:t>
            </w:r>
          </w:p>
        </w:tc>
        <w:tc>
          <w:tcPr>
            <w:tcW w:w="135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hint="eastAsia" w:ascii="Times New Roman" w:hAnsi="Times New Roman" w:eastAsia="仿宋_GB2312" w:cs="Times New Roman"/>
                <w:color w:val="000000"/>
                <w:sz w:val="20"/>
                <w:szCs w:val="20"/>
              </w:rPr>
              <w:t>加快发展农村经济，提高就业率，切实增加群众收入</w:t>
            </w:r>
          </w:p>
        </w:tc>
        <w:tc>
          <w:tcPr>
            <w:tcW w:w="1311"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hint="eastAsia" w:ascii="Times New Roman" w:hAnsi="Times New Roman" w:eastAsia="仿宋_GB2312" w:cs="Times New Roman"/>
                <w:color w:val="000000"/>
                <w:sz w:val="20"/>
                <w:szCs w:val="20"/>
              </w:rPr>
              <w:t>群众致富能力持续增强</w:t>
            </w:r>
          </w:p>
        </w:tc>
        <w:tc>
          <w:tcPr>
            <w:tcW w:w="1269"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hint="eastAsia" w:ascii="Times New Roman" w:hAnsi="Times New Roman" w:eastAsia="仿宋_GB2312" w:cs="Times New Roman"/>
                <w:color w:val="000000"/>
                <w:sz w:val="20"/>
                <w:szCs w:val="20"/>
              </w:rPr>
              <w:t>群众致富能力持续增强</w:t>
            </w:r>
          </w:p>
        </w:tc>
        <w:tc>
          <w:tcPr>
            <w:tcW w:w="716"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default" w:ascii="Times New Roman" w:hAnsi="Times New Roman" w:eastAsia="仿宋_GB2312" w:cs="Times New Roman"/>
                <w:color w:val="000000"/>
                <w:sz w:val="20"/>
                <w:szCs w:val="20"/>
                <w:lang w:val="en-US" w:eastAsia="zh-CN"/>
              </w:rPr>
            </w:pPr>
            <w:r>
              <w:rPr>
                <w:rFonts w:hint="eastAsia" w:ascii="Times New Roman" w:hAnsi="Times New Roman" w:eastAsia="仿宋_GB2312" w:cs="Times New Roman"/>
                <w:color w:val="000000"/>
                <w:sz w:val="20"/>
                <w:szCs w:val="20"/>
                <w:lang w:val="en-US" w:eastAsia="zh-CN"/>
              </w:rPr>
              <w:t>10</w:t>
            </w:r>
          </w:p>
        </w:tc>
        <w:tc>
          <w:tcPr>
            <w:tcW w:w="881"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hint="eastAsia" w:ascii="Times New Roman" w:hAnsi="Times New Roman" w:eastAsia="仿宋_GB2312" w:cs="Times New Roman"/>
                <w:color w:val="000000"/>
                <w:sz w:val="20"/>
                <w:szCs w:val="20"/>
                <w:lang w:val="en-US" w:eastAsia="zh-CN"/>
              </w:rPr>
              <w:t>10</w:t>
            </w:r>
          </w:p>
        </w:tc>
        <w:tc>
          <w:tcPr>
            <w:tcW w:w="1438"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　</w:t>
            </w:r>
          </w:p>
        </w:tc>
      </w:tr>
      <w:tr>
        <w:tblPrEx>
          <w:tblCellMar>
            <w:top w:w="0" w:type="dxa"/>
            <w:left w:w="108" w:type="dxa"/>
            <w:bottom w:w="0" w:type="dxa"/>
            <w:right w:w="108" w:type="dxa"/>
          </w:tblCellMar>
        </w:tblPrEx>
        <w:trPr>
          <w:trHeight w:val="1121" w:hRule="atLeast"/>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ascii="Times New Roman" w:hAnsi="Times New Roman" w:eastAsia="仿宋_GB2312" w:cs="Times New Roman"/>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rPr>
                <w:rFonts w:ascii="Times New Roman" w:hAnsi="Times New Roman" w:eastAsia="仿宋_GB2312" w:cs="Times New Roman"/>
                <w:color w:val="000000"/>
                <w:sz w:val="20"/>
                <w:szCs w:val="20"/>
              </w:rPr>
            </w:pPr>
          </w:p>
        </w:tc>
        <w:tc>
          <w:tcPr>
            <w:tcW w:w="953"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社会效</w:t>
            </w:r>
          </w:p>
          <w:p>
            <w:pPr>
              <w:widowControl/>
              <w:spacing w:line="240" w:lineRule="exact"/>
              <w:jc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益指标</w:t>
            </w:r>
          </w:p>
        </w:tc>
        <w:tc>
          <w:tcPr>
            <w:tcW w:w="1351" w:type="dxa"/>
            <w:gridSpan w:val="2"/>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hint="eastAsia" w:ascii="Times New Roman" w:hAnsi="Times New Roman" w:eastAsia="仿宋_GB2312" w:cs="Times New Roman"/>
                <w:color w:val="000000"/>
                <w:sz w:val="20"/>
                <w:szCs w:val="20"/>
              </w:rPr>
              <w:t>保障基层社会民生，方便群众</w:t>
            </w:r>
          </w:p>
        </w:tc>
        <w:tc>
          <w:tcPr>
            <w:tcW w:w="1311" w:type="dxa"/>
            <w:tcBorders>
              <w:top w:val="nil"/>
              <w:left w:val="nil"/>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hint="eastAsia" w:ascii="Times New Roman" w:hAnsi="Times New Roman" w:eastAsia="仿宋_GB2312" w:cs="Times New Roman"/>
                <w:color w:val="000000"/>
                <w:sz w:val="20"/>
                <w:szCs w:val="20"/>
              </w:rPr>
              <w:t>保障特殊困难人群的基本生活。</w:t>
            </w:r>
          </w:p>
        </w:tc>
        <w:tc>
          <w:tcPr>
            <w:tcW w:w="1269" w:type="dxa"/>
            <w:tcBorders>
              <w:top w:val="nil"/>
              <w:left w:val="nil"/>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hint="eastAsia" w:ascii="Times New Roman" w:hAnsi="Times New Roman" w:eastAsia="仿宋_GB2312" w:cs="Times New Roman"/>
                <w:color w:val="000000"/>
                <w:sz w:val="20"/>
                <w:szCs w:val="20"/>
              </w:rPr>
              <w:t>保障特殊困难人群的基本生活。</w:t>
            </w:r>
          </w:p>
        </w:tc>
        <w:tc>
          <w:tcPr>
            <w:tcW w:w="716"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Times New Roman" w:hAnsi="Times New Roman" w:eastAsia="仿宋_GB2312" w:cs="Times New Roman"/>
                <w:color w:val="000000"/>
                <w:sz w:val="20"/>
                <w:szCs w:val="20"/>
                <w:lang w:val="en-US" w:eastAsia="zh-CN"/>
              </w:rPr>
            </w:pPr>
            <w:r>
              <w:rPr>
                <w:rFonts w:hint="eastAsia" w:ascii="Times New Roman" w:hAnsi="Times New Roman" w:eastAsia="仿宋_GB2312" w:cs="Times New Roman"/>
                <w:color w:val="000000"/>
                <w:sz w:val="20"/>
                <w:szCs w:val="20"/>
                <w:lang w:val="en-US" w:eastAsia="zh-CN"/>
              </w:rPr>
              <w:t>10</w:t>
            </w:r>
          </w:p>
        </w:tc>
        <w:tc>
          <w:tcPr>
            <w:tcW w:w="881" w:type="dxa"/>
            <w:tcBorders>
              <w:top w:val="nil"/>
              <w:left w:val="nil"/>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hint="eastAsia" w:ascii="Times New Roman" w:hAnsi="Times New Roman" w:eastAsia="仿宋_GB2312" w:cs="Times New Roman"/>
                <w:color w:val="000000"/>
                <w:sz w:val="20"/>
                <w:szCs w:val="20"/>
                <w:lang w:val="en-US" w:eastAsia="zh-CN"/>
              </w:rPr>
              <w:t>10</w:t>
            </w:r>
          </w:p>
        </w:tc>
        <w:tc>
          <w:tcPr>
            <w:tcW w:w="1438" w:type="dxa"/>
            <w:tcBorders>
              <w:top w:val="nil"/>
              <w:left w:val="nil"/>
              <w:bottom w:val="single" w:color="auto" w:sz="4" w:space="0"/>
              <w:right w:val="single" w:color="auto" w:sz="4" w:space="0"/>
            </w:tcBorders>
            <w:noWrap w:val="0"/>
            <w:vAlign w:val="center"/>
          </w:tcPr>
          <w:p>
            <w:pPr>
              <w:widowControl/>
              <w:spacing w:line="240" w:lineRule="exact"/>
              <w:jc w:val="left"/>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　</w:t>
            </w:r>
          </w:p>
        </w:tc>
      </w:tr>
      <w:tr>
        <w:tblPrEx>
          <w:tblCellMar>
            <w:top w:w="0" w:type="dxa"/>
            <w:left w:w="108" w:type="dxa"/>
            <w:bottom w:w="0" w:type="dxa"/>
            <w:right w:w="108" w:type="dxa"/>
          </w:tblCellMar>
        </w:tblPrEx>
        <w:trPr>
          <w:trHeight w:val="1252" w:hRule="atLeast"/>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ascii="Times New Roman" w:hAnsi="Times New Roman" w:eastAsia="仿宋_GB2312" w:cs="Times New Roman"/>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rPr>
                <w:rFonts w:ascii="Times New Roman" w:hAnsi="Times New Roman" w:eastAsia="仿宋_GB2312" w:cs="Times New Roman"/>
                <w:color w:val="000000"/>
                <w:sz w:val="20"/>
                <w:szCs w:val="20"/>
              </w:rPr>
            </w:pPr>
          </w:p>
        </w:tc>
        <w:tc>
          <w:tcPr>
            <w:tcW w:w="953"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生态效</w:t>
            </w:r>
          </w:p>
          <w:p>
            <w:pPr>
              <w:widowControl/>
              <w:spacing w:line="240" w:lineRule="exact"/>
              <w:jc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益指标</w:t>
            </w:r>
          </w:p>
        </w:tc>
        <w:tc>
          <w:tcPr>
            <w:tcW w:w="1351" w:type="dxa"/>
            <w:gridSpan w:val="2"/>
            <w:tcBorders>
              <w:top w:val="nil"/>
              <w:left w:val="nil"/>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hint="eastAsia" w:ascii="Times New Roman" w:hAnsi="Times New Roman" w:eastAsia="仿宋_GB2312" w:cs="Times New Roman"/>
                <w:color w:val="000000"/>
                <w:sz w:val="20"/>
                <w:szCs w:val="20"/>
              </w:rPr>
              <w:t>完善乡镇环保基础设施建设，提升农村人居环境</w:t>
            </w:r>
          </w:p>
        </w:tc>
        <w:tc>
          <w:tcPr>
            <w:tcW w:w="1311" w:type="dxa"/>
            <w:tcBorders>
              <w:top w:val="nil"/>
              <w:left w:val="nil"/>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hint="eastAsia" w:ascii="Times New Roman" w:hAnsi="Times New Roman" w:eastAsia="仿宋_GB2312" w:cs="Times New Roman"/>
                <w:color w:val="000000"/>
                <w:sz w:val="20"/>
                <w:szCs w:val="20"/>
              </w:rPr>
              <w:t>将卫生环境保护贯穿到辖区村(社区)</w:t>
            </w:r>
          </w:p>
        </w:tc>
        <w:tc>
          <w:tcPr>
            <w:tcW w:w="1269" w:type="dxa"/>
            <w:tcBorders>
              <w:top w:val="nil"/>
              <w:left w:val="nil"/>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hint="eastAsia" w:ascii="Times New Roman" w:hAnsi="Times New Roman" w:eastAsia="仿宋_GB2312" w:cs="Times New Roman"/>
                <w:color w:val="000000"/>
                <w:sz w:val="20"/>
                <w:szCs w:val="20"/>
              </w:rPr>
              <w:t>将卫生环境保护贯穿到辖区村(社区)</w:t>
            </w:r>
          </w:p>
        </w:tc>
        <w:tc>
          <w:tcPr>
            <w:tcW w:w="716"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Times New Roman" w:hAnsi="Times New Roman" w:eastAsia="仿宋_GB2312" w:cs="Times New Roman"/>
                <w:color w:val="000000"/>
                <w:sz w:val="20"/>
                <w:szCs w:val="20"/>
                <w:lang w:val="en-US" w:eastAsia="zh-CN"/>
              </w:rPr>
            </w:pPr>
            <w:r>
              <w:rPr>
                <w:rFonts w:hint="eastAsia" w:ascii="Times New Roman" w:hAnsi="Times New Roman" w:eastAsia="仿宋_GB2312" w:cs="Times New Roman"/>
                <w:color w:val="000000"/>
                <w:sz w:val="20"/>
                <w:szCs w:val="20"/>
                <w:lang w:val="en-US" w:eastAsia="zh-CN"/>
              </w:rPr>
              <w:t>5</w:t>
            </w:r>
          </w:p>
        </w:tc>
        <w:tc>
          <w:tcPr>
            <w:tcW w:w="881" w:type="dxa"/>
            <w:tcBorders>
              <w:top w:val="nil"/>
              <w:left w:val="nil"/>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hint="eastAsia" w:ascii="Times New Roman" w:hAnsi="Times New Roman" w:eastAsia="仿宋_GB2312" w:cs="Times New Roman"/>
                <w:color w:val="000000"/>
                <w:sz w:val="20"/>
                <w:szCs w:val="20"/>
                <w:lang w:val="en-US" w:eastAsia="zh-CN"/>
              </w:rPr>
              <w:t>5</w:t>
            </w:r>
          </w:p>
        </w:tc>
        <w:tc>
          <w:tcPr>
            <w:tcW w:w="1438" w:type="dxa"/>
            <w:tcBorders>
              <w:top w:val="nil"/>
              <w:left w:val="nil"/>
              <w:bottom w:val="single" w:color="auto" w:sz="4" w:space="0"/>
              <w:right w:val="single" w:color="auto" w:sz="4" w:space="0"/>
            </w:tcBorders>
            <w:noWrap w:val="0"/>
            <w:vAlign w:val="center"/>
          </w:tcPr>
          <w:p>
            <w:pPr>
              <w:widowControl/>
              <w:spacing w:line="240" w:lineRule="exact"/>
              <w:jc w:val="left"/>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　</w:t>
            </w:r>
          </w:p>
        </w:tc>
      </w:tr>
      <w:tr>
        <w:tblPrEx>
          <w:tblCellMar>
            <w:top w:w="0" w:type="dxa"/>
            <w:left w:w="108" w:type="dxa"/>
            <w:bottom w:w="0" w:type="dxa"/>
            <w:right w:w="108" w:type="dxa"/>
          </w:tblCellMar>
        </w:tblPrEx>
        <w:trPr>
          <w:trHeight w:val="931" w:hRule="atLeast"/>
          <w:jc w:val="center"/>
        </w:trPr>
        <w:tc>
          <w:tcPr>
            <w:tcW w:w="1080" w:type="dxa"/>
            <w:vMerge w:val="continue"/>
            <w:tcBorders>
              <w:left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ascii="Times New Roman" w:hAnsi="Times New Roman" w:eastAsia="仿宋_GB2312" w:cs="Times New Roman"/>
                <w:color w:val="000000"/>
                <w:sz w:val="20"/>
                <w:szCs w:val="20"/>
              </w:rPr>
            </w:pPr>
          </w:p>
        </w:tc>
        <w:tc>
          <w:tcPr>
            <w:tcW w:w="953"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可持续影响指标</w:t>
            </w:r>
          </w:p>
        </w:tc>
        <w:tc>
          <w:tcPr>
            <w:tcW w:w="1351" w:type="dxa"/>
            <w:gridSpan w:val="2"/>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hint="eastAsia" w:ascii="Times New Roman" w:hAnsi="Times New Roman" w:eastAsia="仿宋_GB2312" w:cs="Times New Roman"/>
                <w:color w:val="000000"/>
                <w:sz w:val="20"/>
                <w:szCs w:val="20"/>
              </w:rPr>
              <w:t>落实各项惠农扶贫政策</w:t>
            </w:r>
          </w:p>
        </w:tc>
        <w:tc>
          <w:tcPr>
            <w:tcW w:w="1311"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　</w:t>
            </w:r>
            <w:r>
              <w:rPr>
                <w:rFonts w:hint="eastAsia" w:ascii="Times New Roman" w:hAnsi="Times New Roman" w:eastAsia="仿宋_GB2312" w:cs="Times New Roman"/>
                <w:color w:val="000000"/>
                <w:sz w:val="20"/>
                <w:szCs w:val="20"/>
              </w:rPr>
              <w:t>惠农补贴发放到位</w:t>
            </w:r>
          </w:p>
        </w:tc>
        <w:tc>
          <w:tcPr>
            <w:tcW w:w="1269"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　</w:t>
            </w:r>
            <w:r>
              <w:rPr>
                <w:rFonts w:hint="eastAsia" w:ascii="Times New Roman" w:hAnsi="Times New Roman" w:eastAsia="仿宋_GB2312" w:cs="Times New Roman"/>
                <w:color w:val="000000"/>
                <w:sz w:val="20"/>
                <w:szCs w:val="20"/>
              </w:rPr>
              <w:t>惠农补贴发放到位</w:t>
            </w:r>
          </w:p>
        </w:tc>
        <w:tc>
          <w:tcPr>
            <w:tcW w:w="716"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hint="eastAsia" w:ascii="Times New Roman" w:hAnsi="Times New Roman" w:eastAsia="仿宋_GB2312" w:cs="Times New Roman"/>
                <w:color w:val="000000"/>
                <w:sz w:val="20"/>
                <w:szCs w:val="20"/>
                <w:lang w:val="en-US" w:eastAsia="zh-CN"/>
              </w:rPr>
              <w:t>5</w:t>
            </w:r>
          </w:p>
        </w:tc>
        <w:tc>
          <w:tcPr>
            <w:tcW w:w="881"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eastAsia" w:ascii="Times New Roman" w:hAnsi="Times New Roman" w:eastAsia="仿宋_GB2312" w:cs="Times New Roman"/>
                <w:color w:val="000000"/>
                <w:sz w:val="20"/>
                <w:szCs w:val="20"/>
                <w:lang w:val="en-US" w:eastAsia="zh-CN"/>
              </w:rPr>
            </w:pPr>
            <w:r>
              <w:rPr>
                <w:rFonts w:hint="eastAsia" w:ascii="Times New Roman" w:hAnsi="Times New Roman" w:eastAsia="仿宋_GB2312" w:cs="Times New Roman"/>
                <w:color w:val="000000"/>
                <w:sz w:val="20"/>
                <w:szCs w:val="20"/>
                <w:lang w:val="en-US" w:eastAsia="zh-CN"/>
              </w:rPr>
              <w:t>5</w:t>
            </w:r>
          </w:p>
        </w:tc>
        <w:tc>
          <w:tcPr>
            <w:tcW w:w="1438"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　</w:t>
            </w:r>
          </w:p>
        </w:tc>
      </w:tr>
      <w:tr>
        <w:tblPrEx>
          <w:tblCellMar>
            <w:top w:w="0" w:type="dxa"/>
            <w:left w:w="108" w:type="dxa"/>
            <w:bottom w:w="0" w:type="dxa"/>
            <w:right w:w="108" w:type="dxa"/>
          </w:tblCellMar>
        </w:tblPrEx>
        <w:trPr>
          <w:trHeight w:val="866" w:hRule="atLeast"/>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ascii="Times New Roman" w:hAnsi="Times New Roman" w:eastAsia="仿宋_GB2312" w:cs="Times New Roman"/>
                <w:color w:val="000000"/>
                <w:sz w:val="20"/>
                <w:szCs w:val="20"/>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满意度</w:t>
            </w:r>
          </w:p>
          <w:p>
            <w:pPr>
              <w:widowControl/>
              <w:spacing w:line="240" w:lineRule="exact"/>
              <w:jc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指标</w:t>
            </w:r>
          </w:p>
          <w:p>
            <w:pPr>
              <w:widowControl/>
              <w:spacing w:line="240" w:lineRule="exact"/>
              <w:jc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（10分）</w:t>
            </w:r>
          </w:p>
        </w:tc>
        <w:tc>
          <w:tcPr>
            <w:tcW w:w="953"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服务对象满意度指标</w:t>
            </w:r>
          </w:p>
        </w:tc>
        <w:tc>
          <w:tcPr>
            <w:tcW w:w="1351" w:type="dxa"/>
            <w:gridSpan w:val="2"/>
            <w:tcBorders>
              <w:top w:val="nil"/>
              <w:left w:val="nil"/>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hint="eastAsia" w:ascii="Times New Roman" w:hAnsi="Times New Roman" w:eastAsia="仿宋_GB2312" w:cs="Times New Roman"/>
                <w:color w:val="000000"/>
                <w:sz w:val="20"/>
                <w:szCs w:val="20"/>
              </w:rPr>
              <w:t>干部及群众满意度</w:t>
            </w:r>
          </w:p>
        </w:tc>
        <w:tc>
          <w:tcPr>
            <w:tcW w:w="1311" w:type="dxa"/>
            <w:tcBorders>
              <w:top w:val="nil"/>
              <w:left w:val="nil"/>
              <w:bottom w:val="single" w:color="auto" w:sz="4" w:space="0"/>
              <w:right w:val="single" w:color="auto" w:sz="4" w:space="0"/>
            </w:tcBorders>
            <w:noWrap w:val="0"/>
            <w:vAlign w:val="center"/>
          </w:tcPr>
          <w:p>
            <w:pPr>
              <w:widowControl/>
              <w:spacing w:line="240" w:lineRule="exact"/>
              <w:jc w:val="left"/>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　</w:t>
            </w:r>
            <w:r>
              <w:rPr>
                <w:rFonts w:hint="eastAsia" w:ascii="Times New Roman" w:hAnsi="Times New Roman" w:eastAsia="仿宋_GB2312" w:cs="Times New Roman"/>
                <w:color w:val="000000"/>
                <w:sz w:val="20"/>
                <w:szCs w:val="20"/>
              </w:rPr>
              <w:t>≥90%</w:t>
            </w:r>
          </w:p>
        </w:tc>
        <w:tc>
          <w:tcPr>
            <w:tcW w:w="1269" w:type="dxa"/>
            <w:tcBorders>
              <w:top w:val="nil"/>
              <w:left w:val="nil"/>
              <w:bottom w:val="single" w:color="auto" w:sz="4" w:space="0"/>
              <w:right w:val="single" w:color="auto" w:sz="4" w:space="0"/>
            </w:tcBorders>
            <w:noWrap w:val="0"/>
            <w:vAlign w:val="center"/>
          </w:tcPr>
          <w:p>
            <w:pPr>
              <w:widowControl/>
              <w:spacing w:line="240" w:lineRule="exact"/>
              <w:jc w:val="left"/>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　</w:t>
            </w:r>
            <w:r>
              <w:rPr>
                <w:rFonts w:hint="eastAsia" w:ascii="Times New Roman" w:hAnsi="Times New Roman" w:eastAsia="仿宋_GB2312" w:cs="Times New Roman"/>
                <w:color w:val="000000"/>
                <w:sz w:val="20"/>
                <w:szCs w:val="20"/>
              </w:rPr>
              <w:t>≥90%</w:t>
            </w:r>
          </w:p>
        </w:tc>
        <w:tc>
          <w:tcPr>
            <w:tcW w:w="716"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Times New Roman" w:hAnsi="Times New Roman" w:eastAsia="仿宋_GB2312" w:cs="Times New Roman"/>
                <w:color w:val="000000"/>
                <w:sz w:val="20"/>
                <w:szCs w:val="20"/>
                <w:lang w:val="en-US" w:eastAsia="zh-CN"/>
              </w:rPr>
            </w:pPr>
            <w:r>
              <w:rPr>
                <w:rFonts w:hint="eastAsia" w:ascii="Times New Roman" w:hAnsi="Times New Roman" w:eastAsia="仿宋_GB2312" w:cs="Times New Roman"/>
                <w:color w:val="000000"/>
                <w:sz w:val="20"/>
                <w:szCs w:val="20"/>
                <w:lang w:val="en-US" w:eastAsia="zh-CN"/>
              </w:rPr>
              <w:t>10</w:t>
            </w:r>
          </w:p>
        </w:tc>
        <w:tc>
          <w:tcPr>
            <w:tcW w:w="881" w:type="dxa"/>
            <w:tcBorders>
              <w:top w:val="nil"/>
              <w:left w:val="nil"/>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hint="eastAsia" w:ascii="Times New Roman" w:hAnsi="Times New Roman" w:eastAsia="仿宋_GB2312" w:cs="Times New Roman"/>
                <w:color w:val="000000"/>
                <w:sz w:val="20"/>
                <w:szCs w:val="20"/>
                <w:lang w:val="en-US" w:eastAsia="zh-CN"/>
              </w:rPr>
              <w:t>10</w:t>
            </w:r>
          </w:p>
        </w:tc>
        <w:tc>
          <w:tcPr>
            <w:tcW w:w="1438" w:type="dxa"/>
            <w:tcBorders>
              <w:top w:val="nil"/>
              <w:left w:val="nil"/>
              <w:bottom w:val="single" w:color="auto" w:sz="4" w:space="0"/>
              <w:right w:val="single" w:color="auto" w:sz="4" w:space="0"/>
            </w:tcBorders>
            <w:noWrap w:val="0"/>
            <w:vAlign w:val="center"/>
          </w:tcPr>
          <w:p>
            <w:pPr>
              <w:widowControl/>
              <w:spacing w:line="240" w:lineRule="exact"/>
              <w:jc w:val="left"/>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　</w:t>
            </w:r>
          </w:p>
        </w:tc>
      </w:tr>
      <w:tr>
        <w:tblPrEx>
          <w:tblCellMar>
            <w:top w:w="0" w:type="dxa"/>
            <w:left w:w="108" w:type="dxa"/>
            <w:bottom w:w="0" w:type="dxa"/>
            <w:right w:w="108" w:type="dxa"/>
          </w:tblCellMar>
        </w:tblPrEx>
        <w:trPr>
          <w:trHeight w:val="270" w:hRule="atLeast"/>
          <w:jc w:val="center"/>
        </w:trPr>
        <w:tc>
          <w:tcPr>
            <w:tcW w:w="7044" w:type="dxa"/>
            <w:gridSpan w:val="7"/>
            <w:tcBorders>
              <w:top w:val="single" w:color="auto" w:sz="4" w:space="0"/>
              <w:left w:val="single" w:color="auto" w:sz="4" w:space="0"/>
              <w:bottom w:val="single" w:color="auto" w:sz="4" w:space="0"/>
              <w:right w:val="single" w:color="000000"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总分</w:t>
            </w:r>
          </w:p>
        </w:tc>
        <w:tc>
          <w:tcPr>
            <w:tcW w:w="716" w:type="dxa"/>
            <w:tcBorders>
              <w:top w:val="nil"/>
              <w:left w:val="nil"/>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100</w:t>
            </w:r>
          </w:p>
        </w:tc>
        <w:tc>
          <w:tcPr>
            <w:tcW w:w="881"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Times New Roman" w:hAnsi="Times New Roman" w:eastAsia="仿宋_GB2312" w:cs="Times New Roman"/>
                <w:color w:val="000000"/>
                <w:sz w:val="20"/>
                <w:szCs w:val="20"/>
                <w:lang w:val="en-US" w:eastAsia="zh-CN"/>
              </w:rPr>
            </w:pPr>
            <w:r>
              <w:rPr>
                <w:rFonts w:ascii="Times New Roman" w:hAnsi="Times New Roman" w:eastAsia="仿宋_GB2312" w:cs="Times New Roman"/>
                <w:color w:val="000000"/>
                <w:sz w:val="20"/>
                <w:szCs w:val="20"/>
              </w:rPr>
              <w:t>　</w:t>
            </w:r>
            <w:r>
              <w:rPr>
                <w:rFonts w:hint="eastAsia" w:ascii="Times New Roman" w:hAnsi="Times New Roman" w:eastAsia="仿宋_GB2312" w:cs="Times New Roman"/>
                <w:color w:val="000000"/>
                <w:sz w:val="20"/>
                <w:szCs w:val="20"/>
                <w:lang w:val="en-US" w:eastAsia="zh-CN"/>
              </w:rPr>
              <w:t>95</w:t>
            </w:r>
          </w:p>
        </w:tc>
        <w:tc>
          <w:tcPr>
            <w:tcW w:w="1438" w:type="dxa"/>
            <w:tcBorders>
              <w:top w:val="nil"/>
              <w:left w:val="nil"/>
              <w:bottom w:val="single" w:color="auto" w:sz="4" w:space="0"/>
              <w:right w:val="single" w:color="auto" w:sz="4" w:space="0"/>
            </w:tcBorders>
            <w:noWrap w:val="0"/>
            <w:vAlign w:val="center"/>
          </w:tcPr>
          <w:p>
            <w:pPr>
              <w:widowControl/>
              <w:spacing w:line="240" w:lineRule="exact"/>
              <w:jc w:val="left"/>
              <w:rPr>
                <w:rFonts w:ascii="Times New Roman" w:hAnsi="Times New Roman" w:eastAsia="仿宋_GB2312" w:cs="Times New Roman"/>
                <w:color w:val="000000"/>
                <w:sz w:val="20"/>
                <w:szCs w:val="20"/>
              </w:rPr>
            </w:pPr>
          </w:p>
        </w:tc>
      </w:tr>
    </w:tbl>
    <w:p>
      <w:pPr>
        <w:rPr>
          <w:rFonts w:ascii="Times New Roman" w:hAnsi="Times New Roman" w:eastAsia="仿宋_GB2312" w:cs="Times New Roman"/>
          <w:sz w:val="22"/>
          <w:szCs w:val="22"/>
        </w:rPr>
      </w:pPr>
      <w:r>
        <w:rPr>
          <w:rFonts w:ascii="Times New Roman" w:hAnsi="Times New Roman" w:eastAsia="仿宋_GB2312" w:cs="Times New Roman"/>
          <w:sz w:val="22"/>
          <w:szCs w:val="22"/>
        </w:rPr>
        <w:t xml:space="preserve">填表人：      </w:t>
      </w:r>
      <w:r>
        <w:rPr>
          <w:rFonts w:hint="eastAsia" w:ascii="Times New Roman" w:hAnsi="Times New Roman" w:eastAsia="仿宋_GB2312" w:cs="Times New Roman"/>
          <w:sz w:val="22"/>
          <w:szCs w:val="22"/>
          <w:lang w:val="en-US" w:eastAsia="zh-CN"/>
        </w:rPr>
        <w:t xml:space="preserve">      </w:t>
      </w:r>
      <w:r>
        <w:rPr>
          <w:rFonts w:ascii="Times New Roman" w:hAnsi="Times New Roman" w:eastAsia="仿宋_GB2312" w:cs="Times New Roman"/>
          <w:sz w:val="22"/>
          <w:szCs w:val="22"/>
        </w:rPr>
        <w:t xml:space="preserve">填报日期：     </w:t>
      </w:r>
      <w:r>
        <w:rPr>
          <w:rFonts w:hint="eastAsia" w:ascii="Times New Roman" w:hAnsi="Times New Roman" w:eastAsia="仿宋_GB2312" w:cs="Times New Roman"/>
          <w:sz w:val="22"/>
          <w:szCs w:val="22"/>
          <w:lang w:val="en-US" w:eastAsia="zh-CN"/>
        </w:rPr>
        <w:t xml:space="preserve">  </w:t>
      </w:r>
      <w:r>
        <w:rPr>
          <w:rFonts w:ascii="Times New Roman" w:hAnsi="Times New Roman" w:eastAsia="仿宋_GB2312" w:cs="Times New Roman"/>
          <w:sz w:val="22"/>
          <w:szCs w:val="22"/>
        </w:rPr>
        <w:t xml:space="preserve"> </w:t>
      </w:r>
      <w:r>
        <w:rPr>
          <w:rFonts w:hint="eastAsia" w:ascii="Times New Roman" w:hAnsi="Times New Roman" w:eastAsia="仿宋_GB2312" w:cs="Times New Roman"/>
          <w:sz w:val="22"/>
          <w:szCs w:val="22"/>
          <w:lang w:val="en-US" w:eastAsia="zh-CN"/>
        </w:rPr>
        <w:t xml:space="preserve"> </w:t>
      </w:r>
      <w:r>
        <w:rPr>
          <w:rFonts w:ascii="Times New Roman" w:hAnsi="Times New Roman" w:eastAsia="仿宋_GB2312" w:cs="Times New Roman"/>
          <w:sz w:val="22"/>
          <w:szCs w:val="22"/>
        </w:rPr>
        <w:t xml:space="preserve">   联系电话：   </w:t>
      </w:r>
      <w:r>
        <w:rPr>
          <w:rFonts w:hint="eastAsia" w:ascii="Times New Roman" w:hAnsi="Times New Roman" w:eastAsia="仿宋_GB2312" w:cs="Times New Roman"/>
          <w:sz w:val="22"/>
          <w:szCs w:val="22"/>
          <w:lang w:val="en-US" w:eastAsia="zh-CN"/>
        </w:rPr>
        <w:t xml:space="preserve"> </w:t>
      </w:r>
      <w:r>
        <w:rPr>
          <w:rFonts w:ascii="Times New Roman" w:hAnsi="Times New Roman" w:eastAsia="仿宋_GB2312" w:cs="Times New Roman"/>
          <w:sz w:val="22"/>
          <w:szCs w:val="22"/>
        </w:rPr>
        <w:t xml:space="preserve"> </w:t>
      </w:r>
      <w:r>
        <w:rPr>
          <w:rFonts w:hint="eastAsia" w:ascii="Times New Roman" w:hAnsi="Times New Roman" w:eastAsia="仿宋_GB2312" w:cs="Times New Roman"/>
          <w:sz w:val="22"/>
          <w:szCs w:val="22"/>
          <w:lang w:val="en-US" w:eastAsia="zh-CN"/>
        </w:rPr>
        <w:t xml:space="preserve">  </w:t>
      </w:r>
      <w:r>
        <w:rPr>
          <w:rFonts w:ascii="Times New Roman" w:hAnsi="Times New Roman" w:eastAsia="仿宋_GB2312" w:cs="Times New Roman"/>
          <w:sz w:val="22"/>
          <w:szCs w:val="22"/>
        </w:rPr>
        <w:t xml:space="preserve"> 单位负责人签字：</w:t>
      </w:r>
    </w:p>
    <w:p>
      <w:pPr>
        <w:rPr>
          <w:rFonts w:hint="eastAsia" w:ascii="Times New Roman" w:hAnsi="Times New Roman" w:eastAsia="仿宋_GB2312" w:cs="Times New Roman"/>
          <w:sz w:val="22"/>
          <w:szCs w:val="22"/>
          <w:lang w:val="en-US" w:eastAsia="zh-CN"/>
        </w:rPr>
      </w:pPr>
      <w:r>
        <w:rPr>
          <w:rFonts w:hint="eastAsia" w:ascii="Times New Roman" w:hAnsi="Times New Roman" w:eastAsia="仿宋_GB2312" w:cs="Times New Roman"/>
          <w:sz w:val="22"/>
          <w:szCs w:val="22"/>
          <w:lang w:val="en-US" w:eastAsia="zh-CN"/>
        </w:rPr>
        <w:t xml:space="preserve"> </w:t>
      </w:r>
    </w:p>
    <w:p>
      <w:pPr>
        <w:rPr>
          <w:rFonts w:hint="eastAsia" w:ascii="Times New Roman" w:hAnsi="Times New Roman" w:eastAsia="仿宋_GB2312" w:cs="Times New Roman"/>
          <w:color w:val="FF0000"/>
          <w:sz w:val="22"/>
          <w:szCs w:val="22"/>
          <w:lang w:val="en-US" w:eastAsia="zh-CN"/>
        </w:rPr>
      </w:pPr>
      <w:r>
        <w:rPr>
          <w:rFonts w:hint="eastAsia" w:ascii="Times New Roman" w:hAnsi="Times New Roman" w:eastAsia="仿宋_GB2312" w:cs="Times New Roman"/>
          <w:color w:val="FF0000"/>
          <w:sz w:val="22"/>
          <w:szCs w:val="22"/>
          <w:lang w:val="en-US" w:eastAsia="zh-CN"/>
        </w:rPr>
        <w:t>公共基础分90分+个性表10分*实得/100=总分数</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 w:name="DejaVu Math TeX Gyre">
    <w:panose1 w:val="02000503000000000000"/>
    <w:charset w:val="00"/>
    <w:family w:val="auto"/>
    <w:pitch w:val="default"/>
    <w:sig w:usb0="A10000EF" w:usb1="4201F9EE" w:usb2="02000000" w:usb3="00000000" w:csb0="60000193" w:csb1="0DD4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16947AD"/>
    <w:multiLevelType w:val="singleLevel"/>
    <w:tmpl w:val="B16947AD"/>
    <w:lvl w:ilvl="0" w:tentative="0">
      <w:start w:val="3"/>
      <w:numFmt w:val="chineseCounting"/>
      <w:suff w:val="nothing"/>
      <w:lvlText w:val="（%1）"/>
      <w:lvlJc w:val="left"/>
      <w:pPr>
        <w:ind w:left="-14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1ZTE1NGI1YzgzZDU4YTQ0NWQzYjczMDA5MjQ0NTMifQ=="/>
    <w:docVar w:name="KSO_WPS_MARK_KEY" w:val="1e8f3732-c5dc-4478-ad21-f168a2143f7d"/>
  </w:docVars>
  <w:rsids>
    <w:rsidRoot w:val="00525786"/>
    <w:rsid w:val="000263A6"/>
    <w:rsid w:val="000C024B"/>
    <w:rsid w:val="000E7B1F"/>
    <w:rsid w:val="001F7F7E"/>
    <w:rsid w:val="00431D87"/>
    <w:rsid w:val="004E7D06"/>
    <w:rsid w:val="00525786"/>
    <w:rsid w:val="005F5B18"/>
    <w:rsid w:val="00614D2C"/>
    <w:rsid w:val="0064720E"/>
    <w:rsid w:val="0065570F"/>
    <w:rsid w:val="00693C70"/>
    <w:rsid w:val="00704D22"/>
    <w:rsid w:val="007149A4"/>
    <w:rsid w:val="00756122"/>
    <w:rsid w:val="007A4766"/>
    <w:rsid w:val="007A7CBB"/>
    <w:rsid w:val="008771A6"/>
    <w:rsid w:val="008E212B"/>
    <w:rsid w:val="008F21DE"/>
    <w:rsid w:val="009338D7"/>
    <w:rsid w:val="009F09BA"/>
    <w:rsid w:val="00C2528C"/>
    <w:rsid w:val="00DE7970"/>
    <w:rsid w:val="00EA3129"/>
    <w:rsid w:val="00F03808"/>
    <w:rsid w:val="00F8365A"/>
    <w:rsid w:val="00F95045"/>
    <w:rsid w:val="011968B5"/>
    <w:rsid w:val="014A4B87"/>
    <w:rsid w:val="01EC5C3E"/>
    <w:rsid w:val="02AB5AF9"/>
    <w:rsid w:val="02C40969"/>
    <w:rsid w:val="03F163A6"/>
    <w:rsid w:val="04117BDE"/>
    <w:rsid w:val="041616A2"/>
    <w:rsid w:val="04245B63"/>
    <w:rsid w:val="05683DD0"/>
    <w:rsid w:val="05BA474E"/>
    <w:rsid w:val="05DD246D"/>
    <w:rsid w:val="07D7113E"/>
    <w:rsid w:val="09E35B78"/>
    <w:rsid w:val="0B024724"/>
    <w:rsid w:val="0B772A1C"/>
    <w:rsid w:val="0C0B13B7"/>
    <w:rsid w:val="0C9475FE"/>
    <w:rsid w:val="10C304B2"/>
    <w:rsid w:val="111331E7"/>
    <w:rsid w:val="11A32BFD"/>
    <w:rsid w:val="12072620"/>
    <w:rsid w:val="123C39CA"/>
    <w:rsid w:val="12AD1419"/>
    <w:rsid w:val="138E1F4E"/>
    <w:rsid w:val="145D6362"/>
    <w:rsid w:val="1588331F"/>
    <w:rsid w:val="15B14D7D"/>
    <w:rsid w:val="16970417"/>
    <w:rsid w:val="16B70AB9"/>
    <w:rsid w:val="1768590F"/>
    <w:rsid w:val="17E6C063"/>
    <w:rsid w:val="1855429F"/>
    <w:rsid w:val="19636CD6"/>
    <w:rsid w:val="19874772"/>
    <w:rsid w:val="1AFE34F4"/>
    <w:rsid w:val="1B0016FF"/>
    <w:rsid w:val="1B4A3CA9"/>
    <w:rsid w:val="1B4F6F9A"/>
    <w:rsid w:val="1B8B42C2"/>
    <w:rsid w:val="1B950DC1"/>
    <w:rsid w:val="1BA84E74"/>
    <w:rsid w:val="1D5F1562"/>
    <w:rsid w:val="1E49223A"/>
    <w:rsid w:val="1E9F01C1"/>
    <w:rsid w:val="1EBF050A"/>
    <w:rsid w:val="1F262338"/>
    <w:rsid w:val="20684BD2"/>
    <w:rsid w:val="21025026"/>
    <w:rsid w:val="21E32762"/>
    <w:rsid w:val="223B259E"/>
    <w:rsid w:val="246456B0"/>
    <w:rsid w:val="24EC0853"/>
    <w:rsid w:val="25641E0C"/>
    <w:rsid w:val="262B0B7B"/>
    <w:rsid w:val="27D843EB"/>
    <w:rsid w:val="283A50A6"/>
    <w:rsid w:val="28973DB5"/>
    <w:rsid w:val="299D24FB"/>
    <w:rsid w:val="2A786348"/>
    <w:rsid w:val="2C11436F"/>
    <w:rsid w:val="2CD05FD9"/>
    <w:rsid w:val="2CED0939"/>
    <w:rsid w:val="2FC82F97"/>
    <w:rsid w:val="304308C8"/>
    <w:rsid w:val="305F38FB"/>
    <w:rsid w:val="31CA749A"/>
    <w:rsid w:val="327C49AF"/>
    <w:rsid w:val="32804D29"/>
    <w:rsid w:val="338D077F"/>
    <w:rsid w:val="33900270"/>
    <w:rsid w:val="33C10429"/>
    <w:rsid w:val="33C323F3"/>
    <w:rsid w:val="35164541"/>
    <w:rsid w:val="357C0AAC"/>
    <w:rsid w:val="35CD1307"/>
    <w:rsid w:val="364A0BAA"/>
    <w:rsid w:val="37906A90"/>
    <w:rsid w:val="381B1EC5"/>
    <w:rsid w:val="389B749B"/>
    <w:rsid w:val="38F27167"/>
    <w:rsid w:val="39AC56D7"/>
    <w:rsid w:val="3A791A5E"/>
    <w:rsid w:val="3A865F28"/>
    <w:rsid w:val="3A9740AB"/>
    <w:rsid w:val="3B8B1A48"/>
    <w:rsid w:val="3BA7084C"/>
    <w:rsid w:val="3CF90C34"/>
    <w:rsid w:val="3ED31BAE"/>
    <w:rsid w:val="3F986292"/>
    <w:rsid w:val="417B430D"/>
    <w:rsid w:val="420C069B"/>
    <w:rsid w:val="425A357C"/>
    <w:rsid w:val="436F39FE"/>
    <w:rsid w:val="447339C1"/>
    <w:rsid w:val="44780FD8"/>
    <w:rsid w:val="447D3D26"/>
    <w:rsid w:val="45BE6EBE"/>
    <w:rsid w:val="46250CEB"/>
    <w:rsid w:val="478F466E"/>
    <w:rsid w:val="47925F0D"/>
    <w:rsid w:val="47A23C1C"/>
    <w:rsid w:val="48384D06"/>
    <w:rsid w:val="49F033BE"/>
    <w:rsid w:val="4B4834DB"/>
    <w:rsid w:val="4BE8259F"/>
    <w:rsid w:val="4C422AF8"/>
    <w:rsid w:val="4C6065D9"/>
    <w:rsid w:val="4C8A7AFA"/>
    <w:rsid w:val="4CF65190"/>
    <w:rsid w:val="4E0A1BC5"/>
    <w:rsid w:val="4F244236"/>
    <w:rsid w:val="4F3B50DC"/>
    <w:rsid w:val="50642410"/>
    <w:rsid w:val="51575587"/>
    <w:rsid w:val="5212481A"/>
    <w:rsid w:val="52FF0B04"/>
    <w:rsid w:val="54813591"/>
    <w:rsid w:val="55142657"/>
    <w:rsid w:val="55314FB7"/>
    <w:rsid w:val="55F36710"/>
    <w:rsid w:val="568E01E7"/>
    <w:rsid w:val="58BB2B7F"/>
    <w:rsid w:val="58F00CE5"/>
    <w:rsid w:val="5A3C75BC"/>
    <w:rsid w:val="5A61103F"/>
    <w:rsid w:val="5ADA39FB"/>
    <w:rsid w:val="5C1B251D"/>
    <w:rsid w:val="5E8A79C7"/>
    <w:rsid w:val="5F973CED"/>
    <w:rsid w:val="5FA62A45"/>
    <w:rsid w:val="603851FF"/>
    <w:rsid w:val="60597AB8"/>
    <w:rsid w:val="610C3698"/>
    <w:rsid w:val="61273712"/>
    <w:rsid w:val="62A0377C"/>
    <w:rsid w:val="62B23ED3"/>
    <w:rsid w:val="62D41677"/>
    <w:rsid w:val="62F6339C"/>
    <w:rsid w:val="63414C35"/>
    <w:rsid w:val="647153D0"/>
    <w:rsid w:val="65CB7845"/>
    <w:rsid w:val="65D06126"/>
    <w:rsid w:val="65DA0D53"/>
    <w:rsid w:val="66860EDB"/>
    <w:rsid w:val="68CA3301"/>
    <w:rsid w:val="69E06B54"/>
    <w:rsid w:val="6AC5539F"/>
    <w:rsid w:val="6ACF2F07"/>
    <w:rsid w:val="6B6932A5"/>
    <w:rsid w:val="6BC56001"/>
    <w:rsid w:val="6BC95AF1"/>
    <w:rsid w:val="6CB322FE"/>
    <w:rsid w:val="6D9441D1"/>
    <w:rsid w:val="6F3306AB"/>
    <w:rsid w:val="6FDB5DF3"/>
    <w:rsid w:val="704C0A9F"/>
    <w:rsid w:val="70D50F65"/>
    <w:rsid w:val="70E60EF4"/>
    <w:rsid w:val="71341C5F"/>
    <w:rsid w:val="71F17B50"/>
    <w:rsid w:val="72D860D5"/>
    <w:rsid w:val="73373C88"/>
    <w:rsid w:val="737C4586"/>
    <w:rsid w:val="73CF2113"/>
    <w:rsid w:val="7556411F"/>
    <w:rsid w:val="761B7FEF"/>
    <w:rsid w:val="76342701"/>
    <w:rsid w:val="77660AA9"/>
    <w:rsid w:val="777D1E86"/>
    <w:rsid w:val="77AA3E81"/>
    <w:rsid w:val="78036643"/>
    <w:rsid w:val="78A05E2C"/>
    <w:rsid w:val="78FA19E0"/>
    <w:rsid w:val="7A7237F8"/>
    <w:rsid w:val="7B191EC6"/>
    <w:rsid w:val="7BB1524E"/>
    <w:rsid w:val="7C71661D"/>
    <w:rsid w:val="7C831CEC"/>
    <w:rsid w:val="7CF60FEA"/>
    <w:rsid w:val="7DDB3462"/>
    <w:rsid w:val="7E447259"/>
    <w:rsid w:val="7E521976"/>
    <w:rsid w:val="7FD4460D"/>
    <w:rsid w:val="D7FC29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cs="宋体"/>
      <w:kern w:val="0"/>
      <w:sz w:val="24"/>
    </w:rPr>
  </w:style>
  <w:style w:type="character" w:styleId="7">
    <w:name w:val="Strong"/>
    <w:basedOn w:val="6"/>
    <w:qFormat/>
    <w:uiPriority w:val="22"/>
    <w:rPr>
      <w:b/>
    </w:rPr>
  </w:style>
  <w:style w:type="character" w:customStyle="1" w:styleId="8">
    <w:name w:val="页眉 Char"/>
    <w:basedOn w:val="6"/>
    <w:link w:val="3"/>
    <w:qFormat/>
    <w:uiPriority w:val="99"/>
    <w:rPr>
      <w:kern w:val="2"/>
      <w:sz w:val="18"/>
      <w:szCs w:val="18"/>
    </w:rPr>
  </w:style>
  <w:style w:type="character" w:customStyle="1" w:styleId="9">
    <w:name w:val="页脚 Char"/>
    <w:basedOn w:val="6"/>
    <w:link w:val="2"/>
    <w:qFormat/>
    <w:uiPriority w:val="99"/>
    <w:rPr>
      <w:kern w:val="2"/>
      <w:sz w:val="18"/>
      <w:szCs w:val="18"/>
    </w:rPr>
  </w:style>
  <w:style w:type="character" w:customStyle="1" w:styleId="10">
    <w:name w:val="fontstyle01"/>
    <w:basedOn w:val="6"/>
    <w:qFormat/>
    <w:uiPriority w:val="0"/>
    <w:rPr>
      <w:rFonts w:hint="eastAsia" w:ascii="仿宋_GB2312" w:eastAsia="仿宋_GB2312"/>
      <w:color w:val="000000"/>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government</Company>
  <Pages>14</Pages>
  <Words>6651</Words>
  <Characters>7234</Characters>
  <Lines>77</Lines>
  <Paragraphs>21</Paragraphs>
  <TotalTime>1</TotalTime>
  <ScaleCrop>false</ScaleCrop>
  <LinksUpToDate>false</LinksUpToDate>
  <CharactersWithSpaces>7691</CharactersWithSpaces>
  <Application>WPS Office_11.8.2.9339_F1E327BC-269C-435d-A152-05C5408002CA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2022-08-05T09:20:00Z</dcterms:created>
  <dc:creator>tanwanzhen</dc:creator>
  <cp:lastModifiedBy>tongfang</cp:lastModifiedBy>
  <cp:lastPrinted>2023-03-21T09:03:00Z</cp:lastPrinted>
  <dcterms:modified xsi:type="dcterms:W3CDTF">2023-09-27T16:15:04Z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2052-11.8.2.9339</vt:lpwstr>
  </property>
  <property fmtid="{D5CDD505-2E9C-101B-9397-08002B2CF9AE}" pid="3" name="ICV">
    <vt:lpwstr>345CBF652A3A46ECAAE201DDBBB31A49</vt:lpwstr>
  </property>
</Properties>
</file>