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5A9E6A">
      <w:pPr>
        <w:pStyle w:val="2"/>
        <w:ind w:left="0" w:leftChars="0"/>
        <w:rPr>
          <w:rFonts w:hint="eastAsia"/>
        </w:rPr>
      </w:pPr>
    </w:p>
    <w:p w14:paraId="32F66139"/>
    <w:p w14:paraId="3CCCDE07">
      <w:pPr>
        <w:widowControl/>
        <w:spacing w:line="640" w:lineRule="exact"/>
        <w:jc w:val="center"/>
        <w:rPr>
          <w:rFonts w:ascii="黑体" w:hAnsi="黑体" w:eastAsia="黑体" w:cs="黑体"/>
          <w:bCs/>
          <w:sz w:val="44"/>
        </w:rPr>
      </w:pPr>
    </w:p>
    <w:p w14:paraId="2FC74D2C"/>
    <w:p w14:paraId="53214D0F">
      <w:pPr>
        <w:pStyle w:val="2"/>
      </w:pPr>
    </w:p>
    <w:p w14:paraId="313FC8FF"/>
    <w:p w14:paraId="288A071B">
      <w:pPr>
        <w:pStyle w:val="2"/>
      </w:pPr>
    </w:p>
    <w:p w14:paraId="4A202D9E">
      <w:pPr>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20</w:t>
      </w:r>
      <w:r>
        <w:rPr>
          <w:rFonts w:hint="eastAsia" w:ascii="Times New Roman" w:hAnsi="Times New Roman" w:eastAsia="方正小标宋_GBK" w:cs="Times New Roman"/>
          <w:sz w:val="52"/>
          <w:szCs w:val="52"/>
        </w:rPr>
        <w:t>23</w:t>
      </w:r>
      <w:r>
        <w:rPr>
          <w:rFonts w:ascii="Times New Roman" w:hAnsi="Times New Roman" w:eastAsia="方正小标宋_GBK" w:cs="Times New Roman"/>
          <w:sz w:val="52"/>
          <w:szCs w:val="52"/>
        </w:rPr>
        <w:t>年度</w:t>
      </w:r>
      <w:r>
        <w:rPr>
          <w:rFonts w:hint="eastAsia" w:ascii="Times New Roman" w:hAnsi="Times New Roman" w:eastAsia="方正小标宋_GBK" w:cs="Times New Roman"/>
          <w:sz w:val="52"/>
          <w:szCs w:val="52"/>
        </w:rPr>
        <w:t>审计局</w:t>
      </w:r>
      <w:r>
        <w:rPr>
          <w:rFonts w:ascii="Times New Roman" w:hAnsi="Times New Roman" w:eastAsia="方正小标宋_GBK" w:cs="Times New Roman"/>
          <w:sz w:val="52"/>
          <w:szCs w:val="52"/>
        </w:rPr>
        <w:t>部门（单位）整体支出绩效自评报告</w:t>
      </w:r>
    </w:p>
    <w:p w14:paraId="2BEB5E79">
      <w:pPr>
        <w:rPr>
          <w:rFonts w:ascii="Times New Roman" w:hAnsi="Times New Roman" w:eastAsia="楷体_GB2312" w:cs="Times New Roman"/>
          <w:b/>
          <w:sz w:val="32"/>
          <w:szCs w:val="32"/>
        </w:rPr>
      </w:pPr>
    </w:p>
    <w:p w14:paraId="10C93C98">
      <w:pPr>
        <w:jc w:val="center"/>
        <w:rPr>
          <w:rFonts w:ascii="Times New Roman" w:hAnsi="Times New Roman" w:eastAsia="黑体" w:cs="Times New Roman"/>
          <w:sz w:val="32"/>
          <w:szCs w:val="32"/>
        </w:rPr>
      </w:pPr>
    </w:p>
    <w:p w14:paraId="7066252F">
      <w:pPr>
        <w:jc w:val="center"/>
        <w:rPr>
          <w:rFonts w:ascii="Times New Roman" w:hAnsi="Times New Roman" w:eastAsia="黑体" w:cs="Times New Roman"/>
          <w:sz w:val="32"/>
          <w:szCs w:val="32"/>
        </w:rPr>
      </w:pPr>
    </w:p>
    <w:p w14:paraId="0F2CACE9">
      <w:pPr>
        <w:jc w:val="center"/>
        <w:rPr>
          <w:rFonts w:ascii="Times New Roman" w:hAnsi="Times New Roman" w:eastAsia="黑体" w:cs="Times New Roman"/>
          <w:sz w:val="32"/>
          <w:szCs w:val="32"/>
        </w:rPr>
      </w:pPr>
    </w:p>
    <w:p w14:paraId="562742D5">
      <w:pPr>
        <w:jc w:val="center"/>
        <w:rPr>
          <w:rFonts w:ascii="Times New Roman" w:hAnsi="Times New Roman" w:eastAsia="黑体" w:cs="Times New Roman"/>
          <w:sz w:val="32"/>
          <w:szCs w:val="32"/>
        </w:rPr>
      </w:pPr>
    </w:p>
    <w:p w14:paraId="5CC8D120">
      <w:pPr>
        <w:jc w:val="center"/>
        <w:rPr>
          <w:rFonts w:ascii="Times New Roman" w:hAnsi="Times New Roman" w:eastAsia="黑体" w:cs="Times New Roman"/>
          <w:sz w:val="32"/>
          <w:szCs w:val="32"/>
        </w:rPr>
      </w:pPr>
    </w:p>
    <w:p w14:paraId="57A37406">
      <w:pPr>
        <w:jc w:val="center"/>
        <w:rPr>
          <w:rFonts w:ascii="Times New Roman" w:hAnsi="Times New Roman" w:eastAsia="黑体" w:cs="Times New Roman"/>
          <w:sz w:val="32"/>
          <w:szCs w:val="32"/>
        </w:rPr>
      </w:pPr>
    </w:p>
    <w:p w14:paraId="1238C6B0">
      <w:pPr>
        <w:rPr>
          <w:rFonts w:ascii="Times New Roman" w:hAnsi="Times New Roman" w:eastAsia="黑体" w:cs="Times New Roman"/>
          <w:sz w:val="32"/>
          <w:szCs w:val="32"/>
        </w:rPr>
      </w:pPr>
    </w:p>
    <w:p w14:paraId="491ADEAF">
      <w:pPr>
        <w:jc w:val="center"/>
        <w:rPr>
          <w:rFonts w:ascii="Times New Roman" w:hAnsi="Times New Roman" w:eastAsia="黑体" w:cs="Times New Roman"/>
          <w:sz w:val="32"/>
          <w:szCs w:val="32"/>
        </w:rPr>
      </w:pPr>
    </w:p>
    <w:p w14:paraId="6F7A2F83">
      <w:pPr>
        <w:spacing w:line="600" w:lineRule="exact"/>
        <w:ind w:firstLine="1920" w:firstLineChars="600"/>
        <w:rPr>
          <w:rFonts w:ascii="Times New Roman" w:hAnsi="Times New Roman" w:eastAsia="仿宋_GB2312" w:cs="Times New Roman"/>
          <w:sz w:val="32"/>
          <w:szCs w:val="32"/>
          <w:u w:val="single"/>
        </w:rPr>
      </w:pPr>
      <w:r>
        <w:rPr>
          <w:rFonts w:ascii="Times New Roman" w:hAnsi="Times New Roman" w:eastAsia="仿宋_GB2312" w:cs="Times New Roman"/>
          <w:sz w:val="32"/>
          <w:szCs w:val="32"/>
        </w:rPr>
        <w:t>单位名称：</w:t>
      </w:r>
      <w:r>
        <w:rPr>
          <w:rFonts w:hint="eastAsia" w:ascii="Times New Roman" w:hAnsi="Times New Roman" w:eastAsia="仿宋_GB2312" w:cs="Times New Roman"/>
          <w:sz w:val="32"/>
          <w:szCs w:val="32"/>
        </w:rPr>
        <w:t>辰溪县审计局</w:t>
      </w:r>
      <w:r>
        <w:rPr>
          <w:rFonts w:ascii="Times New Roman" w:hAnsi="Times New Roman" w:eastAsia="仿宋_GB2312" w:cs="Times New Roman"/>
          <w:sz w:val="32"/>
          <w:szCs w:val="32"/>
          <w:u w:val="single"/>
        </w:rPr>
        <w:t>（盖章）</w:t>
      </w:r>
      <w:bookmarkStart w:id="0" w:name="_GoBack"/>
      <w:bookmarkEnd w:id="0"/>
    </w:p>
    <w:p w14:paraId="155F530F">
      <w:pPr>
        <w:spacing w:line="600" w:lineRule="exact"/>
        <w:ind w:firstLine="3200" w:firstLineChars="1000"/>
        <w:rPr>
          <w:rFonts w:ascii="Times New Roman" w:hAnsi="Times New Roman" w:eastAsia="楷体_GB2312" w:cs="Times New Roman"/>
          <w:sz w:val="32"/>
          <w:szCs w:val="32"/>
        </w:rPr>
      </w:pPr>
    </w:p>
    <w:p w14:paraId="494F0CFC">
      <w:pPr>
        <w:spacing w:line="600" w:lineRule="exact"/>
        <w:ind w:firstLine="3520" w:firstLineChars="1100"/>
        <w:rPr>
          <w:rFonts w:ascii="Times New Roman" w:hAnsi="Times New Roman" w:eastAsia="楷体_GB2312" w:cs="Times New Roman"/>
          <w:sz w:val="32"/>
          <w:szCs w:val="32"/>
        </w:rPr>
      </w:pPr>
      <w:r>
        <w:rPr>
          <w:rFonts w:hint="eastAsia" w:ascii="Times New Roman" w:hAnsi="Times New Roman" w:eastAsia="楷体_GB2312" w:cs="Times New Roman"/>
          <w:sz w:val="32"/>
          <w:szCs w:val="32"/>
        </w:rPr>
        <w:t>2024</w:t>
      </w:r>
      <w:r>
        <w:rPr>
          <w:rFonts w:ascii="Times New Roman" w:hAnsi="Times New Roman" w:eastAsia="楷体_GB2312" w:cs="Times New Roman"/>
          <w:sz w:val="32"/>
          <w:szCs w:val="32"/>
        </w:rPr>
        <w:t>年</w:t>
      </w:r>
      <w:r>
        <w:rPr>
          <w:rFonts w:hint="eastAsia" w:ascii="Times New Roman" w:hAnsi="Times New Roman" w:eastAsia="楷体_GB2312" w:cs="Times New Roman"/>
          <w:sz w:val="32"/>
          <w:szCs w:val="32"/>
        </w:rPr>
        <w:t>4</w:t>
      </w:r>
      <w:r>
        <w:rPr>
          <w:rFonts w:ascii="Times New Roman" w:hAnsi="Times New Roman" w:eastAsia="楷体_GB2312" w:cs="Times New Roman"/>
          <w:sz w:val="32"/>
          <w:szCs w:val="32"/>
        </w:rPr>
        <w:t>月</w:t>
      </w:r>
      <w:r>
        <w:rPr>
          <w:rFonts w:hint="eastAsia" w:ascii="Times New Roman" w:hAnsi="Times New Roman" w:eastAsia="楷体_GB2312" w:cs="Times New Roman"/>
          <w:sz w:val="32"/>
          <w:szCs w:val="32"/>
        </w:rPr>
        <w:t>9</w:t>
      </w:r>
      <w:r>
        <w:rPr>
          <w:rFonts w:ascii="Times New Roman" w:hAnsi="Times New Roman" w:eastAsia="楷体_GB2312" w:cs="Times New Roman"/>
          <w:sz w:val="32"/>
          <w:szCs w:val="32"/>
        </w:rPr>
        <w:t>日</w:t>
      </w:r>
    </w:p>
    <w:p w14:paraId="432EDFFC">
      <w:pPr>
        <w:jc w:val="center"/>
        <w:rPr>
          <w:rFonts w:ascii="Times New Roman" w:hAnsi="Times New Roman" w:eastAsia="黑体" w:cs="Times New Roman"/>
          <w:sz w:val="32"/>
          <w:szCs w:val="32"/>
        </w:rPr>
      </w:pPr>
    </w:p>
    <w:p w14:paraId="05C42E42">
      <w:pPr>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（此页为封面）</w:t>
      </w:r>
    </w:p>
    <w:p w14:paraId="5B3863D5">
      <w:pPr>
        <w:adjustRightInd w:val="0"/>
        <w:snapToGrid w:val="0"/>
        <w:spacing w:line="560" w:lineRule="atLeast"/>
        <w:rPr>
          <w:rFonts w:ascii="黑体" w:hAnsi="黑体" w:eastAsia="黑体" w:cs="黑体"/>
          <w:b/>
          <w:kern w:val="0"/>
          <w:sz w:val="44"/>
          <w:szCs w:val="44"/>
        </w:rPr>
      </w:pPr>
    </w:p>
    <w:p w14:paraId="0F043C58">
      <w:pPr>
        <w:adjustRightInd w:val="0"/>
        <w:snapToGrid w:val="0"/>
        <w:spacing w:line="560" w:lineRule="atLeast"/>
        <w:rPr>
          <w:rFonts w:ascii="黑体" w:hAnsi="黑体" w:eastAsia="黑体" w:cs="黑体"/>
          <w:b/>
          <w:kern w:val="0"/>
          <w:sz w:val="44"/>
          <w:szCs w:val="44"/>
        </w:rPr>
      </w:pPr>
    </w:p>
    <w:p w14:paraId="4A089C5C">
      <w:pPr>
        <w:adjustRightInd w:val="0"/>
        <w:snapToGrid w:val="0"/>
        <w:spacing w:line="560" w:lineRule="atLeast"/>
        <w:rPr>
          <w:rFonts w:ascii="黑体" w:hAnsi="黑体" w:eastAsia="黑体" w:cs="黑体"/>
          <w:b/>
          <w:kern w:val="0"/>
          <w:sz w:val="44"/>
          <w:szCs w:val="44"/>
        </w:rPr>
      </w:pPr>
    </w:p>
    <w:p w14:paraId="3E2EF01E">
      <w:pPr>
        <w:pStyle w:val="2"/>
      </w:pPr>
    </w:p>
    <w:p w14:paraId="4ED00E1A">
      <w:pPr>
        <w:adjustRightInd w:val="0"/>
        <w:snapToGrid w:val="0"/>
        <w:spacing w:line="560" w:lineRule="atLeast"/>
        <w:jc w:val="center"/>
        <w:rPr>
          <w:rFonts w:ascii="黑体" w:hAnsi="黑体" w:eastAsia="黑体" w:cs="黑体"/>
          <w:b/>
          <w:kern w:val="0"/>
          <w:sz w:val="44"/>
          <w:szCs w:val="44"/>
        </w:rPr>
      </w:pPr>
      <w:r>
        <w:rPr>
          <w:rFonts w:hint="eastAsia" w:ascii="黑体" w:hAnsi="黑体" w:eastAsia="黑体" w:cs="黑体"/>
          <w:b/>
          <w:kern w:val="0"/>
          <w:sz w:val="44"/>
          <w:szCs w:val="44"/>
        </w:rPr>
        <w:t>辰溪县审计局2023年部门整体支出</w:t>
      </w:r>
    </w:p>
    <w:p w14:paraId="3D18D7F5">
      <w:pPr>
        <w:adjustRightInd w:val="0"/>
        <w:snapToGrid w:val="0"/>
        <w:spacing w:line="560" w:lineRule="atLeast"/>
        <w:jc w:val="center"/>
        <w:rPr>
          <w:rFonts w:ascii="黑体" w:hAnsi="黑体" w:eastAsia="黑体" w:cs="黑体"/>
          <w:b/>
          <w:kern w:val="0"/>
          <w:sz w:val="44"/>
          <w:szCs w:val="44"/>
        </w:rPr>
      </w:pPr>
      <w:r>
        <w:rPr>
          <w:rFonts w:hint="eastAsia" w:ascii="黑体" w:hAnsi="黑体" w:eastAsia="黑体" w:cs="黑体"/>
          <w:b/>
          <w:kern w:val="0"/>
          <w:sz w:val="44"/>
          <w:szCs w:val="44"/>
        </w:rPr>
        <w:t>绩效评价报告</w:t>
      </w:r>
    </w:p>
    <w:p w14:paraId="551D03AF">
      <w:pPr>
        <w:pStyle w:val="2"/>
      </w:pPr>
    </w:p>
    <w:p w14:paraId="1AB0C404">
      <w:pPr>
        <w:adjustRightInd w:val="0"/>
        <w:snapToGrid w:val="0"/>
        <w:spacing w:line="540" w:lineRule="atLeast"/>
        <w:ind w:firstLine="643" w:firstLineChars="200"/>
        <w:rPr>
          <w:rFonts w:ascii="仿宋" w:hAnsi="仿宋" w:eastAsia="仿宋" w:cs="仿宋"/>
          <w:b/>
          <w:sz w:val="32"/>
          <w:szCs w:val="32"/>
        </w:rPr>
      </w:pPr>
      <w:r>
        <w:rPr>
          <w:rFonts w:hint="eastAsia" w:ascii="仿宋" w:hAnsi="仿宋" w:eastAsia="仿宋" w:cs="仿宋"/>
          <w:b/>
          <w:sz w:val="32"/>
          <w:szCs w:val="32"/>
        </w:rPr>
        <w:t>一、部门基本情况</w:t>
      </w:r>
    </w:p>
    <w:p w14:paraId="2C1DEBA0">
      <w:pPr>
        <w:widowControl/>
        <w:ind w:firstLine="643" w:firstLineChars="200"/>
        <w:rPr>
          <w:rFonts w:ascii="仿宋" w:hAnsi="仿宋" w:eastAsia="仿宋" w:cs="仿宋"/>
          <w:b/>
          <w:bCs/>
          <w:kern w:val="0"/>
          <w:sz w:val="32"/>
          <w:szCs w:val="32"/>
        </w:rPr>
      </w:pPr>
      <w:r>
        <w:rPr>
          <w:rFonts w:hint="eastAsia" w:ascii="仿宋" w:hAnsi="仿宋" w:eastAsia="仿宋" w:cs="仿宋"/>
          <w:b/>
          <w:bCs/>
          <w:kern w:val="0"/>
          <w:sz w:val="32"/>
          <w:szCs w:val="32"/>
        </w:rPr>
        <w:t>（一）部门职能与机构设置</w:t>
      </w:r>
    </w:p>
    <w:p w14:paraId="4C05CFE4">
      <w:pPr>
        <w:widowControl/>
        <w:spacing w:line="560" w:lineRule="exact"/>
        <w:ind w:firstLine="640" w:firstLineChars="200"/>
        <w:rPr>
          <w:rFonts w:ascii="仿宋" w:hAnsi="仿宋" w:eastAsia="仿宋" w:cs="仿宋"/>
          <w:color w:val="333333"/>
          <w:kern w:val="0"/>
          <w:sz w:val="32"/>
          <w:szCs w:val="32"/>
          <w:shd w:val="clear" w:color="auto" w:fill="FFFFFF"/>
          <w:lang w:bidi="ar"/>
        </w:rPr>
      </w:pPr>
      <w:r>
        <w:rPr>
          <w:rFonts w:hint="eastAsia" w:ascii="仿宋" w:hAnsi="仿宋" w:eastAsia="仿宋" w:cs="仿宋"/>
          <w:kern w:val="0"/>
          <w:sz w:val="32"/>
          <w:szCs w:val="32"/>
        </w:rPr>
        <w:t>审计局主要工作职责是负责对县级财政收支和法律法规规定属于审计监督范围的财务收支的真实、合法和效益进行审计监督，负责对其他取得财政资金的单位和项目接受、运用财政资金的真实、合法、效益情况依法进行审计监督，维护财政经济秩序，提高财政资金使用效益，促进廉政建设，保障国民经济和社会健康发展；对审计、专项审计调查和核查社会审计机构相关审计报告的结果承担责任，并负有督促被审计单位整改的责任。</w:t>
      </w:r>
      <w:r>
        <w:rPr>
          <w:rFonts w:hint="eastAsia" w:ascii="仿宋" w:hAnsi="仿宋" w:eastAsia="仿宋" w:cs="仿宋"/>
          <w:color w:val="333333"/>
          <w:kern w:val="0"/>
          <w:sz w:val="32"/>
          <w:szCs w:val="32"/>
          <w:shd w:val="clear" w:color="auto" w:fill="FFFFFF"/>
          <w:lang w:bidi="ar"/>
        </w:rPr>
        <w:t> </w:t>
      </w:r>
    </w:p>
    <w:p w14:paraId="706614A5">
      <w:pPr>
        <w:widowControl/>
        <w:spacing w:line="560" w:lineRule="exact"/>
        <w:ind w:firstLine="640" w:firstLineChars="200"/>
        <w:rPr>
          <w:rFonts w:ascii="仿宋" w:hAnsi="仿宋" w:eastAsia="仿宋" w:cs="仿宋"/>
          <w:kern w:val="0"/>
          <w:sz w:val="32"/>
          <w:szCs w:val="32"/>
        </w:rPr>
      </w:pPr>
      <w:r>
        <w:rPr>
          <w:rFonts w:hint="eastAsia" w:ascii="仿宋" w:hAnsi="仿宋" w:eastAsia="仿宋" w:cs="仿宋"/>
          <w:kern w:val="0"/>
          <w:sz w:val="32"/>
          <w:szCs w:val="32"/>
        </w:rPr>
        <w:t>内设“四股三室一中心”，即：办公室（电子数据审计股）、财政资金监督审计股、自然资源资产和生态环境审计股、领导干部经济责任审计室、政府投资项目审计服务中心、重大项目与政策落实跟踪审计股、法制股、审计委员会办公室秘书室。</w:t>
      </w:r>
    </w:p>
    <w:p w14:paraId="362EBBF2">
      <w:pPr>
        <w:numPr>
          <w:ilvl w:val="0"/>
          <w:numId w:val="1"/>
        </w:numPr>
        <w:adjustRightInd w:val="0"/>
        <w:snapToGrid w:val="0"/>
        <w:spacing w:line="540" w:lineRule="atLeast"/>
        <w:ind w:firstLine="560"/>
        <w:rPr>
          <w:rFonts w:ascii="仿宋" w:hAnsi="仿宋" w:eastAsia="仿宋" w:cs="仿宋"/>
          <w:b/>
          <w:bCs/>
          <w:kern w:val="0"/>
          <w:sz w:val="32"/>
          <w:szCs w:val="32"/>
        </w:rPr>
      </w:pPr>
      <w:r>
        <w:rPr>
          <w:rFonts w:hint="eastAsia" w:ascii="仿宋" w:hAnsi="仿宋" w:eastAsia="仿宋" w:cs="仿宋"/>
          <w:b/>
          <w:bCs/>
          <w:kern w:val="0"/>
          <w:sz w:val="32"/>
          <w:szCs w:val="32"/>
        </w:rPr>
        <w:t>人员情况</w:t>
      </w:r>
    </w:p>
    <w:p w14:paraId="3087A8FF">
      <w:pPr>
        <w:adjustRightInd w:val="0"/>
        <w:snapToGrid w:val="0"/>
        <w:spacing w:line="540" w:lineRule="atLeast"/>
        <w:ind w:left="17" w:leftChars="8" w:firstLine="620" w:firstLineChars="194"/>
        <w:rPr>
          <w:rFonts w:ascii="仿宋" w:hAnsi="仿宋" w:eastAsia="仿宋" w:cs="仿宋"/>
          <w:color w:val="3D3D3D"/>
          <w:sz w:val="32"/>
          <w:szCs w:val="32"/>
          <w:shd w:val="clear" w:color="auto" w:fill="FFFFFF"/>
        </w:rPr>
      </w:pPr>
      <w:r>
        <w:rPr>
          <w:rFonts w:hint="eastAsia" w:ascii="仿宋" w:hAnsi="仿宋" w:eastAsia="仿宋" w:cs="仿宋"/>
          <w:color w:val="3D3D3D"/>
          <w:sz w:val="32"/>
          <w:szCs w:val="32"/>
          <w:shd w:val="clear" w:color="auto" w:fill="FFFFFF"/>
        </w:rPr>
        <w:t>辰溪县审计局核定编制数44  名，其中：行政编15名，机关工勤编制1名；事业编制29名，其中：全额事业编17名，自收自支编制12名。实有在职人员31人，其中：行政编制12人（含工勤编制1人）；事业编制20人（含全额事业编13人，自收自支编制7人），退休人员19人。</w:t>
      </w:r>
    </w:p>
    <w:p w14:paraId="7CC9A125">
      <w:pPr>
        <w:adjustRightInd w:val="0"/>
        <w:snapToGrid w:val="0"/>
        <w:spacing w:line="540" w:lineRule="atLeast"/>
        <w:ind w:left="840"/>
        <w:rPr>
          <w:rFonts w:ascii="仿宋" w:hAnsi="仿宋" w:eastAsia="仿宋" w:cs="仿宋"/>
          <w:b/>
          <w:bCs/>
          <w:kern w:val="0"/>
          <w:sz w:val="32"/>
          <w:szCs w:val="32"/>
        </w:rPr>
      </w:pPr>
      <w:r>
        <w:rPr>
          <w:rFonts w:hint="eastAsia" w:ascii="仿宋" w:hAnsi="仿宋" w:eastAsia="仿宋" w:cs="仿宋"/>
          <w:b/>
          <w:bCs/>
          <w:color w:val="3D3D3D"/>
          <w:sz w:val="32"/>
          <w:szCs w:val="32"/>
          <w:shd w:val="clear" w:color="auto" w:fill="FFFFFF"/>
        </w:rPr>
        <w:t>（三）</w:t>
      </w:r>
      <w:r>
        <w:rPr>
          <w:rFonts w:hint="eastAsia" w:ascii="仿宋" w:hAnsi="仿宋" w:eastAsia="仿宋" w:cs="仿宋"/>
          <w:b/>
          <w:bCs/>
          <w:kern w:val="0"/>
          <w:sz w:val="32"/>
          <w:szCs w:val="32"/>
        </w:rPr>
        <w:t>部门年度整体工作目标任务完成情况</w:t>
      </w:r>
    </w:p>
    <w:p w14:paraId="4B00BBA0">
      <w:pPr>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2023年，全局全年共完成35个审计项目：其中预算执行审计项目4个、经济责任审计项目5个、自然资源资产离任（任中）审计1个、专项资金审计5个，财务收支审计4个，专项审计调查项目4个、政府投资项目结算（决算）审计12个。审计查出问题金额104098万元，其中：违规资金670万元，管理不规范资金103428万元。提出审计建议意见59条，提交审计信息3篇，移送处理事项3件。政府投资项目结算审计送审投资额31741.91万元，审定总投资28510.21万元，核减总投资3231.76万元，综合核减率10.18%。</w:t>
      </w:r>
    </w:p>
    <w:p w14:paraId="69782A43">
      <w:pPr>
        <w:ind w:firstLine="643" w:firstLineChars="200"/>
        <w:rPr>
          <w:b/>
          <w:bCs/>
          <w:sz w:val="32"/>
          <w:szCs w:val="32"/>
        </w:rPr>
      </w:pPr>
      <w:r>
        <w:rPr>
          <w:rFonts w:hint="eastAsia"/>
          <w:b/>
          <w:bCs/>
          <w:sz w:val="32"/>
          <w:szCs w:val="32"/>
        </w:rPr>
        <w:t>二、一般公共预算支出情况</w:t>
      </w:r>
    </w:p>
    <w:p w14:paraId="7375502D">
      <w:pPr>
        <w:adjustRightInd w:val="0"/>
        <w:snapToGrid w:val="0"/>
        <w:spacing w:line="540" w:lineRule="atLeast"/>
        <w:ind w:left="195" w:leftChars="93" w:firstLine="222" w:firstLineChars="69"/>
        <w:rPr>
          <w:rFonts w:ascii="仿宋" w:hAnsi="仿宋" w:eastAsia="仿宋" w:cs="仿宋"/>
          <w:b/>
          <w:bCs/>
          <w:kern w:val="0"/>
          <w:sz w:val="32"/>
          <w:szCs w:val="32"/>
        </w:rPr>
      </w:pPr>
      <w:r>
        <w:rPr>
          <w:rFonts w:hint="eastAsia" w:ascii="仿宋" w:hAnsi="仿宋" w:eastAsia="仿宋" w:cs="仿宋"/>
          <w:b/>
          <w:bCs/>
          <w:kern w:val="0"/>
          <w:sz w:val="32"/>
          <w:szCs w:val="32"/>
        </w:rPr>
        <w:t>（一）部门年度基本支出情况</w:t>
      </w:r>
    </w:p>
    <w:p w14:paraId="44D9361F">
      <w:pPr>
        <w:pStyle w:val="2"/>
        <w:spacing w:line="560" w:lineRule="exact"/>
        <w:ind w:left="0" w:leftChars="0" w:firstLine="640" w:firstLineChars="200"/>
        <w:rPr>
          <w:rFonts w:ascii="仿宋" w:hAnsi="仿宋" w:eastAsia="仿宋" w:cs="仿宋"/>
          <w:color w:val="505050"/>
          <w:sz w:val="32"/>
          <w:szCs w:val="32"/>
          <w:shd w:val="clear" w:color="auto" w:fill="FFFFFF"/>
        </w:rPr>
      </w:pPr>
      <w:r>
        <w:rPr>
          <w:rFonts w:hint="eastAsia" w:ascii="仿宋" w:hAnsi="仿宋" w:eastAsia="仿宋" w:cs="仿宋"/>
          <w:sz w:val="32"/>
          <w:szCs w:val="32"/>
          <w:shd w:val="clear" w:color="auto" w:fill="FFFFFF"/>
        </w:rPr>
        <w:t>1、</w:t>
      </w:r>
      <w:r>
        <w:rPr>
          <w:rFonts w:hint="eastAsia" w:ascii="仿宋" w:hAnsi="仿宋" w:eastAsia="仿宋" w:cs="仿宋"/>
          <w:b/>
          <w:bCs/>
          <w:sz w:val="32"/>
          <w:szCs w:val="32"/>
          <w:shd w:val="clear" w:color="auto" w:fill="FFFFFF"/>
        </w:rPr>
        <w:t>部门2023年度整体支出：</w:t>
      </w:r>
      <w:r>
        <w:rPr>
          <w:rFonts w:hint="eastAsia" w:ascii="仿宋" w:hAnsi="仿宋" w:eastAsia="仿宋" w:cs="仿宋"/>
          <w:color w:val="505050"/>
          <w:sz w:val="32"/>
          <w:szCs w:val="32"/>
          <w:shd w:val="clear" w:color="auto" w:fill="FFFFFF"/>
        </w:rPr>
        <w:t>2023年部门整体支出决算数为955.05万元，其中：一般公共预算拨款955.05万元，其他收入0万元，政府性基金预算拨款0万元，纳入财政专户管理的非税收入拨款0万元，国有资本经营预算拨款0万元。</w:t>
      </w:r>
    </w:p>
    <w:p w14:paraId="7C41983D">
      <w:pPr>
        <w:widowControl/>
        <w:shd w:val="clear" w:color="auto" w:fill="FFFFFF"/>
        <w:spacing w:line="600" w:lineRule="atLeast"/>
        <w:ind w:firstLine="643"/>
        <w:rPr>
          <w:rFonts w:ascii="仿宋" w:hAnsi="仿宋" w:eastAsia="仿宋" w:cs="仿宋"/>
          <w:sz w:val="32"/>
          <w:szCs w:val="32"/>
        </w:rPr>
      </w:pPr>
      <w:r>
        <w:rPr>
          <w:rFonts w:hint="eastAsia" w:ascii="仿宋" w:hAnsi="仿宋" w:eastAsia="仿宋" w:cs="仿宋"/>
          <w:b/>
          <w:bCs/>
          <w:kern w:val="0"/>
          <w:sz w:val="32"/>
          <w:szCs w:val="32"/>
        </w:rPr>
        <w:t>2、“三公”经费支出情况：</w:t>
      </w:r>
      <w:r>
        <w:rPr>
          <w:rFonts w:hint="eastAsia" w:ascii="仿宋" w:hAnsi="仿宋" w:eastAsia="仿宋" w:cs="仿宋"/>
          <w:color w:val="505050"/>
          <w:sz w:val="32"/>
          <w:szCs w:val="32"/>
          <w:shd w:val="clear" w:color="auto" w:fill="FFFFFF"/>
        </w:rPr>
        <w:t>2023年“三公”经费决算数为0.84万元，其中，公务接待费0.84万元，</w:t>
      </w:r>
      <w:r>
        <w:rPr>
          <w:rFonts w:hint="eastAsia" w:ascii="仿宋" w:hAnsi="仿宋" w:eastAsia="仿宋"/>
          <w:spacing w:val="-2"/>
          <w:sz w:val="32"/>
          <w:szCs w:val="32"/>
        </w:rPr>
        <w:t>全年共接待来访团组</w:t>
      </w:r>
      <w:r>
        <w:rPr>
          <w:rFonts w:hint="eastAsia" w:ascii="仿宋" w:hAnsi="仿宋" w:eastAsia="仿宋"/>
          <w:color w:val="FF0000"/>
          <w:spacing w:val="-2"/>
          <w:sz w:val="32"/>
          <w:szCs w:val="32"/>
        </w:rPr>
        <w:t>12</w:t>
      </w:r>
      <w:r>
        <w:rPr>
          <w:rFonts w:hint="eastAsia" w:ascii="仿宋" w:hAnsi="仿宋" w:eastAsia="仿宋"/>
          <w:spacing w:val="-2"/>
          <w:sz w:val="32"/>
          <w:szCs w:val="32"/>
        </w:rPr>
        <w:t>个、来宾人次</w:t>
      </w:r>
      <w:r>
        <w:rPr>
          <w:rFonts w:hint="eastAsia" w:ascii="仿宋" w:hAnsi="仿宋" w:eastAsia="仿宋"/>
          <w:color w:val="FF0000"/>
          <w:spacing w:val="-2"/>
          <w:sz w:val="32"/>
          <w:szCs w:val="32"/>
        </w:rPr>
        <w:t>74</w:t>
      </w:r>
      <w:r>
        <w:rPr>
          <w:rFonts w:hint="eastAsia" w:ascii="仿宋" w:hAnsi="仿宋" w:eastAsia="仿宋"/>
          <w:spacing w:val="-2"/>
          <w:sz w:val="32"/>
          <w:szCs w:val="32"/>
        </w:rPr>
        <w:t>人，主要是市、县审计局及村级来人业务接洽发生的接待支出。</w:t>
      </w:r>
      <w:r>
        <w:rPr>
          <w:rFonts w:hint="eastAsia" w:ascii="仿宋" w:hAnsi="仿宋" w:eastAsia="仿宋" w:cs="仿宋"/>
          <w:color w:val="505050"/>
          <w:sz w:val="32"/>
          <w:szCs w:val="32"/>
          <w:shd w:val="clear" w:color="auto" w:fill="FFFFFF"/>
        </w:rPr>
        <w:t>公务用车购置及运行费0万元（公务用车运行0万元、公务用车购置0万元），因公出国（境）费0万元。</w:t>
      </w:r>
    </w:p>
    <w:p w14:paraId="14CF200D">
      <w:pPr>
        <w:adjustRightInd w:val="0"/>
        <w:snapToGrid w:val="0"/>
        <w:spacing w:line="540" w:lineRule="atLeast"/>
        <w:ind w:left="640"/>
        <w:rPr>
          <w:rFonts w:ascii="仿宋" w:hAnsi="仿宋" w:eastAsia="仿宋" w:cs="仿宋"/>
          <w:b/>
          <w:bCs/>
          <w:kern w:val="0"/>
          <w:sz w:val="32"/>
          <w:szCs w:val="32"/>
        </w:rPr>
      </w:pPr>
      <w:r>
        <w:rPr>
          <w:rFonts w:hint="eastAsia" w:ascii="仿宋" w:hAnsi="仿宋" w:eastAsia="仿宋" w:cs="仿宋"/>
          <w:b/>
          <w:bCs/>
          <w:kern w:val="0"/>
          <w:sz w:val="32"/>
          <w:szCs w:val="32"/>
        </w:rPr>
        <w:t>（二）项目支出情况</w:t>
      </w:r>
    </w:p>
    <w:p w14:paraId="7CCF3012">
      <w:pPr>
        <w:pStyle w:val="2"/>
        <w:ind w:firstLine="217" w:firstLineChars="68"/>
        <w:rPr>
          <w:rFonts w:ascii="仿宋" w:hAnsi="仿宋" w:eastAsia="仿宋" w:cs="仿宋"/>
          <w:kern w:val="0"/>
          <w:sz w:val="32"/>
          <w:szCs w:val="32"/>
        </w:rPr>
      </w:pPr>
      <w:r>
        <w:rPr>
          <w:rFonts w:hint="eastAsia" w:ascii="仿宋" w:hAnsi="仿宋" w:eastAsia="仿宋" w:cs="仿宋"/>
          <w:kern w:val="0"/>
          <w:sz w:val="32"/>
          <w:szCs w:val="32"/>
        </w:rPr>
        <w:t>2023年，</w:t>
      </w:r>
      <w:r>
        <w:rPr>
          <w:rFonts w:hint="eastAsia" w:ascii="仿宋" w:hAnsi="仿宋" w:eastAsia="仿宋" w:cs="仿宋"/>
          <w:sz w:val="32"/>
          <w:szCs w:val="32"/>
        </w:rPr>
        <w:t>本单位无</w:t>
      </w:r>
      <w:r>
        <w:rPr>
          <w:rFonts w:hint="eastAsia" w:ascii="仿宋" w:hAnsi="仿宋" w:eastAsia="仿宋" w:cs="仿宋"/>
          <w:kern w:val="0"/>
          <w:sz w:val="32"/>
          <w:szCs w:val="32"/>
        </w:rPr>
        <w:t>项目支出。</w:t>
      </w:r>
    </w:p>
    <w:p w14:paraId="09B7BAA0"/>
    <w:p w14:paraId="43C1484E">
      <w:pPr>
        <w:adjustRightInd w:val="0"/>
        <w:snapToGrid w:val="0"/>
        <w:spacing w:line="540" w:lineRule="atLeast"/>
        <w:ind w:firstLine="421" w:firstLineChars="131"/>
        <w:rPr>
          <w:rFonts w:asciiTheme="minorEastAsia" w:hAnsiTheme="minorEastAsia" w:cstheme="minorEastAsia"/>
          <w:b/>
          <w:sz w:val="32"/>
          <w:szCs w:val="32"/>
        </w:rPr>
      </w:pPr>
      <w:r>
        <w:rPr>
          <w:rFonts w:hint="eastAsia" w:asciiTheme="minorEastAsia" w:hAnsiTheme="minorEastAsia" w:cstheme="minorEastAsia"/>
          <w:b/>
          <w:sz w:val="32"/>
          <w:szCs w:val="32"/>
        </w:rPr>
        <w:t>三、政府性基金预算支出情况</w:t>
      </w:r>
    </w:p>
    <w:p w14:paraId="266FC53A">
      <w:pPr>
        <w:pStyle w:val="2"/>
        <w:ind w:firstLine="217" w:firstLineChars="68"/>
        <w:rPr>
          <w:rFonts w:ascii="仿宋" w:hAnsi="仿宋" w:eastAsia="仿宋" w:cs="仿宋"/>
          <w:sz w:val="32"/>
          <w:szCs w:val="32"/>
        </w:rPr>
      </w:pPr>
      <w:r>
        <w:rPr>
          <w:rFonts w:hint="eastAsia" w:ascii="仿宋" w:hAnsi="仿宋" w:eastAsia="仿宋" w:cs="仿宋"/>
          <w:sz w:val="32"/>
          <w:szCs w:val="32"/>
        </w:rPr>
        <w:t>2023年，本单位无政府性基金预算支出。</w:t>
      </w:r>
    </w:p>
    <w:p w14:paraId="2F5931E8"/>
    <w:p w14:paraId="2602BF6A">
      <w:pPr>
        <w:adjustRightInd w:val="0"/>
        <w:snapToGrid w:val="0"/>
        <w:spacing w:line="540" w:lineRule="atLeast"/>
        <w:ind w:left="420" w:leftChars="200"/>
        <w:rPr>
          <w:rFonts w:asciiTheme="minorEastAsia" w:hAnsiTheme="minorEastAsia" w:cstheme="minorEastAsia"/>
          <w:b/>
          <w:kern w:val="0"/>
          <w:sz w:val="32"/>
          <w:szCs w:val="32"/>
        </w:rPr>
      </w:pPr>
      <w:r>
        <w:rPr>
          <w:rFonts w:hint="eastAsia" w:asciiTheme="minorEastAsia" w:hAnsiTheme="minorEastAsia" w:cstheme="minorEastAsia"/>
          <w:b/>
          <w:kern w:val="0"/>
          <w:sz w:val="32"/>
          <w:szCs w:val="32"/>
        </w:rPr>
        <w:t>四、国有资本经营预算支出情况。</w:t>
      </w:r>
    </w:p>
    <w:p w14:paraId="3A03271F">
      <w:pPr>
        <w:widowControl/>
        <w:shd w:val="clear" w:color="auto" w:fill="FFFFFF"/>
        <w:spacing w:line="600" w:lineRule="atLeast"/>
        <w:ind w:firstLine="640"/>
        <w:rPr>
          <w:rFonts w:ascii="仿宋" w:hAnsi="仿宋" w:eastAsia="仿宋" w:cs="仿宋"/>
          <w:bCs/>
          <w:kern w:val="0"/>
          <w:sz w:val="32"/>
          <w:szCs w:val="32"/>
        </w:rPr>
      </w:pPr>
      <w:r>
        <w:rPr>
          <w:rFonts w:hint="eastAsia" w:ascii="仿宋" w:hAnsi="仿宋" w:eastAsia="仿宋" w:cs="仿宋"/>
          <w:bCs/>
          <w:sz w:val="32"/>
          <w:szCs w:val="32"/>
        </w:rPr>
        <w:t>2023年，本单位无</w:t>
      </w:r>
      <w:r>
        <w:rPr>
          <w:rFonts w:hint="eastAsia" w:ascii="仿宋" w:hAnsi="仿宋" w:eastAsia="仿宋" w:cs="仿宋"/>
          <w:bCs/>
          <w:kern w:val="0"/>
          <w:sz w:val="32"/>
          <w:szCs w:val="32"/>
        </w:rPr>
        <w:t>国有资本经营预算支出情况。</w:t>
      </w:r>
    </w:p>
    <w:p w14:paraId="38845DB4">
      <w:pPr>
        <w:pStyle w:val="2"/>
      </w:pPr>
    </w:p>
    <w:p w14:paraId="1646AED2">
      <w:pPr>
        <w:widowControl/>
        <w:numPr>
          <w:ilvl w:val="0"/>
          <w:numId w:val="2"/>
        </w:numPr>
        <w:shd w:val="clear" w:color="auto" w:fill="FFFFFF"/>
        <w:spacing w:line="600" w:lineRule="atLeast"/>
        <w:ind w:firstLine="420"/>
        <w:rPr>
          <w:rFonts w:asciiTheme="minorEastAsia" w:hAnsiTheme="minorEastAsia" w:cstheme="minorEastAsia"/>
          <w:b/>
          <w:spacing w:val="-2"/>
          <w:sz w:val="32"/>
          <w:szCs w:val="32"/>
        </w:rPr>
      </w:pPr>
      <w:r>
        <w:rPr>
          <w:rFonts w:hint="eastAsia" w:asciiTheme="minorEastAsia" w:hAnsiTheme="minorEastAsia" w:cstheme="minorEastAsia"/>
          <w:b/>
          <w:spacing w:val="-2"/>
          <w:sz w:val="32"/>
          <w:szCs w:val="32"/>
        </w:rPr>
        <w:t>社会保险基金预算支出情况</w:t>
      </w:r>
    </w:p>
    <w:p w14:paraId="05EDF650">
      <w:pPr>
        <w:pStyle w:val="2"/>
        <w:ind w:left="0" w:leftChars="0" w:firstLine="640" w:firstLineChars="200"/>
        <w:rPr>
          <w:rFonts w:ascii="仿宋" w:hAnsi="仿宋" w:eastAsia="仿宋" w:cs="仿宋"/>
          <w:bCs/>
          <w:spacing w:val="-2"/>
          <w:sz w:val="32"/>
          <w:szCs w:val="32"/>
        </w:rPr>
      </w:pPr>
      <w:r>
        <w:rPr>
          <w:rFonts w:hint="eastAsia" w:ascii="仿宋" w:hAnsi="仿宋" w:eastAsia="仿宋" w:cs="仿宋"/>
          <w:bCs/>
          <w:sz w:val="32"/>
          <w:szCs w:val="32"/>
        </w:rPr>
        <w:t>2023年，本单位无</w:t>
      </w:r>
      <w:r>
        <w:rPr>
          <w:rFonts w:hint="eastAsia" w:ascii="仿宋" w:hAnsi="仿宋" w:eastAsia="仿宋" w:cs="仿宋"/>
          <w:bCs/>
          <w:spacing w:val="-2"/>
          <w:sz w:val="32"/>
          <w:szCs w:val="32"/>
        </w:rPr>
        <w:t>社会保险基金预算支出。</w:t>
      </w:r>
    </w:p>
    <w:p w14:paraId="13434B11"/>
    <w:p w14:paraId="76EC68FE">
      <w:pPr>
        <w:pStyle w:val="2"/>
        <w:numPr>
          <w:ilvl w:val="0"/>
          <w:numId w:val="2"/>
        </w:numPr>
        <w:ind w:left="0" w:leftChars="0" w:firstLine="420"/>
        <w:rPr>
          <w:rFonts w:asciiTheme="minorEastAsia" w:hAnsiTheme="minorEastAsia" w:cstheme="minorEastAsia"/>
          <w:b/>
          <w:bCs/>
          <w:sz w:val="32"/>
          <w:szCs w:val="32"/>
        </w:rPr>
      </w:pPr>
      <w:r>
        <w:rPr>
          <w:rFonts w:hint="eastAsia" w:asciiTheme="minorEastAsia" w:hAnsiTheme="minorEastAsia" w:cstheme="minorEastAsia"/>
          <w:b/>
          <w:bCs/>
          <w:sz w:val="32"/>
          <w:szCs w:val="32"/>
        </w:rPr>
        <w:t>部门整体支出绩效情况</w:t>
      </w:r>
    </w:p>
    <w:p w14:paraId="3041590C">
      <w:pPr>
        <w:numPr>
          <w:ilvl w:val="0"/>
          <w:numId w:val="3"/>
        </w:numPr>
        <w:rPr>
          <w:rFonts w:asciiTheme="minorEastAsia" w:hAnsiTheme="minorEastAsia" w:cstheme="minorEastAsia"/>
          <w:b/>
          <w:bCs/>
          <w:sz w:val="32"/>
          <w:szCs w:val="32"/>
        </w:rPr>
      </w:pPr>
      <w:r>
        <w:rPr>
          <w:rFonts w:hint="eastAsia" w:asciiTheme="minorEastAsia" w:hAnsiTheme="minorEastAsia" w:cstheme="minorEastAsia"/>
          <w:b/>
          <w:bCs/>
          <w:sz w:val="32"/>
          <w:szCs w:val="32"/>
        </w:rPr>
        <w:t>“四本预算”支出绩效情况</w:t>
      </w:r>
    </w:p>
    <w:p w14:paraId="7C703060">
      <w:pPr>
        <w:pStyle w:val="5"/>
        <w:numPr>
          <w:ilvl w:val="0"/>
          <w:numId w:val="4"/>
        </w:numPr>
        <w:shd w:val="clear" w:color="auto" w:fill="FFFFFF"/>
        <w:spacing w:before="113" w:beforeAutospacing="0" w:after="0" w:afterAutospacing="0" w:line="560" w:lineRule="exact"/>
        <w:ind w:firstLine="640" w:firstLineChars="200"/>
        <w:jc w:val="both"/>
        <w:textAlignment w:val="baseline"/>
        <w:rPr>
          <w:rFonts w:ascii="仿宋" w:hAnsi="仿宋" w:eastAsia="仿宋" w:cs="仿宋"/>
          <w:color w:val="505050"/>
          <w:sz w:val="32"/>
          <w:szCs w:val="32"/>
          <w:shd w:val="clear" w:color="auto" w:fill="FFFFFF"/>
        </w:rPr>
      </w:pPr>
      <w:r>
        <w:rPr>
          <w:rFonts w:hint="eastAsia" w:ascii="仿宋" w:hAnsi="仿宋" w:eastAsia="仿宋" w:cs="仿宋"/>
          <w:sz w:val="32"/>
          <w:szCs w:val="32"/>
        </w:rPr>
        <w:t>一般公共预算支出情况：</w:t>
      </w:r>
      <w:r>
        <w:rPr>
          <w:rFonts w:hint="eastAsia" w:ascii="仿宋" w:hAnsi="仿宋" w:eastAsia="仿宋" w:cs="仿宋"/>
          <w:color w:val="505050"/>
          <w:sz w:val="32"/>
          <w:szCs w:val="32"/>
          <w:shd w:val="clear" w:color="auto" w:fill="FFFFFF"/>
        </w:rPr>
        <w:t>2023年我单位部门整体支出决算数为955.05万元：其中工资福利支出671.70万元，商品和服务支出277.24万元，对个人和家庭的补助支出6.11万元，资本性支出0万元，较好的完成了全年预算目标，保障了全体干部职工的“五险两金”和维持了机关单位的正常运转。</w:t>
      </w:r>
    </w:p>
    <w:p w14:paraId="52C8E0FD">
      <w:pPr>
        <w:pStyle w:val="5"/>
        <w:numPr>
          <w:ilvl w:val="0"/>
          <w:numId w:val="4"/>
        </w:numPr>
        <w:shd w:val="clear" w:color="auto" w:fill="FFFFFF"/>
        <w:spacing w:before="113" w:beforeAutospacing="0" w:after="0" w:afterAutospacing="0" w:line="560" w:lineRule="exact"/>
        <w:ind w:firstLine="640" w:firstLineChars="200"/>
        <w:jc w:val="both"/>
        <w:textAlignment w:val="baseline"/>
        <w:rPr>
          <w:rFonts w:ascii="仿宋" w:hAnsi="仿宋" w:eastAsia="仿宋" w:cs="仿宋"/>
          <w:color w:val="505050"/>
          <w:sz w:val="32"/>
          <w:szCs w:val="32"/>
          <w:shd w:val="clear" w:color="auto" w:fill="FFFFFF"/>
        </w:rPr>
      </w:pPr>
      <w:r>
        <w:rPr>
          <w:rFonts w:hint="eastAsia" w:ascii="仿宋" w:hAnsi="仿宋" w:eastAsia="仿宋" w:cs="仿宋"/>
          <w:color w:val="505050"/>
          <w:sz w:val="32"/>
          <w:szCs w:val="32"/>
          <w:shd w:val="clear" w:color="auto" w:fill="FFFFFF"/>
        </w:rPr>
        <w:t>2023年我单位无</w:t>
      </w:r>
      <w:r>
        <w:rPr>
          <w:rFonts w:hint="eastAsia" w:ascii="仿宋" w:hAnsi="仿宋" w:eastAsia="仿宋" w:cs="仿宋"/>
          <w:sz w:val="32"/>
          <w:szCs w:val="32"/>
        </w:rPr>
        <w:t>政府性基金预算支出、无国有资本经营预算支出、无</w:t>
      </w:r>
      <w:r>
        <w:rPr>
          <w:rFonts w:hint="eastAsia" w:ascii="仿宋" w:hAnsi="仿宋" w:eastAsia="仿宋" w:cs="仿宋"/>
          <w:spacing w:val="-2"/>
          <w:sz w:val="32"/>
          <w:szCs w:val="32"/>
        </w:rPr>
        <w:t>社会保险基金预算支出。</w:t>
      </w:r>
    </w:p>
    <w:p w14:paraId="24D0B18C">
      <w:pPr>
        <w:pStyle w:val="2"/>
        <w:ind w:left="481" w:leftChars="0"/>
        <w:rPr>
          <w:rFonts w:eastAsia="仿宋"/>
        </w:rPr>
      </w:pPr>
      <w:r>
        <w:rPr>
          <w:rFonts w:hint="eastAsia" w:ascii="仿宋" w:hAnsi="仿宋" w:eastAsia="仿宋" w:cs="仿宋"/>
          <w:sz w:val="32"/>
          <w:szCs w:val="32"/>
        </w:rPr>
        <w:t>（二）</w:t>
      </w:r>
      <w:r>
        <w:rPr>
          <w:rFonts w:hint="eastAsia" w:ascii="仿宋" w:hAnsi="仿宋" w:eastAsia="仿宋" w:cs="仿宋"/>
          <w:b/>
          <w:sz w:val="32"/>
          <w:szCs w:val="32"/>
        </w:rPr>
        <w:t>部门整体绩效评价工作情况</w:t>
      </w:r>
    </w:p>
    <w:p w14:paraId="6AEAD59A">
      <w:pPr>
        <w:adjustRightInd w:val="0"/>
        <w:snapToGrid w:val="0"/>
        <w:spacing w:line="560" w:lineRule="exact"/>
        <w:ind w:firstLine="640" w:firstLineChars="200"/>
        <w:rPr>
          <w:rFonts w:ascii="仿宋" w:hAnsi="仿宋" w:eastAsia="仿宋" w:cs="仿宋"/>
          <w:color w:val="333333"/>
          <w:kern w:val="0"/>
          <w:sz w:val="32"/>
          <w:szCs w:val="32"/>
          <w:shd w:val="clear" w:color="auto" w:fill="FFFFFF"/>
          <w:lang w:bidi="ar"/>
        </w:rPr>
      </w:pPr>
      <w:r>
        <w:rPr>
          <w:rFonts w:hint="eastAsia" w:ascii="仿宋" w:hAnsi="仿宋" w:eastAsia="仿宋" w:cs="仿宋"/>
          <w:color w:val="333333"/>
          <w:kern w:val="0"/>
          <w:sz w:val="32"/>
          <w:szCs w:val="32"/>
          <w:shd w:val="clear" w:color="auto" w:fill="FFFFFF"/>
          <w:lang w:bidi="ar"/>
        </w:rPr>
        <w:t>1、我单位对部门整体支出的经济性、效率性、有效性和可持续性等方面进行量化、具体情况分析以得出：首先,我单位严格控制行政成本,节约各项开支;其次,对各项工作完成的进度及质量等情况进行预测安排;再次,认真实行对各项资金支出和使用效果等指标进行分析,加强事前事中事后监督;最后,对以前年度各项支出,后续政策、资金、人员机构安排和管理措施等影响项目持续发展的因素进行分析,通过分析,不断的改进和完善本部门预算。 </w:t>
      </w:r>
    </w:p>
    <w:p w14:paraId="225D6DFA">
      <w:pPr>
        <w:widowControl/>
        <w:shd w:val="clear" w:color="auto" w:fill="FFFFFF"/>
        <w:spacing w:line="600" w:lineRule="atLeast"/>
        <w:ind w:firstLine="640"/>
        <w:rPr>
          <w:rFonts w:ascii="仿宋" w:hAnsi="仿宋" w:eastAsia="仿宋" w:cs="仿宋"/>
          <w:spacing w:val="-2"/>
          <w:sz w:val="32"/>
          <w:szCs w:val="32"/>
        </w:rPr>
      </w:pPr>
      <w:r>
        <w:rPr>
          <w:rFonts w:hint="eastAsia" w:ascii="仿宋" w:hAnsi="仿宋" w:eastAsia="仿宋" w:cs="仿宋"/>
          <w:sz w:val="32"/>
          <w:szCs w:val="32"/>
        </w:rPr>
        <w:t>2、</w:t>
      </w:r>
      <w:r>
        <w:rPr>
          <w:rFonts w:hint="eastAsia" w:ascii="仿宋" w:hAnsi="仿宋" w:eastAsia="仿宋" w:cs="仿宋"/>
          <w:spacing w:val="-2"/>
          <w:sz w:val="32"/>
          <w:szCs w:val="32"/>
        </w:rPr>
        <w:t>国有资产占用情况。截至2023年12月31日，本单位共有车辆 0 辆，其中，主要领导干部用车 0 辆，机要通信用车 0 辆、应急保障用车 0 辆、执法执勤用车 0 辆、特种专业技术用车0辆、其他用车 0 辆，0；单位价值50万元以上通用设备0台（套）；单位价值100万元以上专用设备 0 台（套）。</w:t>
      </w:r>
    </w:p>
    <w:p w14:paraId="01428A58"/>
    <w:p w14:paraId="0C3B07EF">
      <w:pPr>
        <w:pStyle w:val="2"/>
        <w:ind w:firstLine="320" w:firstLineChars="100"/>
      </w:pPr>
      <w:r>
        <w:rPr>
          <w:rFonts w:hint="eastAsia" w:ascii="Times New Roman" w:hAnsi="Times New Roman" w:eastAsia="黑体"/>
          <w:sz w:val="32"/>
          <w:szCs w:val="32"/>
        </w:rPr>
        <w:t>七、存在的问题及原因分析</w:t>
      </w:r>
    </w:p>
    <w:p w14:paraId="5D1D284F">
      <w:pPr>
        <w:numPr>
          <w:ilvl w:val="0"/>
          <w:numId w:val="5"/>
        </w:numPr>
        <w:adjustRightInd w:val="0"/>
        <w:snapToGrid w:val="0"/>
        <w:spacing w:line="560" w:lineRule="exact"/>
        <w:ind w:firstLine="640" w:firstLineChars="200"/>
        <w:rPr>
          <w:rFonts w:ascii="仿宋" w:hAnsi="仿宋" w:eastAsia="仿宋" w:cs="仿宋"/>
          <w:bCs/>
          <w:sz w:val="32"/>
          <w:szCs w:val="32"/>
        </w:rPr>
      </w:pPr>
      <w:r>
        <w:rPr>
          <w:rFonts w:hint="eastAsia" w:ascii="仿宋" w:hAnsi="仿宋" w:eastAsia="仿宋" w:cs="仿宋"/>
          <w:bCs/>
          <w:sz w:val="32"/>
          <w:szCs w:val="32"/>
        </w:rPr>
        <w:t>审计人员年龄老化严重，</w:t>
      </w:r>
      <w:r>
        <w:rPr>
          <w:rFonts w:hint="eastAsia" w:ascii="仿宋" w:hAnsi="仿宋" w:eastAsia="仿宋" w:cs="仿宋"/>
          <w:sz w:val="32"/>
          <w:szCs w:val="32"/>
        </w:rPr>
        <w:t>年龄层次偏大，</w:t>
      </w:r>
      <w:r>
        <w:rPr>
          <w:rFonts w:hint="eastAsia" w:ascii="仿宋" w:hAnsi="仿宋" w:eastAsia="仿宋" w:cs="仿宋"/>
          <w:bCs/>
          <w:sz w:val="32"/>
          <w:szCs w:val="32"/>
        </w:rPr>
        <w:t>全局45岁以上人员13人，</w:t>
      </w:r>
      <w:r>
        <w:rPr>
          <w:rFonts w:hint="eastAsia" w:ascii="仿宋" w:hAnsi="仿宋" w:eastAsia="仿宋" w:cs="仿宋"/>
          <w:sz w:val="32"/>
          <w:szCs w:val="32"/>
        </w:rPr>
        <w:t>审计</w:t>
      </w:r>
      <w:r>
        <w:rPr>
          <w:rFonts w:hint="eastAsia" w:ascii="仿宋" w:hAnsi="仿宋" w:eastAsia="仿宋" w:cs="仿宋"/>
          <w:bCs/>
          <w:sz w:val="32"/>
          <w:szCs w:val="32"/>
        </w:rPr>
        <w:t>后续力量不足，呈现出青黄不接的现状。我局“大数据审计”人员缺乏，目前尚未配备专业的大数据审计专业人员。</w:t>
      </w:r>
    </w:p>
    <w:p w14:paraId="70123920">
      <w:pPr>
        <w:pStyle w:val="2"/>
        <w:spacing w:line="560" w:lineRule="exact"/>
        <w:ind w:left="0" w:leftChars="0"/>
        <w:rPr>
          <w:rFonts w:ascii="仿宋" w:hAnsi="仿宋" w:eastAsia="仿宋" w:cs="仿宋"/>
          <w:sz w:val="32"/>
          <w:szCs w:val="32"/>
        </w:rPr>
      </w:pPr>
      <w:r>
        <w:rPr>
          <w:rFonts w:hint="eastAsia" w:ascii="仿宋" w:hAnsi="仿宋" w:eastAsia="仿宋" w:cs="仿宋"/>
          <w:sz w:val="32"/>
          <w:szCs w:val="32"/>
        </w:rPr>
        <w:t xml:space="preserve">    2、审计经费不足。全年工作经费有限，除去人员的“五险一金”，余下可用工作经费十分有限。随着审计项目的逐年增加，全局工作经费严重不足。</w:t>
      </w:r>
    </w:p>
    <w:p w14:paraId="308D4CBA">
      <w:pPr>
        <w:pStyle w:val="2"/>
        <w:ind w:left="0" w:leftChars="0" w:firstLine="640" w:firstLineChars="200"/>
      </w:pPr>
      <w:r>
        <w:rPr>
          <w:rFonts w:hint="eastAsia" w:ascii="仿宋" w:hAnsi="仿宋" w:eastAsia="仿宋" w:cs="仿宋"/>
          <w:sz w:val="32"/>
          <w:szCs w:val="32"/>
        </w:rPr>
        <w:t>3、县级财政困难，相关资金拨付不及时导致整体绩效达不到预定的目标。</w:t>
      </w:r>
    </w:p>
    <w:p w14:paraId="1E5FF555">
      <w:pPr>
        <w:widowControl/>
        <w:spacing w:line="600" w:lineRule="exact"/>
        <w:ind w:firstLine="643" w:firstLineChars="200"/>
        <w:jc w:val="left"/>
        <w:rPr>
          <w:rFonts w:eastAsia="黑体"/>
          <w:sz w:val="32"/>
          <w:szCs w:val="32"/>
        </w:rPr>
      </w:pPr>
      <w:r>
        <w:rPr>
          <w:rFonts w:hint="eastAsia" w:ascii="仿宋" w:hAnsi="仿宋" w:eastAsia="仿宋" w:cs="仿宋"/>
          <w:b/>
          <w:sz w:val="32"/>
          <w:szCs w:val="32"/>
        </w:rPr>
        <w:t>八、</w:t>
      </w:r>
      <w:r>
        <w:rPr>
          <w:rFonts w:hint="eastAsia" w:eastAsia="黑体"/>
          <w:sz w:val="32"/>
          <w:szCs w:val="32"/>
        </w:rPr>
        <w:t>下一步改进措施</w:t>
      </w:r>
    </w:p>
    <w:p w14:paraId="086A43EE">
      <w:pPr>
        <w:ind w:firstLine="632" w:firstLineChars="200"/>
        <w:rPr>
          <w:rFonts w:ascii="仿宋" w:hAnsi="仿宋" w:eastAsia="仿宋"/>
          <w:spacing w:val="-2"/>
          <w:sz w:val="32"/>
          <w:szCs w:val="32"/>
        </w:rPr>
      </w:pPr>
      <w:r>
        <w:rPr>
          <w:rFonts w:hint="eastAsia" w:ascii="仿宋" w:hAnsi="仿宋" w:eastAsia="仿宋"/>
          <w:spacing w:val="-2"/>
          <w:sz w:val="32"/>
          <w:szCs w:val="32"/>
        </w:rPr>
        <w:t>1．加强预算编制的合理性。预算的合理性是行政事业单位内部控制的精髓，在今后的工作中，我局进一步重视部门预算，严格执行《中华人民共和国预算法》，增强预算业务控制，充分发挥预算控制在内部控制中的重要作用。严格按市本级部门预算编报程序进行编制，基本支出预算按照单位的基础信息和核定的标准编制，保证单位的正常运转；项目支出预算根据单位发展规划和年度计划，结合财政部门预算安排情况，科学细化项目。</w:t>
      </w:r>
    </w:p>
    <w:p w14:paraId="676AC86A">
      <w:pPr>
        <w:ind w:firstLine="632" w:firstLineChars="200"/>
        <w:rPr>
          <w:rFonts w:ascii="仿宋" w:hAnsi="仿宋" w:eastAsia="仿宋"/>
          <w:spacing w:val="-2"/>
          <w:sz w:val="32"/>
          <w:szCs w:val="32"/>
        </w:rPr>
      </w:pPr>
      <w:r>
        <w:rPr>
          <w:rFonts w:hint="eastAsia" w:ascii="仿宋" w:hAnsi="仿宋" w:eastAsia="仿宋"/>
          <w:spacing w:val="-2"/>
          <w:sz w:val="32"/>
          <w:szCs w:val="32"/>
        </w:rPr>
        <w:t>2．积极开展预算绩效管理工作。在今后的工作中，我局将在预算编制环节通过事前评价的方式，发现并去除评价不高的项目，避免财政资金的浪费。在财政支出过程中，及时根据资金使用进度，考核阶段性目标的完成进度，提高资金使用效率。并在每个项目结束后进行严格自查，根据事前设定的绩效目标科学评判支出的效率效果，并将评价结果合理运用于来年的预算编制中。做到预算财务分析常态化，定期做好预算支出财务分析，做好部门整体支出预算评价工作。</w:t>
      </w:r>
    </w:p>
    <w:p w14:paraId="5071856A">
      <w:pPr>
        <w:ind w:firstLine="632" w:firstLineChars="200"/>
        <w:rPr>
          <w:rFonts w:ascii="仿宋" w:hAnsi="仿宋" w:eastAsia="仿宋"/>
          <w:spacing w:val="-2"/>
          <w:sz w:val="32"/>
          <w:szCs w:val="32"/>
        </w:rPr>
      </w:pPr>
      <w:r>
        <w:rPr>
          <w:rFonts w:hint="eastAsia" w:ascii="仿宋" w:hAnsi="仿宋" w:eastAsia="仿宋"/>
          <w:spacing w:val="-2"/>
          <w:sz w:val="32"/>
          <w:szCs w:val="32"/>
        </w:rPr>
        <w:t>3．合理确定评价指标。根据行政机关的职能职责研究制定科学合理的评价指标体系，行政机关本身不会创造财富，根本无法评价其经济效益等，因此，指标设定应重效果、轻效益，重服务、轻权力，重宏观、轻微观。</w:t>
      </w:r>
    </w:p>
    <w:p w14:paraId="556B7DEC">
      <w:pPr>
        <w:widowControl/>
        <w:spacing w:line="600" w:lineRule="exact"/>
        <w:ind w:firstLine="645"/>
        <w:jc w:val="left"/>
        <w:rPr>
          <w:rFonts w:ascii="仿宋" w:hAnsi="仿宋" w:eastAsia="仿宋" w:cs="仿宋"/>
          <w:b/>
          <w:bCs/>
          <w:sz w:val="32"/>
          <w:szCs w:val="32"/>
        </w:rPr>
      </w:pPr>
      <w:r>
        <w:rPr>
          <w:rFonts w:hint="eastAsia" w:ascii="仿宋" w:hAnsi="仿宋" w:eastAsia="仿宋" w:cs="仿宋"/>
          <w:b/>
          <w:bCs/>
          <w:sz w:val="32"/>
          <w:szCs w:val="32"/>
        </w:rPr>
        <w:t>九、部门整体支出绩效自评结果拟应用和公开情况</w:t>
      </w:r>
    </w:p>
    <w:p w14:paraId="65EC8C8B">
      <w:pPr>
        <w:pStyle w:val="2"/>
        <w:ind w:left="0" w:leftChars="0" w:firstLine="419" w:firstLineChars="131"/>
        <w:rPr>
          <w:rFonts w:eastAsia="仿宋"/>
          <w:sz w:val="32"/>
          <w:szCs w:val="32"/>
        </w:rPr>
      </w:pPr>
      <w:r>
        <w:rPr>
          <w:rFonts w:hint="eastAsia" w:ascii="仿宋" w:hAnsi="仿宋" w:eastAsia="仿宋" w:cs="仿宋"/>
          <w:sz w:val="32"/>
          <w:szCs w:val="32"/>
        </w:rPr>
        <w:t>2023年，我局针对财政部门反馈的绩效评价结果、内部公开绩效评价结果逐项核对，并积极调整优化预算结构、改革预算管理，对发现的问题，通过健全制度措施和实施绩效问责等办法积极整改，并按县财政要求在规定时间内及时公开。</w:t>
      </w:r>
    </w:p>
    <w:p w14:paraId="6FEB49C9">
      <w:pPr>
        <w:adjustRightInd w:val="0"/>
        <w:snapToGrid w:val="0"/>
        <w:spacing w:line="540" w:lineRule="atLeast"/>
        <w:ind w:firstLine="643" w:firstLineChars="200"/>
        <w:rPr>
          <w:rFonts w:ascii="仿宋" w:hAnsi="仿宋" w:eastAsia="仿宋" w:cs="仿宋"/>
          <w:b/>
          <w:bCs/>
          <w:sz w:val="32"/>
          <w:szCs w:val="32"/>
        </w:rPr>
      </w:pPr>
      <w:r>
        <w:rPr>
          <w:rFonts w:hint="eastAsia" w:ascii="仿宋" w:hAnsi="仿宋" w:eastAsia="仿宋" w:cs="仿宋"/>
          <w:b/>
          <w:bCs/>
          <w:sz w:val="32"/>
          <w:szCs w:val="32"/>
        </w:rPr>
        <w:t>十、其他需要说明的问题</w:t>
      </w:r>
    </w:p>
    <w:p w14:paraId="7075BDF5">
      <w:pPr>
        <w:pStyle w:val="2"/>
        <w:ind w:firstLine="1606" w:firstLineChars="500"/>
        <w:rPr>
          <w:rFonts w:ascii="仿宋" w:hAnsi="仿宋" w:eastAsia="仿宋" w:cs="仿宋"/>
          <w:b/>
          <w:bCs/>
          <w:sz w:val="32"/>
          <w:szCs w:val="32"/>
        </w:rPr>
      </w:pPr>
      <w:r>
        <w:rPr>
          <w:rFonts w:hint="eastAsia" w:ascii="仿宋" w:hAnsi="仿宋" w:eastAsia="仿宋" w:cs="仿宋"/>
          <w:b/>
          <w:bCs/>
          <w:sz w:val="32"/>
          <w:szCs w:val="32"/>
        </w:rPr>
        <w:t>无</w:t>
      </w:r>
    </w:p>
    <w:p w14:paraId="4F410A73"/>
    <w:p w14:paraId="6D97D661">
      <w:pPr>
        <w:pStyle w:val="2"/>
        <w:ind w:firstLine="5440" w:firstLineChars="1700"/>
        <w:rPr>
          <w:rFonts w:ascii="仿宋" w:hAnsi="仿宋" w:eastAsia="仿宋" w:cs="仿宋"/>
          <w:sz w:val="32"/>
          <w:szCs w:val="32"/>
        </w:rPr>
      </w:pPr>
      <w:r>
        <w:rPr>
          <w:rFonts w:hint="eastAsia" w:ascii="仿宋" w:hAnsi="仿宋" w:eastAsia="仿宋" w:cs="仿宋"/>
          <w:kern w:val="0"/>
          <w:sz w:val="32"/>
          <w:szCs w:val="32"/>
        </w:rPr>
        <w:t>辰溪县审计局</w:t>
      </w:r>
    </w:p>
    <w:p w14:paraId="7AEE6385">
      <w:pPr>
        <w:widowControl/>
        <w:spacing w:line="400" w:lineRule="exact"/>
        <w:jc w:val="left"/>
        <w:rPr>
          <w:rFonts w:ascii="仿宋" w:hAnsi="仿宋" w:eastAsia="仿宋" w:cs="仿宋"/>
          <w:kern w:val="0"/>
          <w:sz w:val="32"/>
          <w:szCs w:val="32"/>
        </w:rPr>
      </w:pPr>
      <w:r>
        <w:rPr>
          <w:rFonts w:hint="eastAsia" w:ascii="仿宋" w:hAnsi="仿宋" w:eastAsia="仿宋" w:cs="仿宋"/>
          <w:kern w:val="0"/>
          <w:sz w:val="32"/>
          <w:szCs w:val="32"/>
        </w:rPr>
        <w:t xml:space="preserve">                                   2024年4月9日</w:t>
      </w:r>
    </w:p>
    <w:p w14:paraId="14F28401">
      <w:pPr>
        <w:pStyle w:val="2"/>
        <w:ind w:left="0" w:leftChars="0"/>
        <w:rPr>
          <w:rFonts w:ascii="仿宋" w:hAnsi="仿宋" w:eastAsia="仿宋" w:cs="仿宋"/>
          <w:kern w:val="0"/>
          <w:sz w:val="32"/>
          <w:szCs w:val="32"/>
        </w:rPr>
      </w:pPr>
    </w:p>
    <w:p w14:paraId="0A8A94DF">
      <w:pPr>
        <w:widowControl/>
        <w:spacing w:line="400" w:lineRule="exact"/>
        <w:jc w:val="left"/>
        <w:rPr>
          <w:rFonts w:ascii="仿宋" w:hAnsi="仿宋" w:eastAsia="仿宋" w:cs="仿宋_GB2312"/>
          <w:kern w:val="0"/>
          <w:sz w:val="28"/>
          <w:szCs w:val="28"/>
        </w:rPr>
      </w:pPr>
    </w:p>
    <w:p w14:paraId="5AEDF00C">
      <w:pPr>
        <w:widowControl/>
        <w:spacing w:line="400" w:lineRule="exact"/>
        <w:jc w:val="left"/>
        <w:rPr>
          <w:rFonts w:ascii="仿宋" w:hAnsi="仿宋" w:eastAsia="仿宋" w:cs="仿宋_GB2312"/>
          <w:kern w:val="0"/>
          <w:sz w:val="28"/>
          <w:szCs w:val="28"/>
        </w:rPr>
      </w:pPr>
      <w:r>
        <w:rPr>
          <w:rFonts w:hint="eastAsia" w:ascii="仿宋" w:hAnsi="仿宋" w:eastAsia="仿宋" w:cs="仿宋_GB2312"/>
          <w:kern w:val="0"/>
          <w:sz w:val="28"/>
          <w:szCs w:val="28"/>
        </w:rPr>
        <w:t>附件</w:t>
      </w:r>
      <w:r>
        <w:rPr>
          <w:rFonts w:ascii="仿宋" w:hAnsi="仿宋" w:eastAsia="仿宋" w:cs="仿宋_GB2312"/>
          <w:kern w:val="0"/>
          <w:sz w:val="28"/>
          <w:szCs w:val="28"/>
        </w:rPr>
        <w:t>2</w:t>
      </w:r>
      <w:r>
        <w:rPr>
          <w:rFonts w:hint="eastAsia" w:ascii="仿宋" w:hAnsi="仿宋" w:eastAsia="仿宋" w:cs="仿宋_GB2312"/>
          <w:kern w:val="0"/>
          <w:sz w:val="28"/>
          <w:szCs w:val="28"/>
        </w:rPr>
        <w:t>：</w:t>
      </w:r>
    </w:p>
    <w:p w14:paraId="62EB32F4">
      <w:pPr>
        <w:widowControl/>
        <w:spacing w:line="600" w:lineRule="atLeast"/>
        <w:jc w:val="center"/>
        <w:rPr>
          <w:rFonts w:ascii="仿宋" w:hAnsi="仿宋" w:eastAsia="仿宋" w:cs="宋体"/>
          <w:kern w:val="0"/>
          <w:sz w:val="28"/>
          <w:szCs w:val="28"/>
        </w:rPr>
      </w:pPr>
      <w:r>
        <w:rPr>
          <w:rFonts w:hint="eastAsia" w:ascii="仿宋" w:hAnsi="仿宋" w:eastAsia="仿宋" w:cs="宋体"/>
          <w:b/>
          <w:color w:val="000000"/>
          <w:kern w:val="0"/>
          <w:sz w:val="28"/>
          <w:szCs w:val="28"/>
        </w:rPr>
        <w:t>部门整体支出绩效评价指标体系评分表</w:t>
      </w:r>
    </w:p>
    <w:tbl>
      <w:tblPr>
        <w:tblStyle w:val="6"/>
        <w:tblW w:w="97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69"/>
        <w:gridCol w:w="1049"/>
        <w:gridCol w:w="709"/>
        <w:gridCol w:w="4536"/>
        <w:gridCol w:w="1899"/>
        <w:gridCol w:w="794"/>
      </w:tblGrid>
      <w:tr w14:paraId="370214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restart"/>
            <w:tcBorders>
              <w:top w:val="single" w:color="000000" w:sz="4" w:space="0"/>
              <w:left w:val="single" w:color="000000" w:sz="4" w:space="0"/>
              <w:bottom w:val="single" w:color="000000" w:sz="4" w:space="0"/>
              <w:right w:val="single" w:color="000000" w:sz="4" w:space="0"/>
            </w:tcBorders>
            <w:vAlign w:val="center"/>
          </w:tcPr>
          <w:p w14:paraId="2AD8175D">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一级指标</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14:paraId="1D6B43B3">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二级指标</w:t>
            </w:r>
          </w:p>
        </w:tc>
        <w:tc>
          <w:tcPr>
            <w:tcW w:w="5245" w:type="dxa"/>
            <w:gridSpan w:val="2"/>
            <w:tcBorders>
              <w:top w:val="single" w:color="000000" w:sz="4" w:space="0"/>
              <w:left w:val="single" w:color="000000" w:sz="4" w:space="0"/>
              <w:bottom w:val="single" w:color="000000" w:sz="4" w:space="0"/>
              <w:right w:val="single" w:color="auto" w:sz="4" w:space="0"/>
            </w:tcBorders>
            <w:vAlign w:val="center"/>
          </w:tcPr>
          <w:p w14:paraId="4503E010">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三级指标</w:t>
            </w:r>
          </w:p>
        </w:tc>
        <w:tc>
          <w:tcPr>
            <w:tcW w:w="1899" w:type="dxa"/>
            <w:vMerge w:val="restart"/>
            <w:tcBorders>
              <w:top w:val="single" w:color="000000" w:sz="4" w:space="0"/>
              <w:left w:val="single" w:color="auto" w:sz="4" w:space="0"/>
              <w:bottom w:val="single" w:color="000000" w:sz="4" w:space="0"/>
              <w:right w:val="single" w:color="auto" w:sz="4" w:space="0"/>
            </w:tcBorders>
            <w:vAlign w:val="center"/>
          </w:tcPr>
          <w:p w14:paraId="60FA321D">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评分标准</w:t>
            </w:r>
          </w:p>
        </w:tc>
        <w:tc>
          <w:tcPr>
            <w:tcW w:w="794" w:type="dxa"/>
            <w:vMerge w:val="restart"/>
            <w:tcBorders>
              <w:top w:val="single" w:color="000000" w:sz="4" w:space="0"/>
              <w:left w:val="single" w:color="auto" w:sz="4" w:space="0"/>
              <w:bottom w:val="single" w:color="000000" w:sz="4" w:space="0"/>
              <w:right w:val="single" w:color="auto" w:sz="4" w:space="0"/>
            </w:tcBorders>
            <w:vAlign w:val="center"/>
          </w:tcPr>
          <w:p w14:paraId="0F0CCD57">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得分</w:t>
            </w:r>
          </w:p>
        </w:tc>
      </w:tr>
      <w:tr w14:paraId="0598FF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top w:val="single" w:color="000000" w:sz="4" w:space="0"/>
              <w:left w:val="single" w:color="000000" w:sz="4" w:space="0"/>
              <w:bottom w:val="single" w:color="000000" w:sz="4" w:space="0"/>
              <w:right w:val="single" w:color="000000" w:sz="4" w:space="0"/>
            </w:tcBorders>
            <w:vAlign w:val="center"/>
          </w:tcPr>
          <w:p w14:paraId="2F8A2416">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14:paraId="5FCD780B">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59AD0EF8">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指标名称</w:t>
            </w:r>
          </w:p>
        </w:tc>
        <w:tc>
          <w:tcPr>
            <w:tcW w:w="4536" w:type="dxa"/>
            <w:tcBorders>
              <w:top w:val="single" w:color="000000" w:sz="4" w:space="0"/>
              <w:left w:val="single" w:color="auto" w:sz="4" w:space="0"/>
              <w:bottom w:val="single" w:color="000000" w:sz="4" w:space="0"/>
              <w:right w:val="single" w:color="auto" w:sz="4" w:space="0"/>
            </w:tcBorders>
            <w:vAlign w:val="center"/>
          </w:tcPr>
          <w:p w14:paraId="3CE2D61D">
            <w:pPr>
              <w:widowControl/>
              <w:spacing w:line="68" w:lineRule="atLeast"/>
              <w:jc w:val="center"/>
              <w:rPr>
                <w:rFonts w:ascii="仿宋" w:hAnsi="仿宋" w:eastAsia="仿宋" w:cs="宋体"/>
                <w:kern w:val="0"/>
                <w:sz w:val="24"/>
                <w:szCs w:val="24"/>
              </w:rPr>
            </w:pPr>
            <w:r>
              <w:rPr>
                <w:rFonts w:ascii="仿宋" w:hAnsi="仿宋" w:eastAsia="仿宋" w:cs="Arial"/>
                <w:b/>
                <w:bCs/>
                <w:kern w:val="0"/>
                <w:sz w:val="24"/>
                <w:szCs w:val="24"/>
              </w:rPr>
              <w:t>指标解释说明</w:t>
            </w:r>
          </w:p>
        </w:tc>
        <w:tc>
          <w:tcPr>
            <w:tcW w:w="1899" w:type="dxa"/>
            <w:vMerge w:val="continue"/>
            <w:tcBorders>
              <w:top w:val="single" w:color="000000" w:sz="4" w:space="0"/>
              <w:left w:val="single" w:color="auto" w:sz="4" w:space="0"/>
              <w:bottom w:val="single" w:color="000000" w:sz="4" w:space="0"/>
              <w:right w:val="single" w:color="auto" w:sz="4" w:space="0"/>
            </w:tcBorders>
            <w:vAlign w:val="center"/>
          </w:tcPr>
          <w:p w14:paraId="67205124">
            <w:pPr>
              <w:widowControl/>
              <w:jc w:val="left"/>
              <w:rPr>
                <w:rFonts w:ascii="仿宋" w:hAnsi="仿宋" w:eastAsia="仿宋" w:cs="宋体"/>
                <w:kern w:val="0"/>
                <w:sz w:val="24"/>
                <w:szCs w:val="24"/>
              </w:rPr>
            </w:pPr>
          </w:p>
        </w:tc>
        <w:tc>
          <w:tcPr>
            <w:tcW w:w="794" w:type="dxa"/>
            <w:vMerge w:val="continue"/>
            <w:tcBorders>
              <w:top w:val="single" w:color="000000" w:sz="4" w:space="0"/>
              <w:left w:val="single" w:color="auto" w:sz="4" w:space="0"/>
              <w:bottom w:val="single" w:color="000000" w:sz="4" w:space="0"/>
              <w:right w:val="single" w:color="auto" w:sz="4" w:space="0"/>
            </w:tcBorders>
            <w:vAlign w:val="center"/>
          </w:tcPr>
          <w:p w14:paraId="71B65A58">
            <w:pPr>
              <w:widowControl/>
              <w:jc w:val="left"/>
              <w:rPr>
                <w:rFonts w:ascii="仿宋" w:hAnsi="仿宋" w:eastAsia="仿宋" w:cs="宋体"/>
                <w:kern w:val="0"/>
                <w:sz w:val="24"/>
                <w:szCs w:val="24"/>
              </w:rPr>
            </w:pPr>
          </w:p>
        </w:tc>
      </w:tr>
      <w:tr w14:paraId="2167C1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1" w:hRule="atLeast"/>
          <w:jc w:val="center"/>
        </w:trPr>
        <w:tc>
          <w:tcPr>
            <w:tcW w:w="769" w:type="dxa"/>
            <w:vMerge w:val="restart"/>
            <w:tcBorders>
              <w:top w:val="single" w:color="000000" w:sz="4" w:space="0"/>
              <w:left w:val="single" w:color="000000" w:sz="4" w:space="0"/>
              <w:right w:val="single" w:color="000000" w:sz="4" w:space="0"/>
            </w:tcBorders>
          </w:tcPr>
          <w:p w14:paraId="2B685475">
            <w:pPr>
              <w:widowControl/>
              <w:spacing w:line="68" w:lineRule="atLeast"/>
              <w:jc w:val="left"/>
              <w:rPr>
                <w:rFonts w:ascii="仿宋" w:hAnsi="仿宋" w:eastAsia="仿宋" w:cs="Arial"/>
                <w:kern w:val="0"/>
                <w:sz w:val="24"/>
                <w:szCs w:val="24"/>
              </w:rPr>
            </w:pPr>
          </w:p>
          <w:p w14:paraId="4149DD22">
            <w:pPr>
              <w:widowControl/>
              <w:spacing w:line="68" w:lineRule="atLeast"/>
              <w:jc w:val="left"/>
              <w:rPr>
                <w:rFonts w:ascii="仿宋" w:hAnsi="仿宋" w:eastAsia="仿宋" w:cs="Arial"/>
                <w:kern w:val="0"/>
                <w:sz w:val="24"/>
                <w:szCs w:val="24"/>
              </w:rPr>
            </w:pPr>
          </w:p>
          <w:p w14:paraId="369B7B09">
            <w:pPr>
              <w:widowControl/>
              <w:spacing w:line="68" w:lineRule="atLeast"/>
              <w:jc w:val="left"/>
              <w:rPr>
                <w:rFonts w:ascii="仿宋" w:hAnsi="仿宋" w:eastAsia="仿宋" w:cs="Arial"/>
                <w:kern w:val="0"/>
                <w:sz w:val="24"/>
                <w:szCs w:val="24"/>
              </w:rPr>
            </w:pPr>
          </w:p>
          <w:p w14:paraId="37A9391E">
            <w:pPr>
              <w:widowControl/>
              <w:spacing w:line="68" w:lineRule="atLeast"/>
              <w:jc w:val="left"/>
              <w:rPr>
                <w:rFonts w:ascii="仿宋" w:hAnsi="仿宋" w:eastAsia="仿宋" w:cs="Arial"/>
                <w:kern w:val="0"/>
                <w:sz w:val="24"/>
                <w:szCs w:val="24"/>
              </w:rPr>
            </w:pPr>
          </w:p>
          <w:p w14:paraId="37BFE742">
            <w:pPr>
              <w:widowControl/>
              <w:spacing w:line="68" w:lineRule="atLeast"/>
              <w:jc w:val="left"/>
              <w:rPr>
                <w:rFonts w:ascii="仿宋" w:hAnsi="仿宋" w:eastAsia="仿宋" w:cs="Arial"/>
                <w:kern w:val="0"/>
                <w:sz w:val="24"/>
                <w:szCs w:val="24"/>
              </w:rPr>
            </w:pPr>
          </w:p>
          <w:p w14:paraId="522EDAD0">
            <w:pPr>
              <w:widowControl/>
              <w:spacing w:line="68" w:lineRule="atLeast"/>
              <w:jc w:val="left"/>
              <w:rPr>
                <w:rFonts w:ascii="仿宋" w:hAnsi="仿宋" w:eastAsia="仿宋" w:cs="Arial"/>
                <w:kern w:val="0"/>
                <w:sz w:val="24"/>
                <w:szCs w:val="24"/>
              </w:rPr>
            </w:pPr>
          </w:p>
          <w:p w14:paraId="4281B4E5">
            <w:pPr>
              <w:widowControl/>
              <w:spacing w:line="68" w:lineRule="atLeast"/>
              <w:jc w:val="left"/>
              <w:rPr>
                <w:rFonts w:ascii="仿宋" w:hAnsi="仿宋" w:eastAsia="仿宋" w:cs="Arial"/>
                <w:kern w:val="0"/>
                <w:sz w:val="24"/>
                <w:szCs w:val="24"/>
              </w:rPr>
            </w:pPr>
          </w:p>
          <w:p w14:paraId="253C1F14">
            <w:pPr>
              <w:widowControl/>
              <w:spacing w:line="68" w:lineRule="atLeast"/>
              <w:jc w:val="left"/>
              <w:rPr>
                <w:rFonts w:ascii="仿宋" w:hAnsi="仿宋" w:eastAsia="仿宋" w:cs="Arial"/>
                <w:kern w:val="0"/>
                <w:sz w:val="24"/>
                <w:szCs w:val="24"/>
              </w:rPr>
            </w:pPr>
          </w:p>
          <w:p w14:paraId="460F2D38">
            <w:pPr>
              <w:widowControl/>
              <w:spacing w:line="68" w:lineRule="atLeast"/>
              <w:jc w:val="left"/>
              <w:rPr>
                <w:rFonts w:ascii="仿宋" w:hAnsi="仿宋" w:eastAsia="仿宋" w:cs="Arial"/>
                <w:kern w:val="0"/>
                <w:sz w:val="24"/>
                <w:szCs w:val="24"/>
              </w:rPr>
            </w:pPr>
          </w:p>
          <w:p w14:paraId="50D8A4B2">
            <w:pPr>
              <w:widowControl/>
              <w:spacing w:line="68" w:lineRule="atLeast"/>
              <w:jc w:val="left"/>
              <w:rPr>
                <w:rFonts w:ascii="仿宋" w:hAnsi="仿宋" w:eastAsia="仿宋" w:cs="Arial"/>
                <w:kern w:val="0"/>
                <w:sz w:val="24"/>
                <w:szCs w:val="24"/>
              </w:rPr>
            </w:pPr>
          </w:p>
          <w:p w14:paraId="0258C6CF">
            <w:pPr>
              <w:widowControl/>
              <w:spacing w:line="68" w:lineRule="atLeast"/>
              <w:jc w:val="left"/>
              <w:rPr>
                <w:rFonts w:ascii="仿宋" w:hAnsi="仿宋" w:eastAsia="仿宋" w:cs="Arial"/>
                <w:kern w:val="0"/>
                <w:sz w:val="24"/>
                <w:szCs w:val="24"/>
              </w:rPr>
            </w:pPr>
            <w:r>
              <w:rPr>
                <w:rFonts w:ascii="仿宋" w:hAnsi="仿宋" w:eastAsia="仿宋" w:cs="Arial"/>
                <w:kern w:val="0"/>
                <w:sz w:val="24"/>
                <w:szCs w:val="24"/>
              </w:rPr>
              <w:t>投入（15</w:t>
            </w:r>
            <w:r>
              <w:rPr>
                <w:rFonts w:hint="eastAsia" w:ascii="仿宋" w:hAnsi="仿宋" w:eastAsia="仿宋" w:cs="Arial"/>
                <w:kern w:val="0"/>
                <w:sz w:val="24"/>
                <w:szCs w:val="24"/>
              </w:rPr>
              <w:t>分</w:t>
            </w:r>
            <w:r>
              <w:rPr>
                <w:rFonts w:ascii="仿宋" w:hAnsi="仿宋" w:eastAsia="仿宋" w:cs="Arial"/>
                <w:kern w:val="0"/>
                <w:sz w:val="24"/>
                <w:szCs w:val="24"/>
              </w:rPr>
              <w:t>）</w:t>
            </w:r>
          </w:p>
          <w:p w14:paraId="35FC1191">
            <w:pPr>
              <w:widowControl/>
              <w:spacing w:line="68" w:lineRule="atLeast"/>
              <w:jc w:val="left"/>
              <w:rPr>
                <w:rFonts w:ascii="仿宋" w:hAnsi="仿宋" w:eastAsia="仿宋" w:cs="Arial"/>
                <w:kern w:val="0"/>
                <w:sz w:val="24"/>
                <w:szCs w:val="24"/>
              </w:rPr>
            </w:pPr>
          </w:p>
          <w:p w14:paraId="19473858">
            <w:pPr>
              <w:widowControl/>
              <w:spacing w:line="68" w:lineRule="atLeast"/>
              <w:jc w:val="left"/>
              <w:rPr>
                <w:rFonts w:ascii="仿宋" w:hAnsi="仿宋" w:eastAsia="仿宋" w:cs="Arial"/>
                <w:kern w:val="0"/>
                <w:sz w:val="24"/>
                <w:szCs w:val="24"/>
              </w:rPr>
            </w:pPr>
          </w:p>
          <w:p w14:paraId="51D12592">
            <w:pPr>
              <w:widowControl/>
              <w:spacing w:line="68" w:lineRule="atLeast"/>
              <w:jc w:val="left"/>
              <w:rPr>
                <w:rFonts w:ascii="仿宋" w:hAnsi="仿宋" w:eastAsia="仿宋" w:cs="Arial"/>
                <w:kern w:val="0"/>
                <w:sz w:val="24"/>
                <w:szCs w:val="24"/>
              </w:rPr>
            </w:pPr>
          </w:p>
          <w:p w14:paraId="393CD26F">
            <w:pPr>
              <w:widowControl/>
              <w:spacing w:line="68" w:lineRule="atLeast"/>
              <w:jc w:val="left"/>
              <w:rPr>
                <w:rFonts w:ascii="仿宋" w:hAnsi="仿宋" w:eastAsia="仿宋" w:cs="Arial"/>
                <w:kern w:val="0"/>
                <w:sz w:val="24"/>
                <w:szCs w:val="24"/>
              </w:rPr>
            </w:pPr>
          </w:p>
          <w:p w14:paraId="71285A2B">
            <w:pPr>
              <w:widowControl/>
              <w:spacing w:line="68" w:lineRule="atLeast"/>
              <w:jc w:val="left"/>
              <w:rPr>
                <w:rFonts w:ascii="仿宋" w:hAnsi="仿宋" w:eastAsia="仿宋" w:cs="Arial"/>
                <w:kern w:val="0"/>
                <w:sz w:val="24"/>
                <w:szCs w:val="24"/>
              </w:rPr>
            </w:pPr>
          </w:p>
          <w:p w14:paraId="35E3C924">
            <w:pPr>
              <w:widowControl/>
              <w:spacing w:line="68" w:lineRule="atLeast"/>
              <w:jc w:val="left"/>
              <w:rPr>
                <w:rFonts w:ascii="仿宋" w:hAnsi="仿宋" w:eastAsia="仿宋" w:cs="Arial"/>
                <w:kern w:val="0"/>
                <w:sz w:val="24"/>
                <w:szCs w:val="24"/>
              </w:rPr>
            </w:pPr>
          </w:p>
          <w:p w14:paraId="290FB5AD">
            <w:pPr>
              <w:widowControl/>
              <w:spacing w:line="68" w:lineRule="atLeast"/>
              <w:jc w:val="left"/>
              <w:rPr>
                <w:rFonts w:ascii="仿宋" w:hAnsi="仿宋" w:eastAsia="仿宋" w:cs="Arial"/>
                <w:kern w:val="0"/>
                <w:sz w:val="24"/>
                <w:szCs w:val="24"/>
              </w:rPr>
            </w:pPr>
          </w:p>
          <w:p w14:paraId="700B2871">
            <w:pPr>
              <w:widowControl/>
              <w:spacing w:line="68" w:lineRule="atLeast"/>
              <w:jc w:val="left"/>
              <w:rPr>
                <w:rFonts w:ascii="仿宋" w:hAnsi="仿宋" w:eastAsia="仿宋" w:cs="Arial"/>
                <w:kern w:val="0"/>
                <w:sz w:val="24"/>
                <w:szCs w:val="24"/>
              </w:rPr>
            </w:pPr>
          </w:p>
          <w:p w14:paraId="4FF1AAA0">
            <w:pPr>
              <w:widowControl/>
              <w:spacing w:line="68" w:lineRule="atLeast"/>
              <w:jc w:val="left"/>
              <w:rPr>
                <w:rFonts w:ascii="仿宋" w:hAnsi="仿宋" w:eastAsia="仿宋" w:cs="Arial"/>
                <w:kern w:val="0"/>
                <w:sz w:val="24"/>
                <w:szCs w:val="24"/>
              </w:rPr>
            </w:pPr>
          </w:p>
          <w:p w14:paraId="6F193FF6">
            <w:pPr>
              <w:widowControl/>
              <w:spacing w:line="68" w:lineRule="atLeast"/>
              <w:jc w:val="left"/>
              <w:rPr>
                <w:rFonts w:ascii="仿宋" w:hAnsi="仿宋" w:eastAsia="仿宋" w:cs="Arial"/>
                <w:kern w:val="0"/>
                <w:sz w:val="24"/>
                <w:szCs w:val="24"/>
              </w:rPr>
            </w:pPr>
          </w:p>
          <w:p w14:paraId="4B64370C">
            <w:pPr>
              <w:widowControl/>
              <w:spacing w:line="68" w:lineRule="atLeast"/>
              <w:jc w:val="left"/>
              <w:rPr>
                <w:rFonts w:ascii="仿宋" w:hAnsi="仿宋" w:eastAsia="仿宋" w:cs="Arial"/>
                <w:kern w:val="0"/>
                <w:sz w:val="24"/>
                <w:szCs w:val="24"/>
              </w:rPr>
            </w:pPr>
          </w:p>
          <w:p w14:paraId="184710C0">
            <w:pPr>
              <w:widowControl/>
              <w:spacing w:line="68" w:lineRule="atLeast"/>
              <w:jc w:val="left"/>
              <w:rPr>
                <w:rFonts w:ascii="仿宋" w:hAnsi="仿宋" w:eastAsia="仿宋" w:cs="Arial"/>
                <w:kern w:val="0"/>
                <w:sz w:val="24"/>
                <w:szCs w:val="24"/>
              </w:rPr>
            </w:pPr>
          </w:p>
          <w:p w14:paraId="4660AD35">
            <w:pPr>
              <w:widowControl/>
              <w:spacing w:line="68" w:lineRule="atLeast"/>
              <w:jc w:val="left"/>
              <w:rPr>
                <w:rFonts w:ascii="仿宋" w:hAnsi="仿宋" w:eastAsia="仿宋" w:cs="Arial"/>
                <w:kern w:val="0"/>
                <w:sz w:val="24"/>
                <w:szCs w:val="24"/>
              </w:rPr>
            </w:pPr>
          </w:p>
          <w:p w14:paraId="2C6D95D5">
            <w:pPr>
              <w:widowControl/>
              <w:spacing w:line="68" w:lineRule="atLeast"/>
              <w:jc w:val="left"/>
              <w:rPr>
                <w:rFonts w:ascii="仿宋" w:hAnsi="仿宋" w:eastAsia="仿宋" w:cs="Arial"/>
                <w:kern w:val="0"/>
                <w:sz w:val="24"/>
                <w:szCs w:val="24"/>
              </w:rPr>
            </w:pPr>
          </w:p>
          <w:p w14:paraId="7F718509">
            <w:pPr>
              <w:widowControl/>
              <w:spacing w:line="68" w:lineRule="atLeast"/>
              <w:jc w:val="left"/>
              <w:rPr>
                <w:rFonts w:ascii="仿宋" w:hAnsi="仿宋" w:eastAsia="仿宋" w:cs="Arial"/>
                <w:kern w:val="0"/>
                <w:sz w:val="24"/>
                <w:szCs w:val="24"/>
              </w:rPr>
            </w:pPr>
          </w:p>
          <w:p w14:paraId="718C7CBE">
            <w:pPr>
              <w:widowControl/>
              <w:spacing w:line="68" w:lineRule="atLeast"/>
              <w:jc w:val="left"/>
              <w:rPr>
                <w:rFonts w:ascii="仿宋" w:hAnsi="仿宋" w:eastAsia="仿宋" w:cs="Arial"/>
                <w:kern w:val="0"/>
                <w:sz w:val="24"/>
                <w:szCs w:val="24"/>
              </w:rPr>
            </w:pPr>
          </w:p>
          <w:p w14:paraId="5D45B86A">
            <w:pPr>
              <w:widowControl/>
              <w:spacing w:line="68" w:lineRule="atLeast"/>
              <w:jc w:val="left"/>
              <w:rPr>
                <w:rFonts w:ascii="仿宋" w:hAnsi="仿宋" w:eastAsia="仿宋" w:cs="Arial"/>
                <w:kern w:val="0"/>
                <w:sz w:val="24"/>
                <w:szCs w:val="24"/>
              </w:rPr>
            </w:pPr>
          </w:p>
          <w:p w14:paraId="6B839BE9">
            <w:pPr>
              <w:widowControl/>
              <w:spacing w:line="68" w:lineRule="atLeast"/>
              <w:jc w:val="left"/>
              <w:rPr>
                <w:rFonts w:ascii="仿宋" w:hAnsi="仿宋" w:eastAsia="仿宋" w:cs="Arial"/>
                <w:kern w:val="0"/>
                <w:sz w:val="24"/>
                <w:szCs w:val="24"/>
              </w:rPr>
            </w:pPr>
          </w:p>
          <w:p w14:paraId="55C23724">
            <w:pPr>
              <w:widowControl/>
              <w:spacing w:line="68" w:lineRule="atLeast"/>
              <w:jc w:val="left"/>
              <w:rPr>
                <w:rFonts w:ascii="仿宋" w:hAnsi="仿宋" w:eastAsia="仿宋" w:cs="Arial"/>
                <w:kern w:val="0"/>
                <w:sz w:val="24"/>
                <w:szCs w:val="24"/>
              </w:rPr>
            </w:pPr>
          </w:p>
          <w:p w14:paraId="6B497972">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投入（15</w:t>
            </w:r>
            <w:r>
              <w:rPr>
                <w:rFonts w:hint="eastAsia" w:ascii="仿宋" w:hAnsi="仿宋" w:eastAsia="仿宋" w:cs="Arial"/>
                <w:kern w:val="0"/>
                <w:sz w:val="24"/>
                <w:szCs w:val="24"/>
              </w:rPr>
              <w:t>分</w:t>
            </w:r>
            <w:r>
              <w:rPr>
                <w:rFonts w:ascii="仿宋" w:hAnsi="仿宋" w:eastAsia="仿宋" w:cs="Arial"/>
                <w:kern w:val="0"/>
                <w:sz w:val="24"/>
                <w:szCs w:val="24"/>
              </w:rPr>
              <w:t>）</w:t>
            </w:r>
          </w:p>
        </w:tc>
        <w:tc>
          <w:tcPr>
            <w:tcW w:w="1049" w:type="dxa"/>
            <w:vMerge w:val="restart"/>
            <w:tcBorders>
              <w:top w:val="single" w:color="000000" w:sz="4" w:space="0"/>
              <w:left w:val="single" w:color="000000" w:sz="4" w:space="0"/>
              <w:right w:val="single" w:color="000000" w:sz="4" w:space="0"/>
            </w:tcBorders>
          </w:tcPr>
          <w:p w14:paraId="1EFAF212">
            <w:pPr>
              <w:widowControl/>
              <w:spacing w:line="240" w:lineRule="exact"/>
              <w:jc w:val="left"/>
              <w:rPr>
                <w:rFonts w:ascii="仿宋" w:hAnsi="仿宋" w:eastAsia="仿宋" w:cs="Arial"/>
                <w:kern w:val="0"/>
                <w:sz w:val="24"/>
                <w:szCs w:val="24"/>
              </w:rPr>
            </w:pPr>
          </w:p>
          <w:p w14:paraId="12D620C6">
            <w:pPr>
              <w:widowControl/>
              <w:spacing w:line="240" w:lineRule="exact"/>
              <w:jc w:val="left"/>
              <w:rPr>
                <w:rFonts w:ascii="仿宋" w:hAnsi="仿宋" w:eastAsia="仿宋" w:cs="Arial"/>
                <w:kern w:val="0"/>
                <w:sz w:val="24"/>
                <w:szCs w:val="24"/>
              </w:rPr>
            </w:pPr>
          </w:p>
          <w:p w14:paraId="4C54C7D8">
            <w:pPr>
              <w:widowControl/>
              <w:spacing w:line="240" w:lineRule="exact"/>
              <w:jc w:val="left"/>
              <w:rPr>
                <w:rFonts w:ascii="仿宋" w:hAnsi="仿宋" w:eastAsia="仿宋" w:cs="Arial"/>
                <w:kern w:val="0"/>
                <w:sz w:val="24"/>
                <w:szCs w:val="24"/>
              </w:rPr>
            </w:pPr>
          </w:p>
          <w:p w14:paraId="4E9F8B81">
            <w:pPr>
              <w:widowControl/>
              <w:spacing w:line="240" w:lineRule="exact"/>
              <w:jc w:val="left"/>
              <w:rPr>
                <w:rFonts w:ascii="仿宋" w:hAnsi="仿宋" w:eastAsia="仿宋" w:cs="Arial"/>
                <w:kern w:val="0"/>
                <w:sz w:val="24"/>
                <w:szCs w:val="24"/>
              </w:rPr>
            </w:pPr>
          </w:p>
          <w:p w14:paraId="165DF94B">
            <w:pPr>
              <w:widowControl/>
              <w:spacing w:line="240" w:lineRule="exact"/>
              <w:jc w:val="left"/>
              <w:rPr>
                <w:rFonts w:ascii="仿宋" w:hAnsi="仿宋" w:eastAsia="仿宋" w:cs="Arial"/>
                <w:kern w:val="0"/>
                <w:sz w:val="24"/>
                <w:szCs w:val="24"/>
              </w:rPr>
            </w:pPr>
          </w:p>
          <w:p w14:paraId="17D5C8DF">
            <w:pPr>
              <w:widowControl/>
              <w:spacing w:line="240" w:lineRule="exact"/>
              <w:jc w:val="left"/>
              <w:rPr>
                <w:rFonts w:ascii="仿宋" w:hAnsi="仿宋" w:eastAsia="仿宋" w:cs="Arial"/>
                <w:kern w:val="0"/>
                <w:sz w:val="24"/>
                <w:szCs w:val="24"/>
              </w:rPr>
            </w:pPr>
          </w:p>
          <w:p w14:paraId="25B2DA16">
            <w:pPr>
              <w:widowControl/>
              <w:spacing w:line="240" w:lineRule="exact"/>
              <w:jc w:val="left"/>
              <w:rPr>
                <w:rFonts w:ascii="仿宋" w:hAnsi="仿宋" w:eastAsia="仿宋" w:cs="Arial"/>
                <w:kern w:val="0"/>
                <w:sz w:val="24"/>
                <w:szCs w:val="24"/>
              </w:rPr>
            </w:pPr>
          </w:p>
          <w:p w14:paraId="7E67A005">
            <w:pPr>
              <w:widowControl/>
              <w:spacing w:line="240" w:lineRule="exact"/>
              <w:jc w:val="left"/>
              <w:rPr>
                <w:rFonts w:ascii="仿宋" w:hAnsi="仿宋" w:eastAsia="仿宋" w:cs="Arial"/>
                <w:kern w:val="0"/>
                <w:sz w:val="24"/>
                <w:szCs w:val="24"/>
              </w:rPr>
            </w:pPr>
          </w:p>
          <w:p w14:paraId="4F96C088">
            <w:pPr>
              <w:widowControl/>
              <w:spacing w:line="240" w:lineRule="exact"/>
              <w:jc w:val="left"/>
              <w:rPr>
                <w:rFonts w:ascii="仿宋" w:hAnsi="仿宋" w:eastAsia="仿宋" w:cs="Arial"/>
                <w:kern w:val="0"/>
                <w:sz w:val="24"/>
                <w:szCs w:val="24"/>
              </w:rPr>
            </w:pPr>
          </w:p>
          <w:p w14:paraId="01F0FFFA">
            <w:pPr>
              <w:widowControl/>
              <w:spacing w:line="240" w:lineRule="exact"/>
              <w:jc w:val="left"/>
              <w:rPr>
                <w:rFonts w:ascii="仿宋" w:hAnsi="仿宋" w:eastAsia="仿宋" w:cs="Arial"/>
                <w:kern w:val="0"/>
                <w:sz w:val="24"/>
                <w:szCs w:val="24"/>
              </w:rPr>
            </w:pPr>
          </w:p>
          <w:p w14:paraId="592C3580">
            <w:pPr>
              <w:widowControl/>
              <w:spacing w:line="240" w:lineRule="exact"/>
              <w:jc w:val="left"/>
              <w:rPr>
                <w:rFonts w:ascii="仿宋" w:hAnsi="仿宋" w:eastAsia="仿宋" w:cs="Arial"/>
                <w:kern w:val="0"/>
                <w:sz w:val="24"/>
                <w:szCs w:val="24"/>
              </w:rPr>
            </w:pPr>
          </w:p>
          <w:p w14:paraId="09D28A21">
            <w:pPr>
              <w:widowControl/>
              <w:spacing w:line="240" w:lineRule="exact"/>
              <w:jc w:val="left"/>
              <w:rPr>
                <w:rFonts w:ascii="仿宋" w:hAnsi="仿宋" w:eastAsia="仿宋" w:cs="Arial"/>
                <w:kern w:val="0"/>
                <w:sz w:val="24"/>
                <w:szCs w:val="24"/>
              </w:rPr>
            </w:pPr>
          </w:p>
          <w:p w14:paraId="5D8835A7">
            <w:pPr>
              <w:widowControl/>
              <w:spacing w:line="240" w:lineRule="exact"/>
              <w:jc w:val="left"/>
              <w:rPr>
                <w:rFonts w:ascii="仿宋" w:hAnsi="仿宋" w:eastAsia="仿宋" w:cs="Arial"/>
                <w:kern w:val="0"/>
                <w:sz w:val="24"/>
                <w:szCs w:val="24"/>
              </w:rPr>
            </w:pPr>
          </w:p>
          <w:p w14:paraId="229F3DED">
            <w:pPr>
              <w:widowControl/>
              <w:spacing w:line="240" w:lineRule="exact"/>
              <w:jc w:val="left"/>
              <w:rPr>
                <w:rFonts w:ascii="仿宋" w:hAnsi="仿宋" w:eastAsia="仿宋" w:cs="宋体"/>
                <w:kern w:val="0"/>
                <w:sz w:val="24"/>
                <w:szCs w:val="24"/>
              </w:rPr>
            </w:pPr>
            <w:r>
              <w:rPr>
                <w:rFonts w:ascii="仿宋" w:hAnsi="仿宋" w:eastAsia="仿宋" w:cs="Arial"/>
                <w:kern w:val="0"/>
                <w:sz w:val="24"/>
                <w:szCs w:val="24"/>
              </w:rPr>
              <w:t>目标设定</w:t>
            </w:r>
          </w:p>
          <w:p w14:paraId="00D724F2">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w:t>
            </w:r>
            <w:r>
              <w:rPr>
                <w:rFonts w:hint="eastAsia" w:ascii="仿宋" w:hAnsi="仿宋" w:eastAsia="仿宋" w:cs="Arial"/>
                <w:kern w:val="0"/>
                <w:sz w:val="24"/>
                <w:szCs w:val="24"/>
              </w:rPr>
              <w:t>5分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auto" w:sz="4" w:space="0"/>
              <w:right w:val="single" w:color="auto" w:sz="4" w:space="0"/>
            </w:tcBorders>
          </w:tcPr>
          <w:p w14:paraId="49965938">
            <w:pPr>
              <w:widowControl/>
              <w:spacing w:line="68" w:lineRule="atLeast"/>
              <w:jc w:val="left"/>
              <w:rPr>
                <w:rFonts w:ascii="仿宋" w:hAnsi="仿宋" w:eastAsia="仿宋" w:cs="宋体"/>
                <w:kern w:val="0"/>
                <w:szCs w:val="21"/>
              </w:rPr>
            </w:pPr>
            <w:r>
              <w:rPr>
                <w:rFonts w:ascii="仿宋" w:hAnsi="仿宋" w:eastAsia="仿宋" w:cs="Arial"/>
                <w:kern w:val="0"/>
                <w:szCs w:val="21"/>
              </w:rPr>
              <w:t>职责明确（</w:t>
            </w:r>
            <w:r>
              <w:rPr>
                <w:rFonts w:hint="eastAsia" w:ascii="仿宋" w:hAnsi="仿宋" w:eastAsia="仿宋" w:cs="Arial"/>
                <w:kern w:val="0"/>
                <w:szCs w:val="21"/>
              </w:rPr>
              <w:t>1分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tcPr>
          <w:p w14:paraId="7A725E66">
            <w:pPr>
              <w:widowControl/>
              <w:spacing w:line="68" w:lineRule="atLeast"/>
              <w:jc w:val="left"/>
              <w:rPr>
                <w:rFonts w:ascii="仿宋" w:hAnsi="仿宋" w:eastAsia="仿宋" w:cs="宋体"/>
                <w:kern w:val="0"/>
                <w:szCs w:val="21"/>
              </w:rPr>
            </w:pPr>
            <w:r>
              <w:rPr>
                <w:rFonts w:ascii="仿宋" w:hAnsi="仿宋" w:eastAsia="仿宋" w:cs="Arial"/>
                <w:kern w:val="0"/>
                <w:szCs w:val="21"/>
              </w:rPr>
              <w:t>部门的职责设定是否符合“三定”方案中所赋予的职责</w:t>
            </w:r>
            <w:r>
              <w:rPr>
                <w:rFonts w:hint="eastAsia" w:ascii="仿宋" w:hAnsi="仿宋" w:eastAsia="仿宋" w:cs="Arial"/>
                <w:kern w:val="0"/>
                <w:szCs w:val="21"/>
              </w:rPr>
              <w:t>和年度承担的重点工作</w:t>
            </w:r>
            <w:r>
              <w:rPr>
                <w:rFonts w:ascii="仿宋" w:hAnsi="仿宋" w:eastAsia="仿宋" w:cs="Arial"/>
                <w:kern w:val="0"/>
                <w:szCs w:val="21"/>
              </w:rPr>
              <w:t>，用以反映和评价部门工作的目的性与计划性。</w:t>
            </w:r>
          </w:p>
        </w:tc>
        <w:tc>
          <w:tcPr>
            <w:tcW w:w="1899" w:type="dxa"/>
            <w:tcBorders>
              <w:top w:val="single" w:color="000000" w:sz="4" w:space="0"/>
              <w:left w:val="single" w:color="auto" w:sz="4" w:space="0"/>
              <w:bottom w:val="single" w:color="auto" w:sz="4" w:space="0"/>
              <w:right w:val="single" w:color="auto" w:sz="4" w:space="0"/>
            </w:tcBorders>
          </w:tcPr>
          <w:p w14:paraId="402E0346">
            <w:pPr>
              <w:widowControl/>
              <w:spacing w:line="240" w:lineRule="exact"/>
              <w:jc w:val="left"/>
              <w:rPr>
                <w:rFonts w:ascii="仿宋" w:hAnsi="仿宋" w:eastAsia="仿宋" w:cs="宋体"/>
                <w:kern w:val="0"/>
                <w:szCs w:val="21"/>
              </w:rPr>
            </w:pPr>
            <w:r>
              <w:rPr>
                <w:rFonts w:ascii="仿宋" w:hAnsi="仿宋" w:eastAsia="仿宋" w:cs="Arial"/>
                <w:kern w:val="0"/>
                <w:szCs w:val="21"/>
              </w:rPr>
              <w:t>符合（</w:t>
            </w:r>
            <w:r>
              <w:rPr>
                <w:rFonts w:hint="eastAsia" w:ascii="仿宋" w:hAnsi="仿宋" w:eastAsia="仿宋" w:cs="Arial"/>
                <w:kern w:val="0"/>
                <w:szCs w:val="21"/>
              </w:rPr>
              <w:t>1分</w:t>
            </w:r>
            <w:r>
              <w:rPr>
                <w:rFonts w:ascii="仿宋" w:hAnsi="仿宋" w:eastAsia="仿宋" w:cs="Arial"/>
                <w:kern w:val="0"/>
                <w:szCs w:val="21"/>
              </w:rPr>
              <w:t>）；</w:t>
            </w:r>
          </w:p>
          <w:p w14:paraId="6B12D1C3">
            <w:pPr>
              <w:widowControl/>
              <w:spacing w:line="68" w:lineRule="atLeast"/>
              <w:jc w:val="left"/>
              <w:rPr>
                <w:rFonts w:ascii="仿宋" w:hAnsi="仿宋" w:eastAsia="仿宋" w:cs="宋体"/>
                <w:kern w:val="0"/>
                <w:szCs w:val="21"/>
              </w:rPr>
            </w:pPr>
            <w:r>
              <w:rPr>
                <w:rFonts w:ascii="仿宋" w:hAnsi="仿宋" w:eastAsia="仿宋" w:cs="Arial"/>
                <w:kern w:val="0"/>
                <w:szCs w:val="21"/>
              </w:rPr>
              <w:t>不符合（</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vAlign w:val="center"/>
          </w:tcPr>
          <w:p w14:paraId="10F75D6C">
            <w:pPr>
              <w:widowControl/>
              <w:spacing w:line="68" w:lineRule="atLeast"/>
              <w:jc w:val="center"/>
              <w:rPr>
                <w:rFonts w:ascii="仿宋" w:hAnsi="仿宋" w:eastAsia="仿宋" w:cs="宋体"/>
                <w:kern w:val="0"/>
                <w:sz w:val="24"/>
                <w:szCs w:val="24"/>
              </w:rPr>
            </w:pPr>
            <w:r>
              <w:rPr>
                <w:rFonts w:hint="eastAsia" w:ascii="宋体" w:hAnsi="宋体" w:eastAsia="仿宋" w:cs="Arial"/>
                <w:kern w:val="0"/>
                <w:sz w:val="20"/>
                <w:szCs w:val="24"/>
              </w:rPr>
              <w:t>1</w:t>
            </w:r>
          </w:p>
        </w:tc>
      </w:tr>
      <w:tr w14:paraId="1396E4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19" w:hRule="atLeast"/>
          <w:jc w:val="center"/>
        </w:trPr>
        <w:tc>
          <w:tcPr>
            <w:tcW w:w="769" w:type="dxa"/>
            <w:vMerge w:val="continue"/>
            <w:tcBorders>
              <w:left w:val="single" w:color="000000" w:sz="4" w:space="0"/>
              <w:right w:val="single" w:color="000000" w:sz="4" w:space="0"/>
            </w:tcBorders>
            <w:vAlign w:val="center"/>
          </w:tcPr>
          <w:p w14:paraId="4B5343CC">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14:paraId="4782CF31">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14:paraId="00AAA178">
            <w:pPr>
              <w:widowControl/>
              <w:spacing w:line="68" w:lineRule="atLeast"/>
              <w:jc w:val="left"/>
              <w:rPr>
                <w:rFonts w:ascii="仿宋" w:hAnsi="仿宋" w:eastAsia="仿宋" w:cs="宋体"/>
                <w:kern w:val="0"/>
                <w:szCs w:val="21"/>
              </w:rPr>
            </w:pPr>
            <w:r>
              <w:rPr>
                <w:rFonts w:ascii="仿宋" w:hAnsi="仿宋" w:eastAsia="仿宋" w:cs="Arial"/>
                <w:kern w:val="0"/>
                <w:szCs w:val="21"/>
              </w:rPr>
              <w:t>活动合规性（</w:t>
            </w:r>
            <w:r>
              <w:rPr>
                <w:rFonts w:hint="eastAsia" w:ascii="仿宋" w:hAnsi="仿宋" w:eastAsia="仿宋" w:cs="Arial"/>
                <w:kern w:val="0"/>
                <w:szCs w:val="21"/>
              </w:rPr>
              <w:t>1分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14:paraId="7F5625DE">
            <w:pPr>
              <w:widowControl/>
              <w:spacing w:line="240" w:lineRule="exact"/>
              <w:jc w:val="left"/>
              <w:rPr>
                <w:rFonts w:ascii="仿宋" w:hAnsi="仿宋" w:eastAsia="仿宋" w:cs="宋体"/>
                <w:kern w:val="0"/>
                <w:szCs w:val="21"/>
              </w:rPr>
            </w:pPr>
            <w:r>
              <w:rPr>
                <w:rFonts w:ascii="仿宋" w:hAnsi="仿宋" w:eastAsia="仿宋" w:cs="Arial"/>
                <w:kern w:val="0"/>
                <w:szCs w:val="21"/>
              </w:rPr>
              <w:t>部门的活动是否在职责范围之内并符合部门中长期规划，用以反映和评价部门活动目标与部门履职、年度工作任务的相符性情况。</w:t>
            </w:r>
          </w:p>
          <w:p w14:paraId="0D8AD4C4">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14:paraId="2BBA5541">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部门活动的设定在部门所确定的职责范围之内；</w:t>
            </w:r>
          </w:p>
          <w:p w14:paraId="3CD50326">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部门活动符合</w:t>
            </w:r>
            <w:r>
              <w:rPr>
                <w:rFonts w:hint="eastAsia" w:ascii="仿宋" w:hAnsi="仿宋" w:eastAsia="仿宋" w:cs="Arial"/>
                <w:kern w:val="0"/>
                <w:szCs w:val="21"/>
              </w:rPr>
              <w:t>县</w:t>
            </w:r>
            <w:r>
              <w:rPr>
                <w:rFonts w:ascii="仿宋" w:hAnsi="仿宋" w:eastAsia="仿宋" w:cs="Arial"/>
                <w:kern w:val="0"/>
                <w:szCs w:val="21"/>
              </w:rPr>
              <w:t>委、</w:t>
            </w:r>
            <w:r>
              <w:rPr>
                <w:rFonts w:hint="eastAsia" w:ascii="仿宋" w:hAnsi="仿宋" w:eastAsia="仿宋" w:cs="Arial"/>
                <w:kern w:val="0"/>
                <w:szCs w:val="21"/>
              </w:rPr>
              <w:t>县</w:t>
            </w:r>
            <w:r>
              <w:rPr>
                <w:rFonts w:ascii="仿宋" w:hAnsi="仿宋" w:eastAsia="仿宋" w:cs="Arial"/>
                <w:kern w:val="0"/>
                <w:szCs w:val="21"/>
              </w:rPr>
              <w:t>政府的发展规划及本部门的年度工作安排与发展规划。</w:t>
            </w:r>
          </w:p>
        </w:tc>
        <w:tc>
          <w:tcPr>
            <w:tcW w:w="1899" w:type="dxa"/>
            <w:tcBorders>
              <w:top w:val="single" w:color="000000" w:sz="4" w:space="0"/>
              <w:left w:val="single" w:color="auto" w:sz="4" w:space="0"/>
              <w:bottom w:val="single" w:color="auto" w:sz="4" w:space="0"/>
              <w:right w:val="single" w:color="auto" w:sz="4" w:space="0"/>
            </w:tcBorders>
            <w:vAlign w:val="center"/>
          </w:tcPr>
          <w:p w14:paraId="4FC0D50C">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1分</w:t>
            </w:r>
            <w:r>
              <w:rPr>
                <w:rFonts w:ascii="仿宋" w:hAnsi="仿宋" w:eastAsia="仿宋" w:cs="Arial"/>
                <w:kern w:val="0"/>
                <w:szCs w:val="21"/>
              </w:rPr>
              <w:t>）；</w:t>
            </w:r>
          </w:p>
          <w:p w14:paraId="65F8361E">
            <w:pPr>
              <w:widowControl/>
              <w:spacing w:line="68" w:lineRule="atLeast"/>
              <w:jc w:val="left"/>
              <w:rPr>
                <w:rFonts w:ascii="仿宋" w:hAnsi="仿宋" w:eastAsia="仿宋" w:cs="宋体"/>
                <w:kern w:val="0"/>
                <w:szCs w:val="21"/>
              </w:rPr>
            </w:pPr>
            <w:r>
              <w:rPr>
                <w:rFonts w:ascii="仿宋" w:hAnsi="仿宋" w:eastAsia="仿宋" w:cs="Arial"/>
                <w:kern w:val="0"/>
                <w:szCs w:val="21"/>
              </w:rPr>
              <w:t>其中一项不符合（</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vAlign w:val="center"/>
          </w:tcPr>
          <w:p w14:paraId="43D49802">
            <w:pPr>
              <w:widowControl/>
              <w:spacing w:line="68" w:lineRule="atLeast"/>
              <w:jc w:val="center"/>
              <w:rPr>
                <w:rFonts w:ascii="仿宋" w:hAnsi="仿宋" w:eastAsia="仿宋" w:cs="宋体"/>
                <w:kern w:val="0"/>
                <w:sz w:val="24"/>
                <w:szCs w:val="24"/>
              </w:rPr>
            </w:pPr>
            <w:r>
              <w:rPr>
                <w:rFonts w:hint="eastAsia" w:ascii="仿宋" w:hAnsi="仿宋" w:eastAsia="仿宋" w:cs="宋体"/>
                <w:kern w:val="0"/>
                <w:sz w:val="24"/>
                <w:szCs w:val="24"/>
              </w:rPr>
              <w:t>1</w:t>
            </w:r>
          </w:p>
        </w:tc>
      </w:tr>
      <w:tr w14:paraId="1C5687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jc w:val="center"/>
        </w:trPr>
        <w:tc>
          <w:tcPr>
            <w:tcW w:w="769" w:type="dxa"/>
            <w:vMerge w:val="continue"/>
            <w:tcBorders>
              <w:left w:val="single" w:color="000000" w:sz="4" w:space="0"/>
              <w:right w:val="single" w:color="000000" w:sz="4" w:space="0"/>
            </w:tcBorders>
            <w:vAlign w:val="center"/>
          </w:tcPr>
          <w:p w14:paraId="228D8153">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14:paraId="546B2839">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14:paraId="17A80295">
            <w:pPr>
              <w:widowControl/>
              <w:spacing w:line="68" w:lineRule="atLeast"/>
              <w:jc w:val="left"/>
              <w:rPr>
                <w:rFonts w:ascii="仿宋" w:hAnsi="仿宋" w:eastAsia="仿宋" w:cs="宋体"/>
                <w:kern w:val="0"/>
                <w:szCs w:val="21"/>
              </w:rPr>
            </w:pPr>
            <w:r>
              <w:rPr>
                <w:rFonts w:ascii="仿宋" w:hAnsi="仿宋" w:eastAsia="仿宋" w:cs="Arial"/>
                <w:kern w:val="0"/>
                <w:szCs w:val="21"/>
              </w:rPr>
              <w:t>活动合理性（</w:t>
            </w:r>
            <w:r>
              <w:rPr>
                <w:rFonts w:hint="eastAsia" w:ascii="仿宋" w:hAnsi="仿宋" w:eastAsia="仿宋" w:cs="Arial"/>
                <w:kern w:val="0"/>
                <w:szCs w:val="21"/>
              </w:rPr>
              <w:t>1分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14:paraId="04D9B958">
            <w:pPr>
              <w:widowControl/>
              <w:spacing w:line="240" w:lineRule="exact"/>
              <w:jc w:val="left"/>
              <w:rPr>
                <w:rFonts w:ascii="仿宋" w:hAnsi="仿宋" w:eastAsia="仿宋" w:cs="宋体"/>
                <w:kern w:val="0"/>
                <w:szCs w:val="21"/>
              </w:rPr>
            </w:pPr>
            <w:r>
              <w:rPr>
                <w:rFonts w:ascii="仿宋" w:hAnsi="仿宋" w:eastAsia="仿宋" w:cs="Arial"/>
                <w:kern w:val="0"/>
                <w:szCs w:val="21"/>
              </w:rPr>
              <w:t>部门所设立的活动是否明确合理、活动的关键性指标设置是否可衡量，用以反映和评价部门活动目标设定的合理性。</w:t>
            </w:r>
          </w:p>
          <w:p w14:paraId="3C924FBB">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14:paraId="589AB3CD">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活动目标的设定是可量化的，可通过清晰、可衡量的关键指标值予以体现；</w:t>
            </w:r>
          </w:p>
          <w:p w14:paraId="5BEC3E97">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在活动目标设定时，将关键指标明细分解为具体的达成目标与工作任务。</w:t>
            </w:r>
          </w:p>
        </w:tc>
        <w:tc>
          <w:tcPr>
            <w:tcW w:w="1899" w:type="dxa"/>
            <w:tcBorders>
              <w:top w:val="single" w:color="000000" w:sz="4" w:space="0"/>
              <w:left w:val="single" w:color="auto" w:sz="4" w:space="0"/>
              <w:bottom w:val="single" w:color="auto" w:sz="4" w:space="0"/>
              <w:right w:val="single" w:color="auto" w:sz="4" w:space="0"/>
            </w:tcBorders>
            <w:vAlign w:val="center"/>
          </w:tcPr>
          <w:p w14:paraId="19CD79D2">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1分</w:t>
            </w:r>
            <w:r>
              <w:rPr>
                <w:rFonts w:ascii="仿宋" w:hAnsi="仿宋" w:eastAsia="仿宋" w:cs="Arial"/>
                <w:kern w:val="0"/>
                <w:szCs w:val="21"/>
              </w:rPr>
              <w:t>）；</w:t>
            </w:r>
          </w:p>
          <w:p w14:paraId="1730C8DA">
            <w:pPr>
              <w:widowControl/>
              <w:spacing w:line="68" w:lineRule="atLeast"/>
              <w:jc w:val="left"/>
              <w:rPr>
                <w:rFonts w:ascii="仿宋" w:hAnsi="仿宋" w:eastAsia="仿宋" w:cs="宋体"/>
                <w:kern w:val="0"/>
                <w:szCs w:val="21"/>
              </w:rPr>
            </w:pPr>
            <w:r>
              <w:rPr>
                <w:rFonts w:ascii="仿宋" w:hAnsi="仿宋" w:eastAsia="仿宋" w:cs="Arial"/>
                <w:kern w:val="0"/>
                <w:szCs w:val="21"/>
              </w:rPr>
              <w:t>其中一项不符合（</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vAlign w:val="center"/>
          </w:tcPr>
          <w:p w14:paraId="03AC3462">
            <w:pPr>
              <w:widowControl/>
              <w:spacing w:line="68" w:lineRule="atLeast"/>
              <w:jc w:val="center"/>
              <w:rPr>
                <w:rFonts w:ascii="仿宋" w:hAnsi="仿宋" w:eastAsia="仿宋" w:cs="宋体"/>
                <w:kern w:val="0"/>
                <w:sz w:val="24"/>
                <w:szCs w:val="24"/>
              </w:rPr>
            </w:pPr>
            <w:r>
              <w:rPr>
                <w:rFonts w:hint="eastAsia" w:ascii="仿宋" w:hAnsi="仿宋" w:eastAsia="仿宋" w:cs="宋体"/>
                <w:kern w:val="0"/>
                <w:sz w:val="24"/>
                <w:szCs w:val="24"/>
              </w:rPr>
              <w:t>1</w:t>
            </w:r>
          </w:p>
        </w:tc>
      </w:tr>
      <w:tr w14:paraId="4E25D4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34" w:hRule="atLeast"/>
          <w:jc w:val="center"/>
        </w:trPr>
        <w:tc>
          <w:tcPr>
            <w:tcW w:w="769" w:type="dxa"/>
            <w:vMerge w:val="continue"/>
            <w:tcBorders>
              <w:left w:val="single" w:color="000000" w:sz="4" w:space="0"/>
              <w:right w:val="single" w:color="000000" w:sz="4" w:space="0"/>
            </w:tcBorders>
            <w:vAlign w:val="center"/>
          </w:tcPr>
          <w:p w14:paraId="761DE4A3">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14:paraId="52A65542">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14:paraId="7896DE15">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目标覆盖率（1分）</w:t>
            </w:r>
          </w:p>
        </w:tc>
        <w:tc>
          <w:tcPr>
            <w:tcW w:w="4536" w:type="dxa"/>
            <w:tcBorders>
              <w:top w:val="single" w:color="000000" w:sz="4" w:space="0"/>
              <w:left w:val="single" w:color="auto" w:sz="4" w:space="0"/>
              <w:bottom w:val="single" w:color="auto" w:sz="4" w:space="0"/>
              <w:right w:val="single" w:color="auto" w:sz="4" w:space="0"/>
            </w:tcBorders>
            <w:vAlign w:val="center"/>
          </w:tcPr>
          <w:p w14:paraId="549D3495">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部门年度申报绩效目标项目资金额与部门项目预算资金总额的比率，用以反映部门落实财政部门绩效目标申报要求的资金覆盖情况。</w:t>
            </w:r>
          </w:p>
          <w:p w14:paraId="011D72E8">
            <w:pPr>
              <w:widowControl/>
              <w:spacing w:line="240" w:lineRule="exact"/>
              <w:jc w:val="left"/>
              <w:rPr>
                <w:rFonts w:ascii="仿宋" w:hAnsi="仿宋" w:eastAsia="仿宋" w:cs="Arial"/>
                <w:kern w:val="0"/>
                <w:szCs w:val="21"/>
              </w:rPr>
            </w:pPr>
            <w:r>
              <w:rPr>
                <w:rFonts w:hint="eastAsia" w:ascii="仿宋" w:hAnsi="仿宋" w:eastAsia="仿宋" w:cs="Arial"/>
                <w:kern w:val="0"/>
                <w:szCs w:val="21"/>
              </w:rPr>
              <w:t>覆盖率=实际申报绩效目标项目资金总额/部门项目预算资金总额×100%</w:t>
            </w:r>
          </w:p>
        </w:tc>
        <w:tc>
          <w:tcPr>
            <w:tcW w:w="1899" w:type="dxa"/>
            <w:tcBorders>
              <w:top w:val="single" w:color="000000" w:sz="4" w:space="0"/>
              <w:left w:val="single" w:color="auto" w:sz="4" w:space="0"/>
              <w:bottom w:val="single" w:color="auto" w:sz="4" w:space="0"/>
              <w:right w:val="single" w:color="auto" w:sz="4" w:space="0"/>
            </w:tcBorders>
            <w:vAlign w:val="center"/>
          </w:tcPr>
          <w:p w14:paraId="3070EB37">
            <w:pPr>
              <w:widowControl/>
              <w:spacing w:line="240" w:lineRule="exact"/>
              <w:jc w:val="left"/>
              <w:rPr>
                <w:rFonts w:ascii="仿宋" w:hAnsi="仿宋" w:eastAsia="仿宋" w:cs="Arial"/>
                <w:kern w:val="0"/>
                <w:szCs w:val="21"/>
              </w:rPr>
            </w:pPr>
            <w:r>
              <w:rPr>
                <w:rFonts w:hint="eastAsia" w:ascii="仿宋" w:hAnsi="仿宋" w:eastAsia="仿宋" w:cs="Arial"/>
                <w:kern w:val="0"/>
                <w:szCs w:val="21"/>
              </w:rPr>
              <w:t>达到目标值得1分，未达到目标值</w:t>
            </w:r>
            <w:r>
              <w:rPr>
                <w:rFonts w:hint="eastAsia" w:ascii="仿宋" w:hAnsi="仿宋" w:eastAsia="仿宋" w:cs="宋体"/>
                <w:kern w:val="0"/>
                <w:szCs w:val="21"/>
              </w:rPr>
              <w:t>采用完成比率法计分：</w:t>
            </w:r>
            <w:r>
              <w:rPr>
                <w:rFonts w:hint="eastAsia" w:ascii="仿宋" w:hAnsi="仿宋" w:eastAsia="仿宋" w:cs="Arial"/>
                <w:kern w:val="0"/>
                <w:szCs w:val="21"/>
              </w:rPr>
              <w:t>得分=覆盖率/目标值</w:t>
            </w:r>
            <w:r>
              <w:rPr>
                <w:rFonts w:ascii="仿宋" w:hAnsi="仿宋" w:eastAsia="仿宋" w:cs="Arial"/>
                <w:kern w:val="0"/>
                <w:szCs w:val="21"/>
              </w:rPr>
              <w:t>×</w:t>
            </w:r>
            <w:r>
              <w:rPr>
                <w:rFonts w:hint="eastAsia" w:ascii="仿宋" w:hAnsi="仿宋" w:eastAsia="仿宋" w:cs="Arial"/>
                <w:kern w:val="0"/>
                <w:szCs w:val="21"/>
              </w:rPr>
              <w:t>1，超过目标值不加分。</w:t>
            </w:r>
          </w:p>
        </w:tc>
        <w:tc>
          <w:tcPr>
            <w:tcW w:w="794" w:type="dxa"/>
            <w:tcBorders>
              <w:top w:val="single" w:color="000000" w:sz="4" w:space="0"/>
              <w:left w:val="single" w:color="auto" w:sz="4" w:space="0"/>
              <w:bottom w:val="single" w:color="auto" w:sz="4" w:space="0"/>
              <w:right w:val="single" w:color="000000" w:sz="4" w:space="0"/>
            </w:tcBorders>
            <w:vAlign w:val="center"/>
          </w:tcPr>
          <w:p w14:paraId="30127559">
            <w:pPr>
              <w:widowControl/>
              <w:spacing w:line="68" w:lineRule="atLeast"/>
              <w:jc w:val="center"/>
              <w:rPr>
                <w:rFonts w:ascii="宋体" w:hAnsi="宋体" w:eastAsia="仿宋" w:cs="Arial"/>
                <w:kern w:val="0"/>
                <w:sz w:val="20"/>
                <w:szCs w:val="24"/>
              </w:rPr>
            </w:pPr>
            <w:r>
              <w:rPr>
                <w:rFonts w:hint="eastAsia" w:ascii="宋体" w:hAnsi="宋体" w:eastAsia="仿宋" w:cs="Arial"/>
                <w:kern w:val="0"/>
                <w:sz w:val="20"/>
                <w:szCs w:val="24"/>
              </w:rPr>
              <w:t>1</w:t>
            </w:r>
          </w:p>
        </w:tc>
      </w:tr>
      <w:tr w14:paraId="5BA13B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2" w:hRule="atLeast"/>
          <w:jc w:val="center"/>
        </w:trPr>
        <w:tc>
          <w:tcPr>
            <w:tcW w:w="769" w:type="dxa"/>
            <w:vMerge w:val="continue"/>
            <w:tcBorders>
              <w:left w:val="single" w:color="000000" w:sz="4" w:space="0"/>
              <w:right w:val="single" w:color="000000" w:sz="4" w:space="0"/>
            </w:tcBorders>
            <w:vAlign w:val="center"/>
          </w:tcPr>
          <w:p w14:paraId="5EDD3246">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14:paraId="0F6E25F9">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14:paraId="1E126E93">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目标管理创新（1分）</w:t>
            </w:r>
          </w:p>
        </w:tc>
        <w:tc>
          <w:tcPr>
            <w:tcW w:w="4536" w:type="dxa"/>
            <w:tcBorders>
              <w:top w:val="single" w:color="000000" w:sz="4" w:space="0"/>
              <w:left w:val="single" w:color="auto" w:sz="4" w:space="0"/>
              <w:bottom w:val="single" w:color="auto" w:sz="4" w:space="0"/>
              <w:right w:val="single" w:color="auto" w:sz="4" w:space="0"/>
            </w:tcBorders>
            <w:vAlign w:val="center"/>
          </w:tcPr>
          <w:p w14:paraId="7E0D9DA5">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部门编报整体绩效目标和申报项目绩效目标的数量超过规定的要求。用以反映和考核部门绩效目标管理创新工作情况。</w:t>
            </w:r>
          </w:p>
          <w:p w14:paraId="274CD9EC">
            <w:pPr>
              <w:widowControl/>
              <w:spacing w:line="240" w:lineRule="exact"/>
              <w:jc w:val="left"/>
              <w:rPr>
                <w:rFonts w:ascii="仿宋" w:hAnsi="仿宋" w:eastAsia="仿宋" w:cs="Arial"/>
                <w:kern w:val="0"/>
                <w:szCs w:val="21"/>
              </w:rPr>
            </w:pPr>
            <w:r>
              <w:rPr>
                <w:rFonts w:hint="eastAsia" w:ascii="仿宋" w:hAnsi="仿宋" w:eastAsia="仿宋" w:cs="Arial"/>
                <w:kern w:val="0"/>
                <w:szCs w:val="21"/>
              </w:rPr>
              <w:t>项目绩效目标创新=部门绩效目标编报数量-按财政部门要求的绩效目标填报数量</w:t>
            </w:r>
          </w:p>
        </w:tc>
        <w:tc>
          <w:tcPr>
            <w:tcW w:w="1899" w:type="dxa"/>
            <w:tcBorders>
              <w:top w:val="single" w:color="000000" w:sz="4" w:space="0"/>
              <w:left w:val="single" w:color="auto" w:sz="4" w:space="0"/>
              <w:bottom w:val="single" w:color="auto" w:sz="4" w:space="0"/>
              <w:right w:val="single" w:color="auto" w:sz="4" w:space="0"/>
            </w:tcBorders>
            <w:vAlign w:val="center"/>
          </w:tcPr>
          <w:p w14:paraId="3E0CC7D5">
            <w:pPr>
              <w:widowControl/>
              <w:spacing w:line="240" w:lineRule="exact"/>
              <w:jc w:val="left"/>
              <w:rPr>
                <w:rFonts w:ascii="仿宋" w:hAnsi="仿宋" w:eastAsia="仿宋" w:cs="Arial"/>
                <w:kern w:val="0"/>
                <w:szCs w:val="21"/>
              </w:rPr>
            </w:pPr>
            <w:r>
              <w:rPr>
                <w:rFonts w:hint="eastAsia" w:ascii="仿宋" w:hAnsi="仿宋" w:eastAsia="仿宋" w:cs="Arial"/>
                <w:kern w:val="0"/>
                <w:szCs w:val="21"/>
              </w:rPr>
              <w:t>每超过1项得0.1分，满分1分。</w:t>
            </w:r>
          </w:p>
        </w:tc>
        <w:tc>
          <w:tcPr>
            <w:tcW w:w="794" w:type="dxa"/>
            <w:tcBorders>
              <w:top w:val="single" w:color="000000" w:sz="4" w:space="0"/>
              <w:left w:val="single" w:color="auto" w:sz="4" w:space="0"/>
              <w:bottom w:val="single" w:color="auto" w:sz="4" w:space="0"/>
              <w:right w:val="single" w:color="000000" w:sz="4" w:space="0"/>
            </w:tcBorders>
            <w:vAlign w:val="center"/>
          </w:tcPr>
          <w:p w14:paraId="5C96D578">
            <w:pPr>
              <w:widowControl/>
              <w:spacing w:line="68" w:lineRule="atLeast"/>
              <w:jc w:val="center"/>
              <w:rPr>
                <w:rFonts w:ascii="宋体" w:hAnsi="宋体" w:eastAsia="仿宋" w:cs="Arial"/>
                <w:kern w:val="0"/>
                <w:sz w:val="20"/>
                <w:szCs w:val="24"/>
              </w:rPr>
            </w:pPr>
            <w:r>
              <w:rPr>
                <w:rFonts w:hint="eastAsia" w:ascii="宋体" w:hAnsi="宋体" w:eastAsia="仿宋" w:cs="Arial"/>
                <w:kern w:val="0"/>
                <w:sz w:val="20"/>
                <w:szCs w:val="24"/>
              </w:rPr>
              <w:t>1</w:t>
            </w:r>
          </w:p>
        </w:tc>
      </w:tr>
      <w:tr w14:paraId="604C63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93" w:hRule="atLeast"/>
          <w:jc w:val="center"/>
        </w:trPr>
        <w:tc>
          <w:tcPr>
            <w:tcW w:w="769" w:type="dxa"/>
            <w:vMerge w:val="continue"/>
            <w:tcBorders>
              <w:left w:val="single" w:color="000000" w:sz="4" w:space="0"/>
              <w:right w:val="single" w:color="000000" w:sz="4" w:space="0"/>
            </w:tcBorders>
            <w:vAlign w:val="center"/>
          </w:tcPr>
          <w:p w14:paraId="24F5BBED">
            <w:pPr>
              <w:widowControl/>
              <w:jc w:val="left"/>
              <w:rPr>
                <w:rFonts w:ascii="仿宋" w:hAnsi="仿宋" w:eastAsia="仿宋" w:cs="宋体"/>
                <w:kern w:val="0"/>
                <w:sz w:val="24"/>
                <w:szCs w:val="24"/>
              </w:rPr>
            </w:pPr>
          </w:p>
        </w:tc>
        <w:tc>
          <w:tcPr>
            <w:tcW w:w="1049" w:type="dxa"/>
            <w:vMerge w:val="restart"/>
            <w:tcBorders>
              <w:top w:val="single" w:color="000000" w:sz="4" w:space="0"/>
              <w:left w:val="single" w:color="000000" w:sz="4" w:space="0"/>
              <w:right w:val="single" w:color="000000" w:sz="4" w:space="0"/>
            </w:tcBorders>
            <w:vAlign w:val="center"/>
          </w:tcPr>
          <w:p w14:paraId="7502475A">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预算配置</w:t>
            </w:r>
            <w:r>
              <w:rPr>
                <w:rFonts w:hint="eastAsia" w:ascii="仿宋" w:hAnsi="仿宋" w:eastAsia="仿宋" w:cs="Arial"/>
                <w:kern w:val="0"/>
                <w:sz w:val="24"/>
                <w:szCs w:val="24"/>
              </w:rPr>
              <w:t>(10分)</w:t>
            </w:r>
          </w:p>
        </w:tc>
        <w:tc>
          <w:tcPr>
            <w:tcW w:w="709" w:type="dxa"/>
            <w:tcBorders>
              <w:top w:val="single" w:color="auto" w:sz="4" w:space="0"/>
              <w:left w:val="single" w:color="000000" w:sz="4" w:space="0"/>
              <w:bottom w:val="single" w:color="000000" w:sz="4" w:space="0"/>
              <w:right w:val="single" w:color="auto" w:sz="4" w:space="0"/>
            </w:tcBorders>
            <w:vAlign w:val="center"/>
          </w:tcPr>
          <w:p w14:paraId="5B205509">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财政供养人员</w:t>
            </w:r>
            <w:r>
              <w:rPr>
                <w:rFonts w:ascii="仿宋" w:hAnsi="仿宋" w:eastAsia="仿宋" w:cs="Arial"/>
                <w:kern w:val="0"/>
                <w:szCs w:val="21"/>
              </w:rPr>
              <w:t>控制率（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auto" w:sz="4" w:space="0"/>
              <w:left w:val="single" w:color="auto" w:sz="4" w:space="0"/>
              <w:bottom w:val="single" w:color="000000" w:sz="4" w:space="0"/>
              <w:right w:val="single" w:color="auto" w:sz="4" w:space="0"/>
            </w:tcBorders>
            <w:vAlign w:val="center"/>
          </w:tcPr>
          <w:p w14:paraId="183AE729">
            <w:pPr>
              <w:widowControl/>
              <w:spacing w:line="240" w:lineRule="exact"/>
              <w:jc w:val="left"/>
              <w:rPr>
                <w:rFonts w:ascii="仿宋" w:hAnsi="仿宋" w:eastAsia="仿宋" w:cs="宋体"/>
                <w:kern w:val="0"/>
                <w:szCs w:val="21"/>
              </w:rPr>
            </w:pPr>
            <w:r>
              <w:rPr>
                <w:rFonts w:ascii="仿宋" w:hAnsi="仿宋" w:eastAsia="仿宋" w:cs="Arial"/>
                <w:kern w:val="0"/>
                <w:szCs w:val="21"/>
              </w:rPr>
              <w:t>部门本年度实际在职人员数与编制数的比率，用以反映和评价部门对人员成本的控制程度。</w:t>
            </w:r>
          </w:p>
          <w:p w14:paraId="1B7CAB9B">
            <w:pPr>
              <w:widowControl/>
              <w:spacing w:line="240" w:lineRule="exact"/>
              <w:jc w:val="left"/>
              <w:rPr>
                <w:rFonts w:ascii="仿宋" w:hAnsi="仿宋" w:eastAsia="仿宋" w:cs="宋体"/>
                <w:kern w:val="0"/>
                <w:szCs w:val="21"/>
              </w:rPr>
            </w:pPr>
            <w:r>
              <w:rPr>
                <w:rFonts w:ascii="仿宋" w:hAnsi="仿宋" w:eastAsia="仿宋" w:cs="Arial"/>
                <w:kern w:val="0"/>
                <w:szCs w:val="21"/>
              </w:rPr>
              <w:t>在职人员控制率</w:t>
            </w:r>
            <w:r>
              <w:rPr>
                <w:rFonts w:hint="eastAsia" w:ascii="仿宋" w:hAnsi="仿宋" w:eastAsia="仿宋" w:cs="Arial"/>
                <w:kern w:val="0"/>
                <w:szCs w:val="21"/>
              </w:rPr>
              <w:t>=</w:t>
            </w:r>
            <w:r>
              <w:rPr>
                <w:rFonts w:ascii="仿宋" w:hAnsi="仿宋" w:eastAsia="仿宋" w:cs="Arial"/>
                <w:kern w:val="0"/>
                <w:szCs w:val="21"/>
              </w:rPr>
              <w:t>（在职人员数</w:t>
            </w:r>
            <w:r>
              <w:rPr>
                <w:rFonts w:hint="eastAsia" w:ascii="仿宋" w:hAnsi="仿宋" w:eastAsia="仿宋" w:cs="Arial"/>
                <w:kern w:val="0"/>
                <w:szCs w:val="21"/>
              </w:rPr>
              <w:t>/</w:t>
            </w:r>
            <w:r>
              <w:rPr>
                <w:rFonts w:ascii="仿宋" w:hAnsi="仿宋" w:eastAsia="仿宋" w:cs="Arial"/>
                <w:kern w:val="0"/>
                <w:szCs w:val="21"/>
              </w:rPr>
              <w:t>编制数）×</w:t>
            </w:r>
            <w:r>
              <w:rPr>
                <w:rFonts w:hint="eastAsia" w:ascii="仿宋" w:hAnsi="仿宋" w:eastAsia="仿宋" w:cs="Arial"/>
                <w:kern w:val="0"/>
                <w:szCs w:val="21"/>
              </w:rPr>
              <w:t>100%</w:t>
            </w:r>
            <w:r>
              <w:rPr>
                <w:rFonts w:ascii="仿宋" w:hAnsi="仿宋" w:eastAsia="仿宋" w:cs="Arial"/>
                <w:kern w:val="0"/>
                <w:szCs w:val="21"/>
              </w:rPr>
              <w:t>。</w:t>
            </w:r>
          </w:p>
          <w:p w14:paraId="52904236">
            <w:pPr>
              <w:widowControl/>
              <w:spacing w:line="240" w:lineRule="exact"/>
              <w:jc w:val="left"/>
              <w:rPr>
                <w:rFonts w:ascii="仿宋" w:hAnsi="仿宋" w:eastAsia="仿宋" w:cs="宋体"/>
                <w:kern w:val="0"/>
                <w:szCs w:val="21"/>
              </w:rPr>
            </w:pPr>
            <w:r>
              <w:rPr>
                <w:rFonts w:ascii="仿宋" w:hAnsi="仿宋" w:eastAsia="仿宋" w:cs="Arial"/>
                <w:kern w:val="0"/>
                <w:szCs w:val="21"/>
              </w:rPr>
              <w:t>在职人员数：部门实际在职人数，以财政部确定的部门决算编制口径为准，由编制部门和人劳部门批复同意的临聘人员除外。</w:t>
            </w:r>
          </w:p>
          <w:p w14:paraId="1A73151C">
            <w:pPr>
              <w:widowControl/>
              <w:spacing w:line="68" w:lineRule="atLeast"/>
              <w:jc w:val="left"/>
              <w:rPr>
                <w:rFonts w:ascii="仿宋" w:hAnsi="仿宋" w:eastAsia="仿宋" w:cs="宋体"/>
                <w:kern w:val="0"/>
                <w:szCs w:val="21"/>
              </w:rPr>
            </w:pPr>
            <w:r>
              <w:rPr>
                <w:rFonts w:ascii="仿宋" w:hAnsi="仿宋" w:eastAsia="仿宋" w:cs="Arial"/>
                <w:kern w:val="0"/>
                <w:szCs w:val="21"/>
              </w:rPr>
              <w:t>编制数：机构编制部门核定批复的部门人员编制数。</w:t>
            </w:r>
          </w:p>
        </w:tc>
        <w:tc>
          <w:tcPr>
            <w:tcW w:w="1899" w:type="dxa"/>
            <w:tcBorders>
              <w:top w:val="single" w:color="auto" w:sz="4" w:space="0"/>
              <w:left w:val="single" w:color="auto" w:sz="4" w:space="0"/>
              <w:bottom w:val="single" w:color="000000" w:sz="4" w:space="0"/>
              <w:right w:val="single" w:color="auto" w:sz="4" w:space="0"/>
            </w:tcBorders>
            <w:vAlign w:val="center"/>
          </w:tcPr>
          <w:p w14:paraId="223FB45A">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目标值≤100%；达到目标值得3分，每超出1人扣0.1分，扣完为止。</w:t>
            </w:r>
          </w:p>
        </w:tc>
        <w:tc>
          <w:tcPr>
            <w:tcW w:w="794" w:type="dxa"/>
            <w:tcBorders>
              <w:top w:val="single" w:color="auto" w:sz="4" w:space="0"/>
              <w:left w:val="single" w:color="auto" w:sz="4" w:space="0"/>
              <w:bottom w:val="single" w:color="000000" w:sz="4" w:space="0"/>
              <w:right w:val="single" w:color="000000" w:sz="4" w:space="0"/>
            </w:tcBorders>
            <w:vAlign w:val="center"/>
          </w:tcPr>
          <w:p w14:paraId="3122A722">
            <w:pPr>
              <w:widowControl/>
              <w:spacing w:line="68" w:lineRule="atLeast"/>
              <w:jc w:val="center"/>
              <w:rPr>
                <w:rFonts w:ascii="仿宋" w:hAnsi="仿宋" w:eastAsia="仿宋" w:cs="宋体"/>
                <w:kern w:val="0"/>
                <w:sz w:val="24"/>
                <w:szCs w:val="24"/>
              </w:rPr>
            </w:pPr>
            <w:r>
              <w:rPr>
                <w:rFonts w:hint="eastAsia" w:ascii="仿宋" w:hAnsi="仿宋" w:eastAsia="仿宋" w:cs="宋体"/>
                <w:kern w:val="0"/>
                <w:sz w:val="24"/>
                <w:szCs w:val="24"/>
              </w:rPr>
              <w:t>3</w:t>
            </w:r>
          </w:p>
        </w:tc>
      </w:tr>
      <w:tr w14:paraId="5F0571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25" w:hRule="atLeast"/>
          <w:jc w:val="center"/>
        </w:trPr>
        <w:tc>
          <w:tcPr>
            <w:tcW w:w="769" w:type="dxa"/>
            <w:vMerge w:val="continue"/>
            <w:tcBorders>
              <w:left w:val="single" w:color="000000" w:sz="4" w:space="0"/>
              <w:right w:val="single" w:color="000000" w:sz="4" w:space="0"/>
            </w:tcBorders>
            <w:vAlign w:val="center"/>
          </w:tcPr>
          <w:p w14:paraId="121E4E01">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14:paraId="50AA41E9">
            <w:pPr>
              <w:widowControl/>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14:paraId="16A51A7A">
            <w:pPr>
              <w:widowControl/>
              <w:spacing w:line="68" w:lineRule="atLeast"/>
              <w:jc w:val="left"/>
              <w:rPr>
                <w:rFonts w:ascii="仿宋" w:hAnsi="仿宋" w:eastAsia="仿宋" w:cs="Arial"/>
                <w:kern w:val="0"/>
                <w:szCs w:val="21"/>
              </w:rPr>
            </w:pPr>
            <w:r>
              <w:rPr>
                <w:rFonts w:hint="eastAsia" w:ascii="仿宋" w:hAnsi="仿宋" w:eastAsia="仿宋" w:cs="Arial"/>
                <w:kern w:val="0"/>
                <w:szCs w:val="21"/>
              </w:rPr>
              <w:t>“三公经费”变动率（4分）</w:t>
            </w:r>
          </w:p>
        </w:tc>
        <w:tc>
          <w:tcPr>
            <w:tcW w:w="4536" w:type="dxa"/>
            <w:tcBorders>
              <w:top w:val="single" w:color="auto" w:sz="4" w:space="0"/>
              <w:left w:val="single" w:color="auto" w:sz="4" w:space="0"/>
              <w:bottom w:val="single" w:color="000000" w:sz="4" w:space="0"/>
              <w:right w:val="single" w:color="auto" w:sz="4" w:space="0"/>
            </w:tcBorders>
            <w:vAlign w:val="center"/>
          </w:tcPr>
          <w:p w14:paraId="16BCA885">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部门本年度“三公经费”预算数与上年度“三公经费”预算数的变动比率，用以反映和考核部门对控制重点行政成本的努力程度。</w:t>
            </w:r>
          </w:p>
          <w:p w14:paraId="2A5621AC">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“三公经费”变动率=〔（本年度“三公经费”总额-上年度“三公经费”总额）/上年度“三公经费”总额〕×100%</w:t>
            </w:r>
          </w:p>
          <w:p w14:paraId="5F9D675A">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“三公经费”：年度预算安排的因公出国（境）费、公务车辆购置及运行费和公务招待费。</w:t>
            </w:r>
          </w:p>
        </w:tc>
        <w:tc>
          <w:tcPr>
            <w:tcW w:w="1899" w:type="dxa"/>
            <w:tcBorders>
              <w:top w:val="single" w:color="auto" w:sz="4" w:space="0"/>
              <w:left w:val="single" w:color="auto" w:sz="4" w:space="0"/>
              <w:bottom w:val="single" w:color="000000" w:sz="4" w:space="0"/>
              <w:right w:val="single" w:color="auto" w:sz="4" w:space="0"/>
            </w:tcBorders>
            <w:vAlign w:val="center"/>
          </w:tcPr>
          <w:p w14:paraId="451D7690">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目标值≤0；达到目标值得4分，未达到目标值的采用比率扣分法：扣分值=“三公经费”变动率×4×10，变动率达10%以上的扣4分。</w:t>
            </w:r>
          </w:p>
        </w:tc>
        <w:tc>
          <w:tcPr>
            <w:tcW w:w="794" w:type="dxa"/>
            <w:tcBorders>
              <w:top w:val="single" w:color="auto" w:sz="4" w:space="0"/>
              <w:left w:val="single" w:color="auto" w:sz="4" w:space="0"/>
              <w:bottom w:val="single" w:color="000000" w:sz="4" w:space="0"/>
              <w:right w:val="single" w:color="000000" w:sz="4" w:space="0"/>
            </w:tcBorders>
            <w:vAlign w:val="center"/>
          </w:tcPr>
          <w:p w14:paraId="36CEC0C3">
            <w:pPr>
              <w:widowControl/>
              <w:spacing w:line="68" w:lineRule="atLeast"/>
              <w:jc w:val="center"/>
              <w:rPr>
                <w:rFonts w:ascii="仿宋" w:hAnsi="仿宋" w:eastAsia="仿宋" w:cs="宋体"/>
                <w:kern w:val="0"/>
                <w:sz w:val="24"/>
                <w:szCs w:val="24"/>
              </w:rPr>
            </w:pPr>
            <w:r>
              <w:rPr>
                <w:rFonts w:hint="eastAsia" w:ascii="仿宋" w:hAnsi="仿宋" w:eastAsia="仿宋" w:cs="宋体"/>
                <w:kern w:val="0"/>
                <w:sz w:val="24"/>
                <w:szCs w:val="24"/>
              </w:rPr>
              <w:t>4</w:t>
            </w:r>
          </w:p>
        </w:tc>
      </w:tr>
      <w:tr w14:paraId="77EB4F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7" w:hRule="atLeast"/>
          <w:jc w:val="center"/>
        </w:trPr>
        <w:tc>
          <w:tcPr>
            <w:tcW w:w="769" w:type="dxa"/>
            <w:vMerge w:val="continue"/>
            <w:tcBorders>
              <w:left w:val="single" w:color="000000" w:sz="4" w:space="0"/>
              <w:bottom w:val="single" w:color="000000" w:sz="4" w:space="0"/>
              <w:right w:val="single" w:color="000000" w:sz="4" w:space="0"/>
            </w:tcBorders>
            <w:vAlign w:val="center"/>
          </w:tcPr>
          <w:p w14:paraId="667750C3">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14:paraId="4390A283">
            <w:pPr>
              <w:widowControl/>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14:paraId="376F9BB1">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重点支出安排率（3分）</w:t>
            </w:r>
          </w:p>
        </w:tc>
        <w:tc>
          <w:tcPr>
            <w:tcW w:w="4536" w:type="dxa"/>
            <w:tcBorders>
              <w:top w:val="single" w:color="auto" w:sz="4" w:space="0"/>
              <w:left w:val="single" w:color="auto" w:sz="4" w:space="0"/>
              <w:bottom w:val="single" w:color="000000" w:sz="4" w:space="0"/>
              <w:right w:val="single" w:color="auto" w:sz="4" w:space="0"/>
            </w:tcBorders>
            <w:vAlign w:val="center"/>
          </w:tcPr>
          <w:p w14:paraId="5084E6E4">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部门（单位）本年度预算安排的重点项目支出与部门项目总支出的比率，用以反映和考核部门（单位）对履行主要职责或完成重点任务的保障程度。重点支出安排率=（重点项目支出/项目总支出）×100%。</w:t>
            </w:r>
          </w:p>
          <w:p w14:paraId="4EEF385C">
            <w:pPr>
              <w:widowControl/>
              <w:spacing w:line="240" w:lineRule="exact"/>
              <w:jc w:val="left"/>
              <w:rPr>
                <w:rFonts w:ascii="仿宋" w:hAnsi="仿宋" w:eastAsia="仿宋" w:cs="Arial"/>
                <w:kern w:val="0"/>
                <w:szCs w:val="21"/>
              </w:rPr>
            </w:pPr>
            <w:r>
              <w:rPr>
                <w:rFonts w:hint="eastAsia" w:ascii="仿宋" w:hAnsi="仿宋" w:eastAsia="仿宋" w:cs="Arial"/>
                <w:kern w:val="0"/>
                <w:szCs w:val="21"/>
              </w:rPr>
              <w:t>重点项目支出：部门（单位）年度预算安排的，与本部门履职和发展密切相关、具有明显社会和经济影响、党委政府关心或社会比较关注的项目支出总额。具体由被评价部门提出后经对口部门预算管理处审核确定。</w:t>
            </w:r>
          </w:p>
          <w:p w14:paraId="6E81D07A">
            <w:pPr>
              <w:widowControl/>
              <w:spacing w:line="240" w:lineRule="exact"/>
              <w:jc w:val="left"/>
              <w:rPr>
                <w:rFonts w:ascii="仿宋" w:hAnsi="仿宋" w:eastAsia="仿宋" w:cs="Arial"/>
                <w:kern w:val="0"/>
                <w:szCs w:val="21"/>
              </w:rPr>
            </w:pPr>
            <w:r>
              <w:rPr>
                <w:rFonts w:hint="eastAsia" w:ascii="仿宋" w:hAnsi="仿宋" w:eastAsia="仿宋" w:cs="Arial"/>
                <w:kern w:val="0"/>
                <w:szCs w:val="21"/>
              </w:rPr>
              <w:t>项目总支出：部门（单位）年度预算安排的项目支出总额。</w:t>
            </w:r>
          </w:p>
        </w:tc>
        <w:tc>
          <w:tcPr>
            <w:tcW w:w="1899" w:type="dxa"/>
            <w:tcBorders>
              <w:top w:val="single" w:color="auto" w:sz="4" w:space="0"/>
              <w:left w:val="single" w:color="auto" w:sz="4" w:space="0"/>
              <w:bottom w:val="single" w:color="000000" w:sz="4" w:space="0"/>
              <w:right w:val="single" w:color="auto" w:sz="4" w:space="0"/>
            </w:tcBorders>
            <w:vAlign w:val="center"/>
          </w:tcPr>
          <w:p w14:paraId="3A793836">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目标值</w:t>
            </w:r>
            <w:r>
              <w:rPr>
                <w:rFonts w:hint="eastAsia" w:ascii="仿宋" w:hAnsi="仿宋" w:eastAsia="仿宋" w:cs="宋体"/>
                <w:kern w:val="0"/>
                <w:szCs w:val="21"/>
              </w:rPr>
              <w:t>≥70%</w:t>
            </w:r>
            <w:r>
              <w:rPr>
                <w:rFonts w:hint="eastAsia" w:ascii="仿宋" w:hAnsi="仿宋" w:eastAsia="仿宋" w:cs="Arial"/>
                <w:kern w:val="0"/>
                <w:szCs w:val="21"/>
              </w:rPr>
              <w:t>；以3分为上限，采用完成比率法计分：得分=重点支出安排率/70%×100%×3，超出目标值不加分。</w:t>
            </w:r>
          </w:p>
        </w:tc>
        <w:tc>
          <w:tcPr>
            <w:tcW w:w="794" w:type="dxa"/>
            <w:tcBorders>
              <w:top w:val="single" w:color="auto" w:sz="4" w:space="0"/>
              <w:left w:val="single" w:color="auto" w:sz="4" w:space="0"/>
              <w:bottom w:val="single" w:color="000000" w:sz="4" w:space="0"/>
              <w:right w:val="single" w:color="000000" w:sz="4" w:space="0"/>
            </w:tcBorders>
            <w:vAlign w:val="center"/>
          </w:tcPr>
          <w:p w14:paraId="7CBBF078">
            <w:pPr>
              <w:widowControl/>
              <w:spacing w:line="68" w:lineRule="atLeast"/>
              <w:jc w:val="center"/>
              <w:rPr>
                <w:rFonts w:ascii="宋体" w:hAnsi="宋体" w:eastAsia="仿宋" w:cs="Arial"/>
                <w:kern w:val="0"/>
                <w:sz w:val="20"/>
                <w:szCs w:val="24"/>
              </w:rPr>
            </w:pPr>
            <w:r>
              <w:rPr>
                <w:rFonts w:hint="eastAsia" w:ascii="宋体" w:hAnsi="宋体" w:eastAsia="仿宋" w:cs="Arial"/>
                <w:kern w:val="0"/>
                <w:sz w:val="20"/>
                <w:szCs w:val="24"/>
              </w:rPr>
              <w:t>3</w:t>
            </w:r>
          </w:p>
        </w:tc>
      </w:tr>
      <w:tr w14:paraId="048527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8" w:hRule="atLeast"/>
          <w:jc w:val="center"/>
        </w:trPr>
        <w:tc>
          <w:tcPr>
            <w:tcW w:w="769" w:type="dxa"/>
            <w:vMerge w:val="restart"/>
            <w:tcBorders>
              <w:top w:val="single" w:color="000000" w:sz="4" w:space="0"/>
              <w:left w:val="single" w:color="000000" w:sz="4" w:space="0"/>
              <w:right w:val="single" w:color="000000" w:sz="4" w:space="0"/>
            </w:tcBorders>
            <w:vAlign w:val="center"/>
          </w:tcPr>
          <w:p w14:paraId="7BF218FA">
            <w:pPr>
              <w:widowControl/>
              <w:spacing w:line="68" w:lineRule="atLeast"/>
              <w:jc w:val="center"/>
              <w:rPr>
                <w:rFonts w:ascii="仿宋" w:hAnsi="仿宋" w:eastAsia="仿宋" w:cs="Arial"/>
                <w:kern w:val="0"/>
                <w:sz w:val="24"/>
                <w:szCs w:val="24"/>
              </w:rPr>
            </w:pPr>
          </w:p>
          <w:p w14:paraId="1FA2E39A">
            <w:pPr>
              <w:widowControl/>
              <w:spacing w:line="68" w:lineRule="atLeast"/>
              <w:jc w:val="center"/>
              <w:rPr>
                <w:rFonts w:ascii="仿宋" w:hAnsi="仿宋" w:eastAsia="仿宋" w:cs="Arial"/>
                <w:kern w:val="0"/>
                <w:sz w:val="24"/>
                <w:szCs w:val="24"/>
              </w:rPr>
            </w:pPr>
          </w:p>
          <w:p w14:paraId="76927ED2">
            <w:pPr>
              <w:widowControl/>
              <w:spacing w:line="68" w:lineRule="atLeast"/>
              <w:jc w:val="center"/>
              <w:rPr>
                <w:rFonts w:ascii="仿宋" w:hAnsi="仿宋" w:eastAsia="仿宋" w:cs="Arial"/>
                <w:kern w:val="0"/>
                <w:sz w:val="24"/>
                <w:szCs w:val="24"/>
              </w:rPr>
            </w:pPr>
          </w:p>
          <w:p w14:paraId="5C704D5D">
            <w:pPr>
              <w:widowControl/>
              <w:spacing w:line="68" w:lineRule="atLeast"/>
              <w:jc w:val="center"/>
              <w:rPr>
                <w:rFonts w:ascii="仿宋" w:hAnsi="仿宋" w:eastAsia="仿宋" w:cs="Arial"/>
                <w:kern w:val="0"/>
                <w:sz w:val="24"/>
                <w:szCs w:val="24"/>
              </w:rPr>
            </w:pPr>
          </w:p>
          <w:p w14:paraId="7FDDB06C">
            <w:pPr>
              <w:widowControl/>
              <w:spacing w:line="68" w:lineRule="atLeast"/>
              <w:jc w:val="center"/>
              <w:rPr>
                <w:rFonts w:ascii="仿宋" w:hAnsi="仿宋" w:eastAsia="仿宋" w:cs="Arial"/>
                <w:kern w:val="0"/>
                <w:sz w:val="24"/>
                <w:szCs w:val="24"/>
              </w:rPr>
            </w:pPr>
          </w:p>
          <w:p w14:paraId="16EEFC00">
            <w:pPr>
              <w:widowControl/>
              <w:spacing w:line="68" w:lineRule="atLeast"/>
              <w:jc w:val="center"/>
              <w:rPr>
                <w:rFonts w:ascii="仿宋" w:hAnsi="仿宋" w:eastAsia="仿宋" w:cs="Arial"/>
                <w:kern w:val="0"/>
                <w:sz w:val="24"/>
                <w:szCs w:val="24"/>
              </w:rPr>
            </w:pPr>
          </w:p>
          <w:p w14:paraId="2E862FCA">
            <w:pPr>
              <w:widowControl/>
              <w:spacing w:line="68" w:lineRule="atLeast"/>
              <w:jc w:val="center"/>
              <w:rPr>
                <w:rFonts w:ascii="仿宋" w:hAnsi="仿宋" w:eastAsia="仿宋" w:cs="Arial"/>
                <w:kern w:val="0"/>
                <w:sz w:val="24"/>
                <w:szCs w:val="24"/>
              </w:rPr>
            </w:pPr>
          </w:p>
          <w:p w14:paraId="6E5962CE">
            <w:pPr>
              <w:widowControl/>
              <w:spacing w:line="68" w:lineRule="atLeast"/>
              <w:jc w:val="center"/>
              <w:rPr>
                <w:rFonts w:ascii="仿宋" w:hAnsi="仿宋" w:eastAsia="仿宋" w:cs="Arial"/>
                <w:kern w:val="0"/>
                <w:sz w:val="24"/>
                <w:szCs w:val="24"/>
              </w:rPr>
            </w:pPr>
          </w:p>
          <w:p w14:paraId="36DB6AF2">
            <w:pPr>
              <w:widowControl/>
              <w:spacing w:line="68" w:lineRule="atLeast"/>
              <w:jc w:val="center"/>
              <w:rPr>
                <w:rFonts w:ascii="仿宋" w:hAnsi="仿宋" w:eastAsia="仿宋" w:cs="Arial"/>
                <w:kern w:val="0"/>
                <w:sz w:val="24"/>
                <w:szCs w:val="24"/>
              </w:rPr>
            </w:pPr>
          </w:p>
          <w:p w14:paraId="7B65E038">
            <w:pPr>
              <w:widowControl/>
              <w:spacing w:line="68" w:lineRule="atLeast"/>
              <w:jc w:val="center"/>
              <w:rPr>
                <w:rFonts w:ascii="仿宋" w:hAnsi="仿宋" w:eastAsia="仿宋" w:cs="Arial"/>
                <w:kern w:val="0"/>
                <w:sz w:val="24"/>
                <w:szCs w:val="24"/>
              </w:rPr>
            </w:pPr>
          </w:p>
          <w:p w14:paraId="4A8026A4">
            <w:pPr>
              <w:widowControl/>
              <w:spacing w:line="68" w:lineRule="atLeast"/>
              <w:jc w:val="center"/>
              <w:rPr>
                <w:rFonts w:ascii="仿宋" w:hAnsi="仿宋" w:eastAsia="仿宋" w:cs="Arial"/>
                <w:kern w:val="0"/>
                <w:sz w:val="24"/>
                <w:szCs w:val="24"/>
              </w:rPr>
            </w:pPr>
            <w:r>
              <w:rPr>
                <w:rFonts w:ascii="仿宋" w:hAnsi="仿宋" w:eastAsia="仿宋" w:cs="Arial"/>
                <w:kern w:val="0"/>
                <w:sz w:val="24"/>
                <w:szCs w:val="24"/>
              </w:rPr>
              <w:t>过程</w:t>
            </w:r>
            <w:r>
              <w:rPr>
                <w:rFonts w:hint="eastAsia" w:ascii="仿宋" w:hAnsi="仿宋" w:eastAsia="仿宋" w:cs="Arial"/>
                <w:kern w:val="0"/>
                <w:sz w:val="24"/>
                <w:szCs w:val="24"/>
              </w:rPr>
              <w:t>(55分)</w:t>
            </w:r>
          </w:p>
          <w:p w14:paraId="046726C3">
            <w:pPr>
              <w:widowControl/>
              <w:spacing w:line="68" w:lineRule="atLeast"/>
              <w:jc w:val="center"/>
              <w:rPr>
                <w:rFonts w:ascii="仿宋" w:hAnsi="仿宋" w:eastAsia="仿宋" w:cs="Arial"/>
                <w:kern w:val="0"/>
                <w:sz w:val="24"/>
                <w:szCs w:val="24"/>
              </w:rPr>
            </w:pPr>
          </w:p>
          <w:p w14:paraId="07C58CBB">
            <w:pPr>
              <w:widowControl/>
              <w:spacing w:line="68" w:lineRule="atLeast"/>
              <w:jc w:val="center"/>
              <w:rPr>
                <w:rFonts w:ascii="仿宋" w:hAnsi="仿宋" w:eastAsia="仿宋" w:cs="Arial"/>
                <w:kern w:val="0"/>
                <w:sz w:val="24"/>
                <w:szCs w:val="24"/>
              </w:rPr>
            </w:pPr>
          </w:p>
          <w:p w14:paraId="39CE282D">
            <w:pPr>
              <w:widowControl/>
              <w:spacing w:line="68" w:lineRule="atLeast"/>
              <w:jc w:val="center"/>
              <w:rPr>
                <w:rFonts w:ascii="仿宋" w:hAnsi="仿宋" w:eastAsia="仿宋" w:cs="Arial"/>
                <w:kern w:val="0"/>
                <w:sz w:val="24"/>
                <w:szCs w:val="24"/>
              </w:rPr>
            </w:pPr>
          </w:p>
          <w:p w14:paraId="51B4F209">
            <w:pPr>
              <w:widowControl/>
              <w:spacing w:line="68" w:lineRule="atLeast"/>
              <w:jc w:val="center"/>
              <w:rPr>
                <w:rFonts w:ascii="仿宋" w:hAnsi="仿宋" w:eastAsia="仿宋" w:cs="Arial"/>
                <w:kern w:val="0"/>
                <w:sz w:val="24"/>
                <w:szCs w:val="24"/>
              </w:rPr>
            </w:pPr>
          </w:p>
          <w:p w14:paraId="57AA421E">
            <w:pPr>
              <w:widowControl/>
              <w:spacing w:line="68" w:lineRule="atLeast"/>
              <w:jc w:val="center"/>
              <w:rPr>
                <w:rFonts w:ascii="仿宋" w:hAnsi="仿宋" w:eastAsia="仿宋" w:cs="Arial"/>
                <w:kern w:val="0"/>
                <w:sz w:val="24"/>
                <w:szCs w:val="24"/>
              </w:rPr>
            </w:pPr>
          </w:p>
          <w:p w14:paraId="381C9101">
            <w:pPr>
              <w:widowControl/>
              <w:spacing w:line="68" w:lineRule="atLeast"/>
              <w:jc w:val="center"/>
              <w:rPr>
                <w:rFonts w:ascii="仿宋" w:hAnsi="仿宋" w:eastAsia="仿宋" w:cs="Arial"/>
                <w:kern w:val="0"/>
                <w:sz w:val="24"/>
                <w:szCs w:val="24"/>
              </w:rPr>
            </w:pPr>
          </w:p>
          <w:p w14:paraId="5E8B239C">
            <w:pPr>
              <w:widowControl/>
              <w:spacing w:line="68" w:lineRule="atLeast"/>
              <w:jc w:val="center"/>
              <w:rPr>
                <w:rFonts w:ascii="仿宋" w:hAnsi="仿宋" w:eastAsia="仿宋" w:cs="Arial"/>
                <w:kern w:val="0"/>
                <w:sz w:val="24"/>
                <w:szCs w:val="24"/>
              </w:rPr>
            </w:pPr>
          </w:p>
          <w:p w14:paraId="19C5B678">
            <w:pPr>
              <w:widowControl/>
              <w:spacing w:line="68" w:lineRule="atLeast"/>
              <w:jc w:val="center"/>
              <w:rPr>
                <w:rFonts w:ascii="仿宋" w:hAnsi="仿宋" w:eastAsia="仿宋" w:cs="Arial"/>
                <w:kern w:val="0"/>
                <w:sz w:val="24"/>
                <w:szCs w:val="24"/>
              </w:rPr>
            </w:pPr>
          </w:p>
          <w:p w14:paraId="5D179597">
            <w:pPr>
              <w:widowControl/>
              <w:spacing w:line="68" w:lineRule="atLeast"/>
              <w:jc w:val="center"/>
              <w:rPr>
                <w:rFonts w:ascii="仿宋" w:hAnsi="仿宋" w:eastAsia="仿宋" w:cs="Arial"/>
                <w:kern w:val="0"/>
                <w:sz w:val="24"/>
                <w:szCs w:val="24"/>
              </w:rPr>
            </w:pPr>
          </w:p>
          <w:p w14:paraId="773CA3E2">
            <w:pPr>
              <w:widowControl/>
              <w:spacing w:line="68" w:lineRule="atLeast"/>
              <w:jc w:val="center"/>
              <w:rPr>
                <w:rFonts w:ascii="仿宋" w:hAnsi="仿宋" w:eastAsia="仿宋" w:cs="Arial"/>
                <w:kern w:val="0"/>
                <w:sz w:val="24"/>
                <w:szCs w:val="24"/>
              </w:rPr>
            </w:pPr>
          </w:p>
          <w:p w14:paraId="10F89F15">
            <w:pPr>
              <w:widowControl/>
              <w:spacing w:line="68" w:lineRule="atLeast"/>
              <w:jc w:val="center"/>
              <w:rPr>
                <w:rFonts w:ascii="仿宋" w:hAnsi="仿宋" w:eastAsia="仿宋" w:cs="Arial"/>
                <w:kern w:val="0"/>
                <w:sz w:val="24"/>
                <w:szCs w:val="24"/>
              </w:rPr>
            </w:pPr>
          </w:p>
          <w:p w14:paraId="2C274012">
            <w:pPr>
              <w:widowControl/>
              <w:spacing w:line="68" w:lineRule="atLeast"/>
              <w:jc w:val="center"/>
              <w:rPr>
                <w:rFonts w:ascii="仿宋" w:hAnsi="仿宋" w:eastAsia="仿宋" w:cs="Arial"/>
                <w:kern w:val="0"/>
                <w:sz w:val="24"/>
                <w:szCs w:val="24"/>
              </w:rPr>
            </w:pPr>
          </w:p>
          <w:p w14:paraId="05C1AFBB">
            <w:pPr>
              <w:widowControl/>
              <w:spacing w:line="68" w:lineRule="atLeast"/>
              <w:jc w:val="center"/>
              <w:rPr>
                <w:rFonts w:ascii="仿宋" w:hAnsi="仿宋" w:eastAsia="仿宋" w:cs="Arial"/>
                <w:kern w:val="0"/>
                <w:sz w:val="24"/>
                <w:szCs w:val="24"/>
              </w:rPr>
            </w:pPr>
          </w:p>
          <w:p w14:paraId="4C6AF224">
            <w:pPr>
              <w:widowControl/>
              <w:spacing w:line="68" w:lineRule="atLeast"/>
              <w:jc w:val="center"/>
              <w:rPr>
                <w:rFonts w:ascii="仿宋" w:hAnsi="仿宋" w:eastAsia="仿宋" w:cs="Arial"/>
                <w:kern w:val="0"/>
                <w:sz w:val="24"/>
                <w:szCs w:val="24"/>
              </w:rPr>
            </w:pPr>
          </w:p>
          <w:p w14:paraId="6111D9F0">
            <w:pPr>
              <w:widowControl/>
              <w:spacing w:line="68" w:lineRule="atLeast"/>
              <w:jc w:val="center"/>
              <w:rPr>
                <w:rFonts w:ascii="仿宋" w:hAnsi="仿宋" w:eastAsia="仿宋" w:cs="Arial"/>
                <w:kern w:val="0"/>
                <w:sz w:val="24"/>
                <w:szCs w:val="24"/>
              </w:rPr>
            </w:pPr>
          </w:p>
          <w:p w14:paraId="072899CE">
            <w:pPr>
              <w:widowControl/>
              <w:spacing w:line="68" w:lineRule="atLeast"/>
              <w:jc w:val="center"/>
              <w:rPr>
                <w:rFonts w:ascii="仿宋" w:hAnsi="仿宋" w:eastAsia="仿宋" w:cs="Arial"/>
                <w:kern w:val="0"/>
                <w:sz w:val="24"/>
                <w:szCs w:val="24"/>
              </w:rPr>
            </w:pPr>
          </w:p>
          <w:p w14:paraId="2B9414EE">
            <w:pPr>
              <w:widowControl/>
              <w:spacing w:line="68" w:lineRule="atLeast"/>
              <w:jc w:val="center"/>
              <w:rPr>
                <w:rFonts w:ascii="仿宋" w:hAnsi="仿宋" w:eastAsia="仿宋" w:cs="Arial"/>
                <w:kern w:val="0"/>
                <w:sz w:val="24"/>
                <w:szCs w:val="24"/>
              </w:rPr>
            </w:pPr>
          </w:p>
          <w:p w14:paraId="3BDCE2E7">
            <w:pPr>
              <w:widowControl/>
              <w:spacing w:line="68" w:lineRule="atLeast"/>
              <w:jc w:val="center"/>
              <w:rPr>
                <w:rFonts w:ascii="仿宋" w:hAnsi="仿宋" w:eastAsia="仿宋" w:cs="Arial"/>
                <w:kern w:val="0"/>
                <w:sz w:val="24"/>
                <w:szCs w:val="24"/>
              </w:rPr>
            </w:pPr>
          </w:p>
          <w:p w14:paraId="4656331C">
            <w:pPr>
              <w:widowControl/>
              <w:spacing w:line="68" w:lineRule="atLeast"/>
              <w:jc w:val="center"/>
              <w:rPr>
                <w:rFonts w:ascii="仿宋" w:hAnsi="仿宋" w:eastAsia="仿宋" w:cs="Arial"/>
                <w:kern w:val="0"/>
                <w:sz w:val="24"/>
                <w:szCs w:val="24"/>
              </w:rPr>
            </w:pPr>
          </w:p>
          <w:p w14:paraId="6AD77503">
            <w:pPr>
              <w:widowControl/>
              <w:spacing w:line="68" w:lineRule="atLeast"/>
              <w:jc w:val="center"/>
              <w:rPr>
                <w:rFonts w:ascii="仿宋" w:hAnsi="仿宋" w:eastAsia="仿宋" w:cs="Arial"/>
                <w:kern w:val="0"/>
                <w:sz w:val="24"/>
                <w:szCs w:val="24"/>
              </w:rPr>
            </w:pPr>
          </w:p>
          <w:p w14:paraId="0EA1AC81">
            <w:pPr>
              <w:widowControl/>
              <w:spacing w:line="68" w:lineRule="atLeast"/>
              <w:jc w:val="center"/>
              <w:rPr>
                <w:rFonts w:ascii="仿宋" w:hAnsi="仿宋" w:eastAsia="仿宋" w:cs="Arial"/>
                <w:kern w:val="0"/>
                <w:sz w:val="24"/>
                <w:szCs w:val="24"/>
              </w:rPr>
            </w:pPr>
          </w:p>
          <w:p w14:paraId="4EF03D47">
            <w:pPr>
              <w:widowControl/>
              <w:spacing w:line="68" w:lineRule="atLeast"/>
              <w:jc w:val="center"/>
              <w:rPr>
                <w:rFonts w:ascii="仿宋" w:hAnsi="仿宋" w:eastAsia="仿宋" w:cs="Arial"/>
                <w:kern w:val="0"/>
                <w:sz w:val="24"/>
                <w:szCs w:val="24"/>
              </w:rPr>
            </w:pPr>
          </w:p>
          <w:p w14:paraId="7A4991DB">
            <w:pPr>
              <w:widowControl/>
              <w:spacing w:line="68" w:lineRule="atLeast"/>
              <w:jc w:val="center"/>
              <w:rPr>
                <w:rFonts w:ascii="仿宋" w:hAnsi="仿宋" w:eastAsia="仿宋" w:cs="Arial"/>
                <w:kern w:val="0"/>
                <w:sz w:val="24"/>
                <w:szCs w:val="24"/>
              </w:rPr>
            </w:pPr>
          </w:p>
          <w:p w14:paraId="0C747CB2">
            <w:pPr>
              <w:widowControl/>
              <w:spacing w:line="68" w:lineRule="atLeast"/>
              <w:jc w:val="center"/>
              <w:rPr>
                <w:rFonts w:ascii="仿宋" w:hAnsi="仿宋" w:eastAsia="仿宋" w:cs="Arial"/>
                <w:kern w:val="0"/>
                <w:sz w:val="24"/>
                <w:szCs w:val="24"/>
              </w:rPr>
            </w:pPr>
          </w:p>
          <w:p w14:paraId="35624FFD">
            <w:pPr>
              <w:widowControl/>
              <w:spacing w:line="68" w:lineRule="atLeast"/>
              <w:jc w:val="center"/>
              <w:rPr>
                <w:rFonts w:ascii="仿宋" w:hAnsi="仿宋" w:eastAsia="仿宋" w:cs="Arial"/>
                <w:kern w:val="0"/>
                <w:sz w:val="24"/>
                <w:szCs w:val="24"/>
              </w:rPr>
            </w:pPr>
          </w:p>
          <w:p w14:paraId="5368D3DA">
            <w:pPr>
              <w:widowControl/>
              <w:spacing w:line="68" w:lineRule="atLeast"/>
              <w:jc w:val="center"/>
              <w:rPr>
                <w:rFonts w:ascii="仿宋" w:hAnsi="仿宋" w:eastAsia="仿宋" w:cs="Arial"/>
                <w:kern w:val="0"/>
                <w:sz w:val="24"/>
                <w:szCs w:val="24"/>
              </w:rPr>
            </w:pPr>
          </w:p>
          <w:p w14:paraId="25A65C27">
            <w:pPr>
              <w:widowControl/>
              <w:spacing w:line="68" w:lineRule="atLeast"/>
              <w:jc w:val="center"/>
              <w:rPr>
                <w:rFonts w:ascii="仿宋" w:hAnsi="仿宋" w:eastAsia="仿宋" w:cs="Arial"/>
                <w:kern w:val="0"/>
                <w:sz w:val="24"/>
                <w:szCs w:val="24"/>
              </w:rPr>
            </w:pPr>
          </w:p>
          <w:p w14:paraId="09D501AE">
            <w:pPr>
              <w:widowControl/>
              <w:spacing w:line="68" w:lineRule="atLeast"/>
              <w:jc w:val="center"/>
              <w:rPr>
                <w:rFonts w:ascii="仿宋" w:hAnsi="仿宋" w:eastAsia="仿宋" w:cs="Arial"/>
                <w:kern w:val="0"/>
                <w:sz w:val="24"/>
                <w:szCs w:val="24"/>
              </w:rPr>
            </w:pPr>
          </w:p>
          <w:p w14:paraId="73FF3A52">
            <w:pPr>
              <w:widowControl/>
              <w:spacing w:line="68" w:lineRule="atLeast"/>
              <w:jc w:val="center"/>
              <w:rPr>
                <w:rFonts w:ascii="仿宋" w:hAnsi="仿宋" w:eastAsia="仿宋" w:cs="Arial"/>
                <w:kern w:val="0"/>
                <w:sz w:val="24"/>
                <w:szCs w:val="24"/>
              </w:rPr>
            </w:pPr>
          </w:p>
          <w:p w14:paraId="71D725F4">
            <w:pPr>
              <w:widowControl/>
              <w:spacing w:line="68" w:lineRule="atLeast"/>
              <w:jc w:val="center"/>
              <w:rPr>
                <w:rFonts w:ascii="仿宋" w:hAnsi="仿宋" w:eastAsia="仿宋" w:cs="Arial"/>
                <w:kern w:val="0"/>
                <w:sz w:val="24"/>
                <w:szCs w:val="24"/>
              </w:rPr>
            </w:pPr>
          </w:p>
          <w:p w14:paraId="136E3707">
            <w:pPr>
              <w:widowControl/>
              <w:spacing w:line="68" w:lineRule="atLeast"/>
              <w:jc w:val="center"/>
              <w:rPr>
                <w:rFonts w:ascii="仿宋" w:hAnsi="仿宋" w:eastAsia="仿宋" w:cs="Arial"/>
                <w:kern w:val="0"/>
                <w:sz w:val="24"/>
                <w:szCs w:val="24"/>
              </w:rPr>
            </w:pPr>
          </w:p>
          <w:p w14:paraId="15575E9D">
            <w:pPr>
              <w:widowControl/>
              <w:spacing w:line="68" w:lineRule="atLeast"/>
              <w:jc w:val="center"/>
              <w:rPr>
                <w:rFonts w:ascii="仿宋" w:hAnsi="仿宋" w:eastAsia="仿宋" w:cs="Arial"/>
                <w:kern w:val="0"/>
                <w:sz w:val="24"/>
                <w:szCs w:val="24"/>
              </w:rPr>
            </w:pPr>
          </w:p>
          <w:p w14:paraId="1B969CB8">
            <w:pPr>
              <w:widowControl/>
              <w:spacing w:line="68" w:lineRule="atLeast"/>
              <w:jc w:val="center"/>
              <w:rPr>
                <w:rFonts w:ascii="仿宋" w:hAnsi="仿宋" w:eastAsia="仿宋" w:cs="Arial"/>
                <w:kern w:val="0"/>
                <w:sz w:val="24"/>
                <w:szCs w:val="24"/>
              </w:rPr>
            </w:pPr>
          </w:p>
          <w:p w14:paraId="18021BFB">
            <w:pPr>
              <w:widowControl/>
              <w:spacing w:line="68" w:lineRule="atLeast"/>
              <w:jc w:val="center"/>
              <w:rPr>
                <w:rFonts w:ascii="仿宋" w:hAnsi="仿宋" w:eastAsia="仿宋" w:cs="Arial"/>
                <w:kern w:val="0"/>
                <w:sz w:val="24"/>
                <w:szCs w:val="24"/>
              </w:rPr>
            </w:pPr>
          </w:p>
          <w:p w14:paraId="39D03E3E">
            <w:pPr>
              <w:widowControl/>
              <w:spacing w:line="68" w:lineRule="atLeast"/>
              <w:jc w:val="center"/>
              <w:rPr>
                <w:rFonts w:ascii="仿宋" w:hAnsi="仿宋" w:eastAsia="仿宋" w:cs="Arial"/>
                <w:kern w:val="0"/>
                <w:sz w:val="24"/>
                <w:szCs w:val="24"/>
              </w:rPr>
            </w:pPr>
          </w:p>
          <w:p w14:paraId="75AC1293">
            <w:pPr>
              <w:widowControl/>
              <w:spacing w:line="68" w:lineRule="atLeast"/>
              <w:jc w:val="center"/>
              <w:rPr>
                <w:rFonts w:ascii="仿宋" w:hAnsi="仿宋" w:eastAsia="仿宋" w:cs="Arial"/>
                <w:kern w:val="0"/>
                <w:sz w:val="24"/>
                <w:szCs w:val="24"/>
              </w:rPr>
            </w:pPr>
          </w:p>
          <w:p w14:paraId="497AB704">
            <w:pPr>
              <w:widowControl/>
              <w:spacing w:line="68" w:lineRule="atLeast"/>
              <w:jc w:val="center"/>
              <w:rPr>
                <w:rFonts w:ascii="仿宋" w:hAnsi="仿宋" w:eastAsia="仿宋" w:cs="Arial"/>
                <w:kern w:val="0"/>
                <w:sz w:val="24"/>
                <w:szCs w:val="24"/>
              </w:rPr>
            </w:pPr>
          </w:p>
          <w:p w14:paraId="320E3AFA">
            <w:pPr>
              <w:widowControl/>
              <w:spacing w:line="68" w:lineRule="atLeast"/>
              <w:jc w:val="center"/>
              <w:rPr>
                <w:rFonts w:ascii="仿宋" w:hAnsi="仿宋" w:eastAsia="仿宋" w:cs="Arial"/>
                <w:kern w:val="0"/>
                <w:sz w:val="24"/>
                <w:szCs w:val="24"/>
              </w:rPr>
            </w:pPr>
          </w:p>
          <w:p w14:paraId="4B8E6D1E">
            <w:pPr>
              <w:widowControl/>
              <w:spacing w:line="68" w:lineRule="atLeast"/>
              <w:jc w:val="center"/>
              <w:rPr>
                <w:rFonts w:ascii="仿宋" w:hAnsi="仿宋" w:eastAsia="仿宋" w:cs="Arial"/>
                <w:kern w:val="0"/>
                <w:sz w:val="24"/>
                <w:szCs w:val="24"/>
              </w:rPr>
            </w:pPr>
          </w:p>
          <w:p w14:paraId="72A4FDDF">
            <w:pPr>
              <w:widowControl/>
              <w:spacing w:line="68" w:lineRule="atLeast"/>
              <w:jc w:val="center"/>
              <w:rPr>
                <w:rFonts w:ascii="仿宋" w:hAnsi="仿宋" w:eastAsia="仿宋" w:cs="Arial"/>
                <w:kern w:val="0"/>
                <w:sz w:val="24"/>
                <w:szCs w:val="24"/>
              </w:rPr>
            </w:pPr>
          </w:p>
          <w:p w14:paraId="2A682807">
            <w:pPr>
              <w:widowControl/>
              <w:spacing w:line="68" w:lineRule="atLeast"/>
              <w:jc w:val="center"/>
              <w:rPr>
                <w:rFonts w:ascii="仿宋" w:hAnsi="仿宋" w:eastAsia="仿宋" w:cs="Arial"/>
                <w:kern w:val="0"/>
                <w:sz w:val="24"/>
                <w:szCs w:val="24"/>
              </w:rPr>
            </w:pPr>
          </w:p>
          <w:p w14:paraId="041F4C16">
            <w:pPr>
              <w:widowControl/>
              <w:spacing w:line="68" w:lineRule="atLeast"/>
              <w:jc w:val="center"/>
              <w:rPr>
                <w:rFonts w:ascii="仿宋" w:hAnsi="仿宋" w:eastAsia="仿宋" w:cs="Arial"/>
                <w:kern w:val="0"/>
                <w:sz w:val="24"/>
                <w:szCs w:val="24"/>
              </w:rPr>
            </w:pPr>
          </w:p>
          <w:p w14:paraId="2E245675">
            <w:pPr>
              <w:widowControl/>
              <w:spacing w:line="68" w:lineRule="atLeast"/>
              <w:jc w:val="center"/>
              <w:rPr>
                <w:rFonts w:ascii="仿宋" w:hAnsi="仿宋" w:eastAsia="仿宋" w:cs="Arial"/>
                <w:kern w:val="0"/>
                <w:sz w:val="24"/>
                <w:szCs w:val="24"/>
              </w:rPr>
            </w:pPr>
          </w:p>
          <w:p w14:paraId="2208C7BC">
            <w:pPr>
              <w:widowControl/>
              <w:spacing w:line="68" w:lineRule="atLeast"/>
              <w:jc w:val="center"/>
              <w:rPr>
                <w:rFonts w:ascii="仿宋" w:hAnsi="仿宋" w:eastAsia="仿宋" w:cs="Arial"/>
                <w:kern w:val="0"/>
                <w:sz w:val="24"/>
                <w:szCs w:val="24"/>
              </w:rPr>
            </w:pPr>
          </w:p>
          <w:p w14:paraId="3919033E">
            <w:pPr>
              <w:widowControl/>
              <w:spacing w:line="68" w:lineRule="atLeast"/>
              <w:jc w:val="center"/>
              <w:rPr>
                <w:rFonts w:ascii="仿宋" w:hAnsi="仿宋" w:eastAsia="仿宋" w:cs="Arial"/>
                <w:kern w:val="0"/>
                <w:sz w:val="24"/>
                <w:szCs w:val="24"/>
              </w:rPr>
            </w:pPr>
          </w:p>
          <w:p w14:paraId="6E8DA691">
            <w:pPr>
              <w:widowControl/>
              <w:spacing w:line="68" w:lineRule="atLeast"/>
              <w:jc w:val="center"/>
              <w:rPr>
                <w:rFonts w:ascii="仿宋" w:hAnsi="仿宋" w:eastAsia="仿宋" w:cs="Arial"/>
                <w:kern w:val="0"/>
                <w:sz w:val="24"/>
                <w:szCs w:val="24"/>
              </w:rPr>
            </w:pPr>
          </w:p>
          <w:p w14:paraId="2E6F2B98">
            <w:pPr>
              <w:widowControl/>
              <w:spacing w:line="68" w:lineRule="atLeast"/>
              <w:jc w:val="center"/>
              <w:rPr>
                <w:rFonts w:ascii="仿宋" w:hAnsi="仿宋" w:eastAsia="仿宋" w:cs="Arial"/>
                <w:kern w:val="0"/>
                <w:sz w:val="24"/>
                <w:szCs w:val="24"/>
              </w:rPr>
            </w:pPr>
          </w:p>
          <w:p w14:paraId="60E7923E">
            <w:pPr>
              <w:widowControl/>
              <w:spacing w:line="68" w:lineRule="atLeast"/>
              <w:jc w:val="center"/>
              <w:rPr>
                <w:rFonts w:ascii="仿宋" w:hAnsi="仿宋" w:eastAsia="仿宋" w:cs="Arial"/>
                <w:kern w:val="0"/>
                <w:sz w:val="24"/>
                <w:szCs w:val="24"/>
              </w:rPr>
            </w:pPr>
          </w:p>
          <w:p w14:paraId="26204853">
            <w:pPr>
              <w:widowControl/>
              <w:spacing w:line="68" w:lineRule="atLeast"/>
              <w:jc w:val="center"/>
              <w:rPr>
                <w:rFonts w:ascii="仿宋" w:hAnsi="仿宋" w:eastAsia="仿宋" w:cs="Arial"/>
                <w:kern w:val="0"/>
                <w:sz w:val="24"/>
                <w:szCs w:val="24"/>
              </w:rPr>
            </w:pPr>
          </w:p>
          <w:p w14:paraId="44E3A2CB">
            <w:pPr>
              <w:widowControl/>
              <w:spacing w:line="68" w:lineRule="atLeast"/>
              <w:jc w:val="center"/>
              <w:rPr>
                <w:rFonts w:ascii="仿宋" w:hAnsi="仿宋" w:eastAsia="仿宋" w:cs="Arial"/>
                <w:kern w:val="0"/>
                <w:sz w:val="24"/>
                <w:szCs w:val="24"/>
              </w:rPr>
            </w:pPr>
          </w:p>
          <w:p w14:paraId="1251BFEA">
            <w:pPr>
              <w:widowControl/>
              <w:spacing w:line="68" w:lineRule="atLeast"/>
              <w:jc w:val="center"/>
              <w:rPr>
                <w:rFonts w:ascii="仿宋" w:hAnsi="仿宋" w:eastAsia="仿宋" w:cs="Arial"/>
                <w:kern w:val="0"/>
                <w:sz w:val="24"/>
                <w:szCs w:val="24"/>
              </w:rPr>
            </w:pPr>
          </w:p>
          <w:p w14:paraId="5CEDD398">
            <w:pPr>
              <w:widowControl/>
              <w:spacing w:line="68" w:lineRule="atLeast"/>
              <w:jc w:val="center"/>
              <w:rPr>
                <w:rFonts w:ascii="仿宋" w:hAnsi="仿宋" w:eastAsia="仿宋" w:cs="Arial"/>
                <w:kern w:val="0"/>
                <w:sz w:val="24"/>
                <w:szCs w:val="24"/>
              </w:rPr>
            </w:pPr>
          </w:p>
          <w:p w14:paraId="5D6693E3">
            <w:pPr>
              <w:widowControl/>
              <w:spacing w:line="68" w:lineRule="atLeast"/>
              <w:rPr>
                <w:rFonts w:ascii="仿宋" w:hAnsi="仿宋" w:eastAsia="仿宋" w:cs="宋体"/>
                <w:kern w:val="0"/>
                <w:sz w:val="24"/>
                <w:szCs w:val="24"/>
              </w:rPr>
            </w:pPr>
          </w:p>
          <w:p w14:paraId="7489BA3E">
            <w:pPr>
              <w:widowControl/>
              <w:spacing w:line="68" w:lineRule="atLeast"/>
              <w:rPr>
                <w:rFonts w:ascii="仿宋" w:hAnsi="仿宋" w:eastAsia="仿宋" w:cs="宋体"/>
                <w:kern w:val="0"/>
                <w:sz w:val="24"/>
                <w:szCs w:val="24"/>
              </w:rPr>
            </w:pPr>
          </w:p>
          <w:p w14:paraId="25B51165">
            <w:pPr>
              <w:widowControl/>
              <w:spacing w:line="68" w:lineRule="atLeast"/>
              <w:rPr>
                <w:rFonts w:ascii="仿宋" w:hAnsi="仿宋" w:eastAsia="仿宋" w:cs="宋体"/>
                <w:kern w:val="0"/>
                <w:sz w:val="24"/>
                <w:szCs w:val="24"/>
              </w:rPr>
            </w:pPr>
          </w:p>
          <w:p w14:paraId="6327F614">
            <w:pPr>
              <w:widowControl/>
              <w:spacing w:line="68" w:lineRule="atLeast"/>
              <w:rPr>
                <w:rFonts w:ascii="仿宋" w:hAnsi="仿宋" w:eastAsia="仿宋" w:cs="宋体"/>
                <w:kern w:val="0"/>
                <w:sz w:val="24"/>
                <w:szCs w:val="24"/>
              </w:rPr>
            </w:pPr>
          </w:p>
          <w:p w14:paraId="3107A038">
            <w:pPr>
              <w:widowControl/>
              <w:spacing w:line="68" w:lineRule="atLeast"/>
              <w:rPr>
                <w:rFonts w:ascii="仿宋" w:hAnsi="仿宋" w:eastAsia="仿宋" w:cs="宋体"/>
                <w:kern w:val="0"/>
                <w:sz w:val="24"/>
                <w:szCs w:val="24"/>
              </w:rPr>
            </w:pPr>
          </w:p>
          <w:p w14:paraId="10577012">
            <w:pPr>
              <w:widowControl/>
              <w:spacing w:line="68" w:lineRule="atLeast"/>
              <w:jc w:val="center"/>
              <w:rPr>
                <w:rFonts w:ascii="仿宋" w:hAnsi="仿宋" w:eastAsia="仿宋" w:cs="宋体"/>
                <w:kern w:val="0"/>
                <w:sz w:val="24"/>
                <w:szCs w:val="24"/>
              </w:rPr>
            </w:pP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14:paraId="32E9E159">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预算执行</w:t>
            </w:r>
            <w:r>
              <w:rPr>
                <w:rFonts w:hint="eastAsia" w:ascii="仿宋" w:hAnsi="仿宋" w:eastAsia="仿宋" w:cs="Arial"/>
                <w:kern w:val="0"/>
                <w:sz w:val="24"/>
                <w:szCs w:val="24"/>
              </w:rPr>
              <w:t>(</w:t>
            </w:r>
            <w:r>
              <w:rPr>
                <w:rFonts w:ascii="仿宋" w:hAnsi="仿宋" w:eastAsia="仿宋" w:cs="Arial"/>
                <w:kern w:val="0"/>
                <w:sz w:val="24"/>
                <w:szCs w:val="24"/>
              </w:rPr>
              <w:t>27</w:t>
            </w:r>
            <w:r>
              <w:rPr>
                <w:rFonts w:hint="eastAsia" w:ascii="仿宋" w:hAnsi="仿宋" w:eastAsia="仿宋" w:cs="Arial"/>
                <w:kern w:val="0"/>
                <w:sz w:val="24"/>
                <w:szCs w:val="24"/>
              </w:rPr>
              <w:t>分)</w:t>
            </w:r>
          </w:p>
        </w:tc>
        <w:tc>
          <w:tcPr>
            <w:tcW w:w="709" w:type="dxa"/>
            <w:tcBorders>
              <w:top w:val="single" w:color="000000" w:sz="4" w:space="0"/>
              <w:left w:val="single" w:color="000000" w:sz="4" w:space="0"/>
              <w:bottom w:val="single" w:color="000000" w:sz="4" w:space="0"/>
              <w:right w:val="single" w:color="auto" w:sz="4" w:space="0"/>
            </w:tcBorders>
            <w:vAlign w:val="center"/>
          </w:tcPr>
          <w:p w14:paraId="384D1944">
            <w:pPr>
              <w:widowControl/>
              <w:spacing w:line="68" w:lineRule="atLeast"/>
              <w:jc w:val="left"/>
              <w:rPr>
                <w:rFonts w:ascii="仿宋" w:hAnsi="仿宋" w:eastAsia="仿宋" w:cs="宋体"/>
                <w:kern w:val="0"/>
                <w:szCs w:val="21"/>
              </w:rPr>
            </w:pPr>
            <w:r>
              <w:rPr>
                <w:rFonts w:ascii="仿宋" w:hAnsi="仿宋" w:eastAsia="仿宋" w:cs="Arial"/>
                <w:kern w:val="0"/>
                <w:szCs w:val="21"/>
              </w:rPr>
              <w:t>预算完成率（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14:paraId="2D61E6BB">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通过对部门本年度预算完成数与预算数的比较，反映和评价部门预算的完成程度。</w:t>
            </w:r>
          </w:p>
          <w:p w14:paraId="2A819C56">
            <w:pPr>
              <w:widowControl/>
              <w:spacing w:line="68" w:lineRule="atLeast"/>
              <w:jc w:val="left"/>
              <w:rPr>
                <w:rFonts w:ascii="仿宋" w:hAnsi="仿宋" w:eastAsia="仿宋" w:cs="宋体"/>
                <w:kern w:val="0"/>
                <w:szCs w:val="21"/>
              </w:rPr>
            </w:pPr>
            <w:r>
              <w:rPr>
                <w:rFonts w:ascii="仿宋" w:hAnsi="仿宋" w:eastAsia="仿宋" w:cs="Arial"/>
                <w:kern w:val="0"/>
                <w:szCs w:val="21"/>
              </w:rPr>
              <w:t>预算完成率</w:t>
            </w:r>
            <w:r>
              <w:rPr>
                <w:rFonts w:hint="eastAsia" w:ascii="仿宋" w:hAnsi="仿宋" w:eastAsia="仿宋" w:cs="Arial"/>
                <w:kern w:val="0"/>
                <w:szCs w:val="21"/>
              </w:rPr>
              <w:t>=</w:t>
            </w:r>
            <w:r>
              <w:rPr>
                <w:rFonts w:ascii="仿宋" w:hAnsi="仿宋" w:eastAsia="仿宋" w:cs="Arial"/>
                <w:kern w:val="0"/>
                <w:szCs w:val="21"/>
              </w:rPr>
              <w:t>（预算完成数</w:t>
            </w:r>
            <w:r>
              <w:rPr>
                <w:rFonts w:hint="eastAsia" w:ascii="仿宋" w:hAnsi="仿宋" w:eastAsia="仿宋" w:cs="Arial"/>
                <w:kern w:val="0"/>
                <w:szCs w:val="21"/>
              </w:rPr>
              <w:t>/</w:t>
            </w:r>
            <w:r>
              <w:rPr>
                <w:rFonts w:ascii="仿宋" w:hAnsi="仿宋" w:eastAsia="仿宋" w:cs="Arial"/>
                <w:kern w:val="0"/>
                <w:szCs w:val="21"/>
              </w:rPr>
              <w:t>预算数）×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14:paraId="0936FF7E">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目标值≥100%；</w:t>
            </w:r>
          </w:p>
          <w:p w14:paraId="6A087C40">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达到目标值的得3分；</w:t>
            </w:r>
          </w:p>
          <w:p w14:paraId="4A46A30A">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100%＞结果≥90%，得3分；</w:t>
            </w:r>
          </w:p>
          <w:p w14:paraId="7FE91275">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90%＞结果≥80%，得1分；</w:t>
            </w:r>
          </w:p>
          <w:p w14:paraId="4B44D8B8">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结果＜</w:t>
            </w:r>
            <w:r>
              <w:rPr>
                <w:rFonts w:hint="eastAsia" w:ascii="仿宋" w:hAnsi="仿宋" w:eastAsia="仿宋" w:cs="宋体"/>
                <w:kern w:val="0"/>
                <w:szCs w:val="21"/>
              </w:rPr>
              <w:t>80%得0分。</w:t>
            </w:r>
          </w:p>
        </w:tc>
        <w:tc>
          <w:tcPr>
            <w:tcW w:w="794" w:type="dxa"/>
            <w:tcBorders>
              <w:top w:val="single" w:color="000000" w:sz="4" w:space="0"/>
              <w:left w:val="single" w:color="auto" w:sz="4" w:space="0"/>
              <w:bottom w:val="single" w:color="000000" w:sz="4" w:space="0"/>
              <w:right w:val="single" w:color="000000" w:sz="4" w:space="0"/>
            </w:tcBorders>
            <w:vAlign w:val="center"/>
          </w:tcPr>
          <w:p w14:paraId="6A512838">
            <w:pPr>
              <w:widowControl/>
              <w:spacing w:line="68" w:lineRule="atLeast"/>
              <w:jc w:val="center"/>
              <w:rPr>
                <w:rFonts w:ascii="仿宋" w:hAnsi="仿宋" w:eastAsia="仿宋" w:cs="宋体"/>
                <w:kern w:val="0"/>
                <w:sz w:val="24"/>
                <w:szCs w:val="24"/>
              </w:rPr>
            </w:pPr>
            <w:r>
              <w:rPr>
                <w:rFonts w:hint="eastAsia" w:ascii="仿宋" w:hAnsi="仿宋" w:eastAsia="仿宋" w:cs="宋体"/>
                <w:kern w:val="0"/>
                <w:sz w:val="24"/>
                <w:szCs w:val="24"/>
              </w:rPr>
              <w:t>3</w:t>
            </w:r>
          </w:p>
        </w:tc>
      </w:tr>
      <w:tr w14:paraId="332FCE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right w:val="single" w:color="000000" w:sz="4" w:space="0"/>
            </w:tcBorders>
            <w:vAlign w:val="center"/>
          </w:tcPr>
          <w:p w14:paraId="0F28CD47">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14:paraId="62C30E5E">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480FE9E8">
            <w:pPr>
              <w:widowControl/>
              <w:spacing w:line="68" w:lineRule="atLeast"/>
              <w:jc w:val="left"/>
              <w:rPr>
                <w:rFonts w:ascii="仿宋" w:hAnsi="仿宋" w:eastAsia="仿宋" w:cs="宋体"/>
                <w:kern w:val="0"/>
                <w:szCs w:val="21"/>
              </w:rPr>
            </w:pPr>
            <w:r>
              <w:rPr>
                <w:rFonts w:ascii="仿宋" w:hAnsi="仿宋" w:eastAsia="仿宋" w:cs="Arial"/>
                <w:kern w:val="0"/>
                <w:szCs w:val="21"/>
              </w:rPr>
              <w:t>预算调整率（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14:paraId="0CF7D3B8">
            <w:pPr>
              <w:widowControl/>
              <w:spacing w:line="240" w:lineRule="exact"/>
              <w:jc w:val="left"/>
              <w:rPr>
                <w:rFonts w:ascii="仿宋" w:hAnsi="仿宋" w:eastAsia="仿宋" w:cs="宋体"/>
                <w:kern w:val="0"/>
                <w:szCs w:val="21"/>
              </w:rPr>
            </w:pPr>
            <w:r>
              <w:rPr>
                <w:rFonts w:ascii="仿宋" w:hAnsi="仿宋" w:eastAsia="仿宋" w:cs="Arial"/>
                <w:kern w:val="0"/>
                <w:szCs w:val="21"/>
              </w:rPr>
              <w:t>部门本年度预算调整数与预算数的比率，用以反映和评价部门预算的调整程度。</w:t>
            </w:r>
          </w:p>
          <w:p w14:paraId="66A80953">
            <w:pPr>
              <w:widowControl/>
              <w:spacing w:line="68" w:lineRule="atLeast"/>
              <w:jc w:val="left"/>
              <w:rPr>
                <w:rFonts w:ascii="仿宋" w:hAnsi="仿宋" w:eastAsia="仿宋" w:cs="宋体"/>
                <w:kern w:val="0"/>
                <w:szCs w:val="21"/>
              </w:rPr>
            </w:pPr>
            <w:r>
              <w:rPr>
                <w:rFonts w:ascii="仿宋" w:hAnsi="仿宋" w:eastAsia="仿宋" w:cs="Arial"/>
                <w:kern w:val="0"/>
                <w:szCs w:val="21"/>
              </w:rPr>
              <w:t>预算调整率</w:t>
            </w:r>
            <w:r>
              <w:rPr>
                <w:rFonts w:hint="eastAsia" w:ascii="仿宋" w:hAnsi="仿宋" w:eastAsia="仿宋" w:cs="Arial"/>
                <w:kern w:val="0"/>
                <w:szCs w:val="21"/>
              </w:rPr>
              <w:t>=</w:t>
            </w:r>
            <w:r>
              <w:rPr>
                <w:rFonts w:ascii="仿宋" w:hAnsi="仿宋" w:eastAsia="仿宋" w:cs="Arial"/>
                <w:kern w:val="0"/>
                <w:szCs w:val="21"/>
              </w:rPr>
              <w:t>（预算调整数</w:t>
            </w:r>
            <w:r>
              <w:rPr>
                <w:rFonts w:hint="eastAsia" w:ascii="仿宋" w:hAnsi="仿宋" w:eastAsia="仿宋" w:cs="Arial"/>
                <w:kern w:val="0"/>
                <w:szCs w:val="21"/>
              </w:rPr>
              <w:t>/</w:t>
            </w:r>
            <w:r>
              <w:rPr>
                <w:rFonts w:ascii="仿宋" w:hAnsi="仿宋" w:eastAsia="仿宋" w:cs="Arial"/>
                <w:kern w:val="0"/>
                <w:szCs w:val="21"/>
              </w:rPr>
              <w:t>预算数）×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14:paraId="29091B38">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目标值为10%；达到目标值得3分，未达到目标值的每增加0.1个百分点扣0.1分，扣完为止。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14:paraId="75CCE598">
            <w:pPr>
              <w:widowControl/>
              <w:spacing w:line="68" w:lineRule="atLeast"/>
              <w:jc w:val="center"/>
              <w:rPr>
                <w:rFonts w:ascii="仿宋" w:hAnsi="仿宋" w:eastAsia="仿宋" w:cs="宋体"/>
                <w:kern w:val="0"/>
                <w:sz w:val="24"/>
                <w:szCs w:val="24"/>
              </w:rPr>
            </w:pPr>
            <w:r>
              <w:rPr>
                <w:rFonts w:hint="eastAsia" w:ascii="仿宋" w:hAnsi="仿宋" w:eastAsia="仿宋" w:cs="宋体"/>
                <w:kern w:val="0"/>
                <w:sz w:val="24"/>
                <w:szCs w:val="24"/>
              </w:rPr>
              <w:t>2.6</w:t>
            </w:r>
          </w:p>
        </w:tc>
      </w:tr>
      <w:tr w14:paraId="6FFC5F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1" w:hRule="atLeast"/>
          <w:jc w:val="center"/>
        </w:trPr>
        <w:tc>
          <w:tcPr>
            <w:tcW w:w="769" w:type="dxa"/>
            <w:vMerge w:val="continue"/>
            <w:tcBorders>
              <w:left w:val="single" w:color="000000" w:sz="4" w:space="0"/>
              <w:right w:val="single" w:color="000000" w:sz="4" w:space="0"/>
            </w:tcBorders>
            <w:vAlign w:val="center"/>
          </w:tcPr>
          <w:p w14:paraId="0EECD265">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14:paraId="7CF1A207">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570B16A0">
            <w:pPr>
              <w:widowControl/>
              <w:spacing w:line="240" w:lineRule="exact"/>
              <w:jc w:val="left"/>
              <w:rPr>
                <w:rFonts w:ascii="仿宋" w:hAnsi="仿宋" w:eastAsia="仿宋" w:cs="宋体"/>
                <w:kern w:val="0"/>
                <w:szCs w:val="21"/>
              </w:rPr>
            </w:pPr>
            <w:r>
              <w:rPr>
                <w:rFonts w:ascii="仿宋" w:hAnsi="仿宋" w:eastAsia="仿宋" w:cs="Arial"/>
                <w:color w:val="000000"/>
                <w:kern w:val="0"/>
                <w:szCs w:val="21"/>
              </w:rPr>
              <w:t>支付进度率</w:t>
            </w:r>
            <w:r>
              <w:rPr>
                <w:rFonts w:ascii="仿宋" w:hAnsi="仿宋" w:eastAsia="仿宋" w:cs="Arial"/>
                <w:kern w:val="0"/>
                <w:szCs w:val="21"/>
              </w:rPr>
              <w:t>（</w:t>
            </w:r>
            <w:r>
              <w:rPr>
                <w:rFonts w:hint="eastAsia" w:ascii="仿宋" w:hAnsi="仿宋" w:eastAsia="仿宋" w:cs="Arial"/>
                <w:kern w:val="0"/>
                <w:szCs w:val="21"/>
              </w:rPr>
              <w:t>6分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14:paraId="4F989E1B">
            <w:pPr>
              <w:widowControl/>
              <w:spacing w:line="240" w:lineRule="exact"/>
              <w:jc w:val="left"/>
              <w:rPr>
                <w:rFonts w:ascii="仿宋" w:hAnsi="仿宋" w:eastAsia="仿宋" w:cs="宋体"/>
                <w:kern w:val="0"/>
                <w:szCs w:val="21"/>
              </w:rPr>
            </w:pPr>
            <w:r>
              <w:rPr>
                <w:rFonts w:ascii="仿宋" w:hAnsi="仿宋" w:eastAsia="仿宋" w:cs="Arial"/>
                <w:kern w:val="0"/>
                <w:szCs w:val="21"/>
              </w:rPr>
              <w:t>部门</w:t>
            </w:r>
            <w:r>
              <w:rPr>
                <w:rFonts w:hint="eastAsia" w:ascii="仿宋" w:hAnsi="仿宋" w:eastAsia="仿宋" w:cs="Arial"/>
                <w:kern w:val="0"/>
                <w:szCs w:val="21"/>
              </w:rPr>
              <w:t>年</w:t>
            </w:r>
            <w:r>
              <w:rPr>
                <w:rFonts w:ascii="仿宋" w:hAnsi="仿宋" w:eastAsia="仿宋" w:cs="Arial"/>
                <w:kern w:val="0"/>
                <w:szCs w:val="21"/>
              </w:rPr>
              <w:t>度支付数与</w:t>
            </w:r>
            <w:r>
              <w:rPr>
                <w:rFonts w:hint="eastAsia" w:ascii="仿宋" w:hAnsi="仿宋" w:eastAsia="仿宋" w:cs="Arial"/>
                <w:kern w:val="0"/>
                <w:szCs w:val="21"/>
              </w:rPr>
              <w:t>年</w:t>
            </w:r>
            <w:r>
              <w:rPr>
                <w:rFonts w:ascii="仿宋" w:hAnsi="仿宋" w:eastAsia="仿宋" w:cs="Arial"/>
                <w:kern w:val="0"/>
                <w:szCs w:val="21"/>
              </w:rPr>
              <w:t>度</w:t>
            </w:r>
            <w:r>
              <w:rPr>
                <w:rFonts w:hint="eastAsia" w:ascii="仿宋" w:hAnsi="仿宋" w:eastAsia="仿宋" w:cs="Arial"/>
                <w:kern w:val="0"/>
                <w:szCs w:val="21"/>
              </w:rPr>
              <w:t>预算（调整）</w:t>
            </w:r>
            <w:r>
              <w:rPr>
                <w:rFonts w:ascii="仿宋" w:hAnsi="仿宋" w:eastAsia="仿宋" w:cs="Arial"/>
                <w:kern w:val="0"/>
                <w:szCs w:val="21"/>
              </w:rPr>
              <w:t>数的比率，用以反映和评价部门预算执行的及时和均衡程度。</w:t>
            </w:r>
          </w:p>
          <w:p w14:paraId="79DFBE89">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半年支付进度=部门上半年实际支出÷（上年结余结转+本年部门预算安排+上半年执行中追加追减）×100%</w:t>
            </w:r>
          </w:p>
          <w:p w14:paraId="54434460">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全年支付进度=部门全年实际支出÷（上年结余结转+本年部门预算安排+全年执行中追加追减）×100%</w:t>
            </w:r>
          </w:p>
        </w:tc>
        <w:tc>
          <w:tcPr>
            <w:tcW w:w="1899" w:type="dxa"/>
            <w:tcBorders>
              <w:top w:val="single" w:color="000000" w:sz="4" w:space="0"/>
              <w:left w:val="single" w:color="auto" w:sz="4" w:space="0"/>
              <w:bottom w:val="single" w:color="000000" w:sz="4" w:space="0"/>
              <w:right w:val="single" w:color="auto" w:sz="4" w:space="0"/>
            </w:tcBorders>
            <w:vAlign w:val="center"/>
          </w:tcPr>
          <w:p w14:paraId="0EFB6870">
            <w:pPr>
              <w:widowControl/>
              <w:spacing w:line="240" w:lineRule="exact"/>
              <w:jc w:val="left"/>
              <w:rPr>
                <w:rFonts w:ascii="仿宋" w:hAnsi="仿宋" w:eastAsia="仿宋" w:cs="Arial"/>
                <w:kern w:val="0"/>
                <w:szCs w:val="21"/>
              </w:rPr>
            </w:pPr>
            <w:r>
              <w:rPr>
                <w:rFonts w:hint="eastAsia" w:ascii="仿宋" w:hAnsi="仿宋" w:eastAsia="仿宋" w:cs="Arial"/>
                <w:kern w:val="0"/>
                <w:szCs w:val="21"/>
              </w:rPr>
              <w:t>半年进度：结果≥50%，得2分；50%＞结果≥40%，得1分；结果＜40%，得0分。</w:t>
            </w:r>
          </w:p>
          <w:p w14:paraId="144A1DF2">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全年进度：结果≥100%，得4分；100%＞结果≥95%，得3分；95%＞结果≥90%，得2分；90%＞结果≥85%，得2分；结果＜85%，得0分。</w:t>
            </w:r>
          </w:p>
        </w:tc>
        <w:tc>
          <w:tcPr>
            <w:tcW w:w="794" w:type="dxa"/>
            <w:tcBorders>
              <w:top w:val="single" w:color="000000" w:sz="4" w:space="0"/>
              <w:left w:val="single" w:color="auto" w:sz="4" w:space="0"/>
              <w:bottom w:val="single" w:color="000000" w:sz="4" w:space="0"/>
              <w:right w:val="single" w:color="000000" w:sz="4" w:space="0"/>
            </w:tcBorders>
            <w:vAlign w:val="center"/>
          </w:tcPr>
          <w:p w14:paraId="20DC25CE">
            <w:pPr>
              <w:widowControl/>
              <w:spacing w:line="240" w:lineRule="exact"/>
              <w:jc w:val="center"/>
              <w:rPr>
                <w:rFonts w:ascii="仿宋" w:hAnsi="仿宋" w:eastAsia="仿宋" w:cs="宋体"/>
                <w:kern w:val="0"/>
                <w:sz w:val="24"/>
                <w:szCs w:val="24"/>
              </w:rPr>
            </w:pPr>
            <w:r>
              <w:rPr>
                <w:rFonts w:hint="eastAsia" w:ascii="仿宋" w:hAnsi="仿宋" w:eastAsia="仿宋" w:cs="宋体"/>
                <w:kern w:val="0"/>
                <w:sz w:val="24"/>
                <w:szCs w:val="24"/>
              </w:rPr>
              <w:t>5</w:t>
            </w:r>
          </w:p>
        </w:tc>
      </w:tr>
      <w:tr w14:paraId="6A2C10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8" w:hRule="atLeast"/>
          <w:jc w:val="center"/>
        </w:trPr>
        <w:tc>
          <w:tcPr>
            <w:tcW w:w="769" w:type="dxa"/>
            <w:vMerge w:val="continue"/>
            <w:tcBorders>
              <w:left w:val="single" w:color="000000" w:sz="4" w:space="0"/>
              <w:right w:val="single" w:color="000000" w:sz="4" w:space="0"/>
            </w:tcBorders>
            <w:vAlign w:val="center"/>
          </w:tcPr>
          <w:p w14:paraId="5457F29E">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14:paraId="339D2E93">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40AC477E">
            <w:pPr>
              <w:widowControl/>
              <w:spacing w:line="240" w:lineRule="exact"/>
              <w:jc w:val="left"/>
              <w:rPr>
                <w:rFonts w:ascii="仿宋" w:hAnsi="仿宋" w:eastAsia="仿宋" w:cs="宋体"/>
                <w:kern w:val="0"/>
                <w:szCs w:val="21"/>
              </w:rPr>
            </w:pPr>
            <w:r>
              <w:rPr>
                <w:rFonts w:ascii="仿宋" w:hAnsi="仿宋" w:eastAsia="仿宋" w:cs="Arial"/>
                <w:kern w:val="0"/>
                <w:szCs w:val="21"/>
              </w:rPr>
              <w:t>结转结余率（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14:paraId="453EB112">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通过对部门本年度结转结余总额与支出预算数的比较，反映和评价部门对本年度结转结余资金的实际控制程度。</w:t>
            </w:r>
          </w:p>
          <w:p w14:paraId="24A48EDB">
            <w:pPr>
              <w:widowControl/>
              <w:spacing w:line="240" w:lineRule="exact"/>
              <w:jc w:val="left"/>
              <w:rPr>
                <w:rFonts w:ascii="仿宋" w:hAnsi="仿宋" w:eastAsia="仿宋" w:cs="宋体"/>
                <w:kern w:val="0"/>
                <w:szCs w:val="21"/>
              </w:rPr>
            </w:pPr>
            <w:r>
              <w:rPr>
                <w:rFonts w:ascii="仿宋" w:hAnsi="仿宋" w:eastAsia="仿宋" w:cs="Arial"/>
                <w:kern w:val="0"/>
                <w:szCs w:val="21"/>
              </w:rPr>
              <w:t>结转结余率</w:t>
            </w:r>
            <w:r>
              <w:rPr>
                <w:rFonts w:hint="eastAsia" w:ascii="仿宋" w:hAnsi="仿宋" w:eastAsia="仿宋" w:cs="Arial"/>
                <w:kern w:val="0"/>
                <w:szCs w:val="21"/>
              </w:rPr>
              <w:t>=</w:t>
            </w:r>
            <w:r>
              <w:rPr>
                <w:rFonts w:ascii="仿宋" w:hAnsi="仿宋" w:eastAsia="仿宋" w:cs="Arial"/>
                <w:kern w:val="0"/>
                <w:szCs w:val="21"/>
              </w:rPr>
              <w:t>（结转结余总额</w:t>
            </w:r>
            <w:r>
              <w:rPr>
                <w:rFonts w:hint="eastAsia" w:ascii="仿宋" w:hAnsi="仿宋" w:eastAsia="仿宋" w:cs="Arial"/>
                <w:kern w:val="0"/>
                <w:szCs w:val="21"/>
              </w:rPr>
              <w:t>/</w:t>
            </w:r>
            <w:r>
              <w:rPr>
                <w:rFonts w:ascii="仿宋" w:hAnsi="仿宋" w:eastAsia="仿宋" w:cs="Arial"/>
                <w:kern w:val="0"/>
                <w:szCs w:val="21"/>
              </w:rPr>
              <w:t>支出预算数）×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14:paraId="5BBCA2BD">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14:paraId="0C29FC7F">
            <w:pPr>
              <w:widowControl/>
              <w:spacing w:line="240" w:lineRule="exact"/>
              <w:jc w:val="center"/>
              <w:rPr>
                <w:rFonts w:ascii="仿宋" w:hAnsi="仿宋" w:eastAsia="仿宋" w:cs="宋体"/>
                <w:kern w:val="0"/>
                <w:sz w:val="24"/>
                <w:szCs w:val="24"/>
              </w:rPr>
            </w:pPr>
            <w:r>
              <w:rPr>
                <w:rFonts w:hint="eastAsia" w:ascii="仿宋" w:hAnsi="仿宋" w:eastAsia="仿宋" w:cs="宋体"/>
                <w:kern w:val="0"/>
                <w:sz w:val="24"/>
                <w:szCs w:val="24"/>
              </w:rPr>
              <w:t>3</w:t>
            </w:r>
          </w:p>
        </w:tc>
      </w:tr>
      <w:tr w14:paraId="44E019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7" w:hRule="atLeast"/>
          <w:jc w:val="center"/>
        </w:trPr>
        <w:tc>
          <w:tcPr>
            <w:tcW w:w="769" w:type="dxa"/>
            <w:vMerge w:val="continue"/>
            <w:tcBorders>
              <w:left w:val="single" w:color="000000" w:sz="4" w:space="0"/>
              <w:right w:val="single" w:color="000000" w:sz="4" w:space="0"/>
            </w:tcBorders>
            <w:vAlign w:val="center"/>
          </w:tcPr>
          <w:p w14:paraId="3B53B651">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14:paraId="26E42864">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7195C018">
            <w:pPr>
              <w:widowControl/>
              <w:spacing w:line="240" w:lineRule="exact"/>
              <w:jc w:val="left"/>
              <w:rPr>
                <w:rFonts w:ascii="仿宋" w:hAnsi="仿宋" w:eastAsia="仿宋" w:cs="Arial"/>
                <w:kern w:val="0"/>
                <w:szCs w:val="21"/>
              </w:rPr>
            </w:pPr>
            <w:r>
              <w:rPr>
                <w:rFonts w:hint="eastAsia" w:ascii="仿宋" w:hAnsi="仿宋" w:eastAsia="仿宋" w:cs="Arial"/>
                <w:kern w:val="0"/>
                <w:szCs w:val="21"/>
              </w:rPr>
              <w:t>结转结余变动率(3分）</w:t>
            </w:r>
          </w:p>
        </w:tc>
        <w:tc>
          <w:tcPr>
            <w:tcW w:w="4536" w:type="dxa"/>
            <w:tcBorders>
              <w:top w:val="single" w:color="000000" w:sz="4" w:space="0"/>
              <w:left w:val="single" w:color="auto" w:sz="4" w:space="0"/>
              <w:bottom w:val="single" w:color="000000" w:sz="4" w:space="0"/>
              <w:right w:val="single" w:color="auto" w:sz="4" w:space="0"/>
            </w:tcBorders>
            <w:vAlign w:val="center"/>
          </w:tcPr>
          <w:p w14:paraId="7B7A8070">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部门本年度结转结余资金总额与上年度结转结余资金总额的变动比率，用以反映和考核部门对控制结转结余资金的努力程度。</w:t>
            </w:r>
          </w:p>
          <w:p w14:paraId="1AF87975">
            <w:pPr>
              <w:widowControl/>
              <w:spacing w:line="240" w:lineRule="exact"/>
              <w:jc w:val="left"/>
              <w:rPr>
                <w:rFonts w:ascii="仿宋" w:hAnsi="仿宋" w:eastAsia="仿宋" w:cs="Arial"/>
                <w:kern w:val="0"/>
                <w:szCs w:val="21"/>
              </w:rPr>
            </w:pPr>
            <w:r>
              <w:rPr>
                <w:rFonts w:hint="eastAsia" w:ascii="仿宋" w:hAnsi="仿宋" w:eastAsia="仿宋" w:cs="Arial"/>
                <w:kern w:val="0"/>
                <w:szCs w:val="21"/>
              </w:rPr>
              <w:t>结转结余变动率=〔（本年度累计结转结余资金总额-上年度累计结转结余资金总额）/上年度累计结转结余资金总额〕×100%。</w:t>
            </w:r>
          </w:p>
        </w:tc>
        <w:tc>
          <w:tcPr>
            <w:tcW w:w="1899" w:type="dxa"/>
            <w:tcBorders>
              <w:top w:val="single" w:color="000000" w:sz="4" w:space="0"/>
              <w:left w:val="single" w:color="auto" w:sz="4" w:space="0"/>
              <w:bottom w:val="single" w:color="000000" w:sz="4" w:space="0"/>
              <w:right w:val="single" w:color="auto" w:sz="4" w:space="0"/>
            </w:tcBorders>
            <w:vAlign w:val="center"/>
          </w:tcPr>
          <w:p w14:paraId="784D1D1A">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目标值为≤0%；达到目标值得3分，未达到目标值的采用比率扣分法：扣分值=结转结余变动率×2×10，变动率达10%以上的扣2分。</w:t>
            </w:r>
          </w:p>
        </w:tc>
        <w:tc>
          <w:tcPr>
            <w:tcW w:w="794" w:type="dxa"/>
            <w:tcBorders>
              <w:top w:val="single" w:color="000000" w:sz="4" w:space="0"/>
              <w:left w:val="single" w:color="auto" w:sz="4" w:space="0"/>
              <w:bottom w:val="single" w:color="000000" w:sz="4" w:space="0"/>
              <w:right w:val="single" w:color="000000" w:sz="4" w:space="0"/>
            </w:tcBorders>
            <w:vAlign w:val="center"/>
          </w:tcPr>
          <w:p w14:paraId="3B0817F7">
            <w:pPr>
              <w:widowControl/>
              <w:spacing w:line="240" w:lineRule="exact"/>
              <w:jc w:val="center"/>
              <w:rPr>
                <w:rFonts w:ascii="宋体" w:hAnsi="宋体" w:eastAsia="仿宋" w:cs="Arial"/>
                <w:kern w:val="0"/>
                <w:sz w:val="20"/>
                <w:szCs w:val="24"/>
              </w:rPr>
            </w:pPr>
            <w:r>
              <w:rPr>
                <w:rFonts w:hint="eastAsia" w:ascii="宋体" w:hAnsi="宋体" w:eastAsia="仿宋" w:cs="Arial"/>
                <w:kern w:val="0"/>
                <w:sz w:val="20"/>
                <w:szCs w:val="24"/>
              </w:rPr>
              <w:t>3</w:t>
            </w:r>
          </w:p>
        </w:tc>
      </w:tr>
      <w:tr w14:paraId="1A7962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35" w:hRule="atLeast"/>
          <w:jc w:val="center"/>
        </w:trPr>
        <w:tc>
          <w:tcPr>
            <w:tcW w:w="769" w:type="dxa"/>
            <w:vMerge w:val="continue"/>
            <w:tcBorders>
              <w:left w:val="single" w:color="000000" w:sz="4" w:space="0"/>
              <w:right w:val="single" w:color="000000" w:sz="4" w:space="0"/>
            </w:tcBorders>
            <w:vAlign w:val="center"/>
          </w:tcPr>
          <w:p w14:paraId="108D5B5A">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14:paraId="112C2C87">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6B4EC638">
            <w:pPr>
              <w:widowControl/>
              <w:spacing w:line="240" w:lineRule="exact"/>
              <w:jc w:val="left"/>
              <w:rPr>
                <w:rFonts w:ascii="仿宋" w:hAnsi="仿宋" w:eastAsia="仿宋" w:cs="宋体"/>
                <w:kern w:val="0"/>
                <w:szCs w:val="21"/>
              </w:rPr>
            </w:pPr>
            <w:r>
              <w:rPr>
                <w:rFonts w:ascii="仿宋" w:hAnsi="仿宋" w:eastAsia="仿宋" w:cs="Arial"/>
                <w:kern w:val="0"/>
                <w:szCs w:val="21"/>
              </w:rPr>
              <w:t>公用经费控制率（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14:paraId="042C0A89">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通过对部门本年度实际支出的公用经费总额与预算安排的公用经费总额的比率，反映和评价部门对机构运转成本的实际控制程度。</w:t>
            </w:r>
          </w:p>
          <w:p w14:paraId="5606F9C7">
            <w:pPr>
              <w:widowControl/>
              <w:spacing w:line="240" w:lineRule="exact"/>
              <w:jc w:val="left"/>
              <w:rPr>
                <w:rFonts w:ascii="仿宋" w:hAnsi="仿宋" w:eastAsia="仿宋" w:cs="宋体"/>
                <w:kern w:val="0"/>
                <w:szCs w:val="21"/>
              </w:rPr>
            </w:pPr>
            <w:r>
              <w:rPr>
                <w:rFonts w:ascii="仿宋" w:hAnsi="仿宋" w:eastAsia="仿宋" w:cs="Arial"/>
                <w:kern w:val="0"/>
                <w:szCs w:val="21"/>
              </w:rPr>
              <w:t>公用经费控制率</w:t>
            </w:r>
            <w:r>
              <w:rPr>
                <w:rFonts w:hint="eastAsia" w:ascii="仿宋" w:hAnsi="仿宋" w:eastAsia="仿宋" w:cs="Arial"/>
                <w:kern w:val="0"/>
                <w:szCs w:val="21"/>
              </w:rPr>
              <w:t>=</w:t>
            </w:r>
            <w:r>
              <w:rPr>
                <w:rFonts w:ascii="仿宋" w:hAnsi="仿宋" w:eastAsia="仿宋" w:cs="Arial"/>
                <w:kern w:val="0"/>
                <w:szCs w:val="21"/>
              </w:rPr>
              <w:t>（实际支出公用经费总额</w:t>
            </w:r>
            <w:r>
              <w:rPr>
                <w:rFonts w:hint="eastAsia" w:ascii="仿宋" w:hAnsi="仿宋" w:eastAsia="仿宋" w:cs="Arial"/>
                <w:kern w:val="0"/>
                <w:szCs w:val="21"/>
              </w:rPr>
              <w:t>/</w:t>
            </w:r>
            <w:r>
              <w:rPr>
                <w:rFonts w:ascii="仿宋" w:hAnsi="仿宋" w:eastAsia="仿宋" w:cs="Arial"/>
                <w:kern w:val="0"/>
                <w:szCs w:val="21"/>
              </w:rPr>
              <w:t>预算安排公用经费总额）×</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000000" w:sz="4" w:space="0"/>
              <w:right w:val="single" w:color="auto" w:sz="4" w:space="0"/>
            </w:tcBorders>
            <w:vAlign w:val="center"/>
          </w:tcPr>
          <w:p w14:paraId="5F5A1403">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目标值为≤100%；达到目标值得3分，未达到目标值的每增加0.1个百分点扣0.1分，扣完为止。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14:paraId="3A03051A">
            <w:pPr>
              <w:widowControl/>
              <w:spacing w:line="240" w:lineRule="exact"/>
              <w:jc w:val="center"/>
              <w:rPr>
                <w:rFonts w:ascii="仿宋" w:hAnsi="仿宋" w:eastAsia="仿宋" w:cs="宋体"/>
                <w:kern w:val="0"/>
                <w:sz w:val="24"/>
                <w:szCs w:val="24"/>
              </w:rPr>
            </w:pPr>
            <w:r>
              <w:rPr>
                <w:rFonts w:hint="eastAsia" w:ascii="仿宋" w:hAnsi="仿宋" w:eastAsia="仿宋" w:cs="宋体"/>
                <w:kern w:val="0"/>
                <w:sz w:val="24"/>
                <w:szCs w:val="24"/>
              </w:rPr>
              <w:t>2.7</w:t>
            </w:r>
          </w:p>
        </w:tc>
      </w:tr>
      <w:tr w14:paraId="7A14FA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23" w:hRule="atLeast"/>
          <w:jc w:val="center"/>
        </w:trPr>
        <w:tc>
          <w:tcPr>
            <w:tcW w:w="769" w:type="dxa"/>
            <w:vMerge w:val="continue"/>
            <w:tcBorders>
              <w:left w:val="single" w:color="000000" w:sz="4" w:space="0"/>
              <w:right w:val="single" w:color="000000" w:sz="4" w:space="0"/>
            </w:tcBorders>
            <w:vAlign w:val="center"/>
          </w:tcPr>
          <w:p w14:paraId="0C78BD80">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14:paraId="73F548B0">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2CF76F96">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“三公经费”控制率（3分）</w:t>
            </w:r>
          </w:p>
        </w:tc>
        <w:tc>
          <w:tcPr>
            <w:tcW w:w="4536" w:type="dxa"/>
            <w:tcBorders>
              <w:top w:val="single" w:color="000000" w:sz="4" w:space="0"/>
              <w:left w:val="single" w:color="auto" w:sz="4" w:space="0"/>
              <w:bottom w:val="single" w:color="000000" w:sz="4" w:space="0"/>
              <w:right w:val="single" w:color="auto" w:sz="4" w:space="0"/>
            </w:tcBorders>
            <w:vAlign w:val="center"/>
          </w:tcPr>
          <w:p w14:paraId="5BD7F2A0">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部门（单位）本年度“三公经费”实际支出数与预算安排数的比率，用以反映和考核部门（单位）对“三公经费”的实际控制程度。</w:t>
            </w:r>
          </w:p>
          <w:p w14:paraId="470B817E">
            <w:pPr>
              <w:widowControl/>
              <w:spacing w:line="240" w:lineRule="exact"/>
              <w:jc w:val="left"/>
              <w:rPr>
                <w:rFonts w:ascii="仿宋" w:hAnsi="仿宋" w:eastAsia="仿宋" w:cs="Arial"/>
                <w:kern w:val="0"/>
                <w:szCs w:val="21"/>
              </w:rPr>
            </w:pPr>
            <w:r>
              <w:rPr>
                <w:rFonts w:hint="eastAsia" w:ascii="仿宋" w:hAnsi="仿宋" w:eastAsia="仿宋" w:cs="Arial"/>
                <w:kern w:val="0"/>
                <w:szCs w:val="21"/>
              </w:rPr>
              <w:t>“三公经费”控制率=（“三公经费”实际支出/“三公经费”预算安排数）×100%</w:t>
            </w:r>
          </w:p>
        </w:tc>
        <w:tc>
          <w:tcPr>
            <w:tcW w:w="1899" w:type="dxa"/>
            <w:tcBorders>
              <w:top w:val="single" w:color="000000" w:sz="4" w:space="0"/>
              <w:left w:val="single" w:color="auto" w:sz="4" w:space="0"/>
              <w:bottom w:val="single" w:color="000000" w:sz="4" w:space="0"/>
              <w:right w:val="single" w:color="auto" w:sz="4" w:space="0"/>
            </w:tcBorders>
            <w:vAlign w:val="center"/>
          </w:tcPr>
          <w:p w14:paraId="6987BED2">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目标值为≤100%；达到目标值得3分，未达到目标值的每增加0.1个百分点扣0.1分，扣完为止。</w:t>
            </w:r>
          </w:p>
        </w:tc>
        <w:tc>
          <w:tcPr>
            <w:tcW w:w="794" w:type="dxa"/>
            <w:tcBorders>
              <w:top w:val="single" w:color="000000" w:sz="4" w:space="0"/>
              <w:left w:val="single" w:color="auto" w:sz="4" w:space="0"/>
              <w:bottom w:val="single" w:color="000000" w:sz="4" w:space="0"/>
              <w:right w:val="single" w:color="000000" w:sz="4" w:space="0"/>
            </w:tcBorders>
            <w:vAlign w:val="center"/>
          </w:tcPr>
          <w:p w14:paraId="006BD0B9">
            <w:pPr>
              <w:widowControl/>
              <w:spacing w:line="240" w:lineRule="exact"/>
              <w:jc w:val="center"/>
              <w:rPr>
                <w:rFonts w:ascii="宋体" w:hAnsi="宋体" w:eastAsia="仿宋" w:cs="Arial"/>
                <w:kern w:val="0"/>
                <w:sz w:val="20"/>
                <w:szCs w:val="24"/>
              </w:rPr>
            </w:pPr>
            <w:r>
              <w:rPr>
                <w:rFonts w:hint="eastAsia" w:ascii="宋体" w:hAnsi="宋体" w:eastAsia="仿宋" w:cs="Arial"/>
                <w:kern w:val="0"/>
                <w:sz w:val="20"/>
                <w:szCs w:val="24"/>
              </w:rPr>
              <w:t>3</w:t>
            </w:r>
          </w:p>
        </w:tc>
      </w:tr>
      <w:tr w14:paraId="6C4618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1" w:hRule="atLeast"/>
          <w:jc w:val="center"/>
        </w:trPr>
        <w:tc>
          <w:tcPr>
            <w:tcW w:w="769" w:type="dxa"/>
            <w:vMerge w:val="continue"/>
            <w:tcBorders>
              <w:left w:val="single" w:color="000000" w:sz="4" w:space="0"/>
              <w:right w:val="single" w:color="000000" w:sz="4" w:space="0"/>
            </w:tcBorders>
            <w:vAlign w:val="center"/>
          </w:tcPr>
          <w:p w14:paraId="7C740B30">
            <w:pPr>
              <w:widowControl/>
              <w:jc w:val="left"/>
              <w:rPr>
                <w:rFonts w:ascii="仿宋" w:hAnsi="仿宋" w:eastAsia="仿宋" w:cs="宋体"/>
                <w:kern w:val="0"/>
                <w:sz w:val="24"/>
                <w:szCs w:val="24"/>
              </w:rPr>
            </w:pP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14:paraId="37EF79B0">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78DD8FB1">
            <w:pPr>
              <w:widowControl/>
              <w:spacing w:line="240" w:lineRule="exact"/>
              <w:jc w:val="left"/>
              <w:rPr>
                <w:rFonts w:ascii="仿宋" w:hAnsi="仿宋" w:eastAsia="仿宋" w:cs="宋体"/>
                <w:kern w:val="0"/>
                <w:szCs w:val="21"/>
              </w:rPr>
            </w:pPr>
            <w:r>
              <w:rPr>
                <w:rFonts w:ascii="仿宋" w:hAnsi="仿宋" w:eastAsia="仿宋" w:cs="Arial"/>
                <w:kern w:val="0"/>
                <w:szCs w:val="21"/>
              </w:rPr>
              <w:t>政府采购执行率（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14:paraId="140CE176">
            <w:pPr>
              <w:widowControl/>
              <w:spacing w:line="240" w:lineRule="exact"/>
              <w:jc w:val="left"/>
              <w:rPr>
                <w:rFonts w:ascii="仿宋" w:hAnsi="仿宋" w:eastAsia="仿宋" w:cs="宋体"/>
                <w:kern w:val="0"/>
                <w:szCs w:val="21"/>
              </w:rPr>
            </w:pPr>
            <w:r>
              <w:rPr>
                <w:rFonts w:ascii="仿宋" w:hAnsi="仿宋" w:eastAsia="仿宋" w:cs="Arial"/>
                <w:kern w:val="0"/>
                <w:szCs w:val="21"/>
              </w:rPr>
              <w:t>通过对部门本年度实际政府采购预算项目个数与政府采购预算项目个数的比较，反映和评价部门政府采购预算执行情况。</w:t>
            </w:r>
          </w:p>
          <w:p w14:paraId="7820A3EA">
            <w:pPr>
              <w:widowControl/>
              <w:spacing w:line="240" w:lineRule="exact"/>
              <w:jc w:val="left"/>
              <w:rPr>
                <w:rFonts w:ascii="仿宋" w:hAnsi="仿宋" w:eastAsia="仿宋" w:cs="宋体"/>
                <w:kern w:val="0"/>
                <w:szCs w:val="21"/>
              </w:rPr>
            </w:pPr>
            <w:r>
              <w:rPr>
                <w:rFonts w:ascii="仿宋" w:hAnsi="仿宋" w:eastAsia="仿宋" w:cs="Arial"/>
                <w:kern w:val="0"/>
                <w:szCs w:val="21"/>
              </w:rPr>
              <w:t>政府采购执行率</w:t>
            </w:r>
            <w:r>
              <w:rPr>
                <w:rFonts w:hint="eastAsia" w:ascii="仿宋" w:hAnsi="仿宋" w:eastAsia="仿宋" w:cs="Arial"/>
                <w:kern w:val="0"/>
                <w:szCs w:val="21"/>
              </w:rPr>
              <w:t>=</w:t>
            </w:r>
            <w:r>
              <w:rPr>
                <w:rFonts w:ascii="仿宋" w:hAnsi="仿宋" w:eastAsia="仿宋" w:cs="Arial"/>
                <w:kern w:val="0"/>
                <w:szCs w:val="21"/>
              </w:rPr>
              <w:t>（实际政府采购预算项目个数</w:t>
            </w:r>
            <w:r>
              <w:rPr>
                <w:rFonts w:hint="eastAsia" w:ascii="仿宋" w:hAnsi="仿宋" w:eastAsia="仿宋" w:cs="Arial"/>
                <w:kern w:val="0"/>
                <w:szCs w:val="21"/>
              </w:rPr>
              <w:t>/</w:t>
            </w:r>
            <w:r>
              <w:rPr>
                <w:rFonts w:ascii="仿宋" w:hAnsi="仿宋" w:eastAsia="仿宋" w:cs="Arial"/>
                <w:kern w:val="0"/>
                <w:szCs w:val="21"/>
              </w:rPr>
              <w:t>政府采购预算项目个数）×</w:t>
            </w:r>
            <w:r>
              <w:rPr>
                <w:rFonts w:hint="eastAsia" w:ascii="仿宋" w:hAnsi="仿宋" w:eastAsia="仿宋" w:cs="Arial"/>
                <w:kern w:val="0"/>
                <w:szCs w:val="21"/>
              </w:rPr>
              <w:t>100%</w:t>
            </w:r>
            <w:r>
              <w:rPr>
                <w:rFonts w:ascii="仿宋" w:hAnsi="仿宋" w:eastAsia="仿宋" w:cs="Arial"/>
                <w:kern w:val="0"/>
                <w:szCs w:val="21"/>
              </w:rPr>
              <w:t>。</w:t>
            </w:r>
          </w:p>
          <w:p w14:paraId="204DA762">
            <w:pPr>
              <w:widowControl/>
              <w:spacing w:line="240" w:lineRule="exact"/>
              <w:jc w:val="left"/>
              <w:rPr>
                <w:rFonts w:ascii="仿宋" w:hAnsi="仿宋" w:eastAsia="仿宋" w:cs="宋体"/>
                <w:kern w:val="0"/>
                <w:szCs w:val="21"/>
              </w:rPr>
            </w:pPr>
            <w:r>
              <w:rPr>
                <w:rFonts w:ascii="仿宋" w:hAnsi="仿宋" w:eastAsia="仿宋" w:cs="Arial"/>
                <w:kern w:val="0"/>
                <w:szCs w:val="21"/>
              </w:rPr>
              <w:t>政府采购项目中非预算内安排的项目除外。</w:t>
            </w:r>
          </w:p>
        </w:tc>
        <w:tc>
          <w:tcPr>
            <w:tcW w:w="1899" w:type="dxa"/>
            <w:tcBorders>
              <w:top w:val="single" w:color="000000" w:sz="4" w:space="0"/>
              <w:left w:val="single" w:color="auto" w:sz="4" w:space="0"/>
              <w:bottom w:val="single" w:color="000000" w:sz="4" w:space="0"/>
              <w:right w:val="single" w:color="auto" w:sz="4" w:space="0"/>
            </w:tcBorders>
            <w:vAlign w:val="center"/>
          </w:tcPr>
          <w:p w14:paraId="44EE0DE8">
            <w:pPr>
              <w:widowControl/>
              <w:spacing w:line="240" w:lineRule="exact"/>
              <w:jc w:val="left"/>
              <w:rPr>
                <w:rFonts w:ascii="仿宋" w:hAnsi="仿宋" w:eastAsia="仿宋" w:cs="宋体"/>
                <w:kern w:val="0"/>
                <w:szCs w:val="21"/>
              </w:rPr>
            </w:pPr>
            <w:r>
              <w:rPr>
                <w:rFonts w:hint="eastAsia" w:ascii="仿宋" w:hAnsi="仿宋" w:eastAsia="仿宋" w:cs="宋体"/>
                <w:kern w:val="0"/>
                <w:szCs w:val="21"/>
              </w:rPr>
              <w:t>目标值为100%；以3分为上限，采用完成比率法计分：得分=政府采购执行率×3。</w:t>
            </w:r>
          </w:p>
        </w:tc>
        <w:tc>
          <w:tcPr>
            <w:tcW w:w="794" w:type="dxa"/>
            <w:tcBorders>
              <w:top w:val="single" w:color="000000" w:sz="4" w:space="0"/>
              <w:left w:val="single" w:color="auto" w:sz="4" w:space="0"/>
              <w:bottom w:val="single" w:color="000000" w:sz="4" w:space="0"/>
              <w:right w:val="single" w:color="000000" w:sz="4" w:space="0"/>
            </w:tcBorders>
            <w:vAlign w:val="center"/>
          </w:tcPr>
          <w:p w14:paraId="2EE17440">
            <w:pPr>
              <w:widowControl/>
              <w:spacing w:line="240" w:lineRule="exact"/>
              <w:jc w:val="center"/>
              <w:rPr>
                <w:rFonts w:ascii="仿宋" w:hAnsi="仿宋" w:eastAsia="仿宋" w:cs="宋体"/>
                <w:kern w:val="0"/>
                <w:sz w:val="24"/>
                <w:szCs w:val="24"/>
              </w:rPr>
            </w:pPr>
            <w:r>
              <w:rPr>
                <w:rFonts w:hint="eastAsia" w:ascii="仿宋" w:hAnsi="仿宋" w:eastAsia="仿宋" w:cs="宋体"/>
                <w:kern w:val="0"/>
                <w:sz w:val="24"/>
                <w:szCs w:val="24"/>
              </w:rPr>
              <w:t>3</w:t>
            </w:r>
          </w:p>
        </w:tc>
      </w:tr>
      <w:tr w14:paraId="63EF8A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14" w:hRule="atLeast"/>
          <w:jc w:val="center"/>
        </w:trPr>
        <w:tc>
          <w:tcPr>
            <w:tcW w:w="769" w:type="dxa"/>
            <w:vMerge w:val="continue"/>
            <w:tcBorders>
              <w:left w:val="single" w:color="000000" w:sz="4" w:space="0"/>
              <w:right w:val="single" w:color="000000" w:sz="4" w:space="0"/>
            </w:tcBorders>
            <w:vAlign w:val="center"/>
          </w:tcPr>
          <w:p w14:paraId="02F9A637">
            <w:pPr>
              <w:widowControl/>
              <w:jc w:val="left"/>
              <w:rPr>
                <w:rFonts w:ascii="仿宋" w:hAnsi="仿宋" w:eastAsia="仿宋" w:cs="宋体"/>
                <w:kern w:val="0"/>
                <w:sz w:val="24"/>
                <w:szCs w:val="24"/>
              </w:rPr>
            </w:pPr>
          </w:p>
        </w:tc>
        <w:tc>
          <w:tcPr>
            <w:tcW w:w="1049" w:type="dxa"/>
            <w:vMerge w:val="restart"/>
            <w:tcBorders>
              <w:top w:val="single" w:color="000000" w:sz="4" w:space="0"/>
              <w:left w:val="single" w:color="000000" w:sz="4" w:space="0"/>
              <w:right w:val="single" w:color="000000" w:sz="4" w:space="0"/>
            </w:tcBorders>
            <w:vAlign w:val="center"/>
          </w:tcPr>
          <w:p w14:paraId="2F1F86FE">
            <w:pPr>
              <w:widowControl/>
              <w:spacing w:line="240" w:lineRule="exact"/>
              <w:jc w:val="center"/>
              <w:rPr>
                <w:rFonts w:ascii="仿宋" w:hAnsi="仿宋" w:eastAsia="仿宋" w:cs="宋体"/>
                <w:kern w:val="0"/>
                <w:sz w:val="24"/>
                <w:szCs w:val="24"/>
              </w:rPr>
            </w:pPr>
            <w:r>
              <w:rPr>
                <w:rFonts w:ascii="仿宋" w:hAnsi="仿宋" w:eastAsia="仿宋" w:cs="Arial"/>
                <w:kern w:val="0"/>
                <w:sz w:val="24"/>
                <w:szCs w:val="24"/>
              </w:rPr>
              <w:t>预算管理</w:t>
            </w:r>
          </w:p>
          <w:p w14:paraId="41718089">
            <w:pPr>
              <w:spacing w:line="68" w:lineRule="atLeast"/>
              <w:jc w:val="center"/>
              <w:rPr>
                <w:rFonts w:ascii="仿宋" w:hAnsi="仿宋" w:eastAsia="仿宋" w:cs="宋体"/>
                <w:kern w:val="0"/>
                <w:sz w:val="24"/>
                <w:szCs w:val="24"/>
              </w:rPr>
            </w:pPr>
            <w:r>
              <w:rPr>
                <w:rFonts w:ascii="仿宋" w:hAnsi="仿宋" w:eastAsia="仿宋" w:cs="Arial"/>
                <w:kern w:val="0"/>
                <w:sz w:val="24"/>
                <w:szCs w:val="24"/>
              </w:rPr>
              <w:t>（</w:t>
            </w:r>
            <w:r>
              <w:rPr>
                <w:rFonts w:hint="eastAsia" w:ascii="仿宋" w:hAnsi="仿宋" w:eastAsia="仿宋" w:cs="Arial"/>
                <w:kern w:val="0"/>
                <w:sz w:val="24"/>
                <w:szCs w:val="24"/>
              </w:rPr>
              <w:t>18分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14:paraId="236B696A">
            <w:pPr>
              <w:widowControl/>
              <w:spacing w:line="240" w:lineRule="exact"/>
              <w:jc w:val="left"/>
              <w:rPr>
                <w:rFonts w:ascii="仿宋" w:hAnsi="仿宋" w:eastAsia="仿宋" w:cs="Arial"/>
                <w:kern w:val="0"/>
                <w:szCs w:val="21"/>
              </w:rPr>
            </w:pPr>
            <w:r>
              <w:rPr>
                <w:rFonts w:hint="eastAsia" w:ascii="仿宋" w:hAnsi="仿宋" w:eastAsia="仿宋" w:cs="Arial"/>
                <w:kern w:val="0"/>
                <w:szCs w:val="21"/>
              </w:rPr>
              <w:t>管理制度健全性</w:t>
            </w:r>
          </w:p>
          <w:p w14:paraId="1770F02F">
            <w:pPr>
              <w:widowControl/>
              <w:spacing w:line="240" w:lineRule="exact"/>
              <w:jc w:val="left"/>
              <w:rPr>
                <w:rFonts w:ascii="仿宋" w:hAnsi="仿宋" w:eastAsia="仿宋" w:cs="Arial"/>
                <w:kern w:val="0"/>
                <w:szCs w:val="21"/>
              </w:rPr>
            </w:pPr>
            <w:r>
              <w:rPr>
                <w:rFonts w:hint="eastAsia" w:ascii="仿宋" w:hAnsi="仿宋" w:eastAsia="仿宋" w:cs="Arial"/>
                <w:kern w:val="0"/>
                <w:szCs w:val="21"/>
              </w:rPr>
              <w:t>（2分）</w:t>
            </w:r>
          </w:p>
        </w:tc>
        <w:tc>
          <w:tcPr>
            <w:tcW w:w="4536" w:type="dxa"/>
            <w:tcBorders>
              <w:top w:val="single" w:color="000000" w:sz="4" w:space="0"/>
              <w:left w:val="single" w:color="auto" w:sz="4" w:space="0"/>
              <w:bottom w:val="single" w:color="000000" w:sz="4" w:space="0"/>
              <w:right w:val="single" w:color="auto" w:sz="4" w:space="0"/>
            </w:tcBorders>
            <w:vAlign w:val="center"/>
          </w:tcPr>
          <w:p w14:paraId="08553AD1">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部门为加强预算管理，规范财务行为而制定的管理制度是否健全完整，用以反映和考核部门预算管理制度对完成主要职责或促进事业发展的保障情况。</w:t>
            </w:r>
          </w:p>
          <w:p w14:paraId="7DCABC62">
            <w:pPr>
              <w:widowControl/>
              <w:spacing w:line="240" w:lineRule="exact"/>
              <w:jc w:val="left"/>
              <w:rPr>
                <w:rFonts w:ascii="仿宋" w:hAnsi="仿宋" w:eastAsia="仿宋" w:cs="Arial"/>
                <w:kern w:val="0"/>
                <w:szCs w:val="21"/>
              </w:rPr>
            </w:pPr>
            <w:r>
              <w:rPr>
                <w:rFonts w:hint="eastAsia" w:ascii="仿宋" w:hAnsi="仿宋" w:eastAsia="仿宋" w:cs="Arial"/>
                <w:kern w:val="0"/>
                <w:szCs w:val="21"/>
              </w:rPr>
              <w:t>评价要点：</w:t>
            </w:r>
          </w:p>
          <w:p w14:paraId="444A3DBE">
            <w:pPr>
              <w:widowControl/>
              <w:spacing w:line="240" w:lineRule="exact"/>
              <w:jc w:val="left"/>
              <w:rPr>
                <w:rFonts w:ascii="仿宋" w:hAnsi="仿宋" w:eastAsia="仿宋" w:cs="Arial"/>
                <w:kern w:val="0"/>
                <w:szCs w:val="21"/>
              </w:rPr>
            </w:pPr>
            <w:r>
              <w:rPr>
                <w:rFonts w:hint="eastAsia" w:ascii="仿宋" w:hAnsi="仿宋" w:eastAsia="仿宋" w:cs="Arial"/>
                <w:kern w:val="0"/>
                <w:szCs w:val="21"/>
              </w:rPr>
              <w:t>1．是否已制定或具有预算资金管理办法、内部财务管理制度、会计核算制度等管理制度；</w:t>
            </w:r>
          </w:p>
          <w:p w14:paraId="3C69ABA5">
            <w:pPr>
              <w:widowControl/>
              <w:spacing w:line="240" w:lineRule="exact"/>
              <w:jc w:val="left"/>
              <w:rPr>
                <w:rFonts w:ascii="仿宋" w:hAnsi="仿宋" w:eastAsia="仿宋" w:cs="Arial"/>
                <w:kern w:val="0"/>
                <w:szCs w:val="21"/>
              </w:rPr>
            </w:pPr>
            <w:r>
              <w:rPr>
                <w:rFonts w:hint="eastAsia" w:ascii="仿宋" w:hAnsi="仿宋" w:eastAsia="仿宋" w:cs="Arial"/>
                <w:kern w:val="0"/>
                <w:szCs w:val="21"/>
              </w:rPr>
              <w:t>2.相关管理制度是否合法、合规、完整；</w:t>
            </w:r>
          </w:p>
          <w:p w14:paraId="0B28E92C">
            <w:pPr>
              <w:widowControl/>
              <w:spacing w:line="240" w:lineRule="exact"/>
              <w:jc w:val="left"/>
              <w:rPr>
                <w:rFonts w:ascii="仿宋" w:hAnsi="仿宋" w:eastAsia="仿宋" w:cs="Arial"/>
                <w:kern w:val="0"/>
                <w:szCs w:val="21"/>
              </w:rPr>
            </w:pPr>
            <w:r>
              <w:rPr>
                <w:rFonts w:hint="eastAsia" w:ascii="仿宋" w:hAnsi="仿宋" w:eastAsia="仿宋" w:cs="Arial"/>
                <w:kern w:val="0"/>
                <w:szCs w:val="21"/>
              </w:rPr>
              <w:t>3.相关管理制度是否得到有效执行。</w:t>
            </w:r>
          </w:p>
        </w:tc>
        <w:tc>
          <w:tcPr>
            <w:tcW w:w="1899" w:type="dxa"/>
            <w:tcBorders>
              <w:top w:val="single" w:color="000000" w:sz="4" w:space="0"/>
              <w:left w:val="single" w:color="auto" w:sz="4" w:space="0"/>
              <w:bottom w:val="single" w:color="000000" w:sz="4" w:space="0"/>
              <w:right w:val="single" w:color="auto" w:sz="4" w:space="0"/>
            </w:tcBorders>
            <w:vAlign w:val="center"/>
          </w:tcPr>
          <w:p w14:paraId="27BD7303">
            <w:pPr>
              <w:widowControl/>
              <w:spacing w:line="240" w:lineRule="exact"/>
              <w:jc w:val="left"/>
              <w:rPr>
                <w:rFonts w:ascii="仿宋" w:hAnsi="仿宋" w:eastAsia="仿宋" w:cs="Arial"/>
                <w:kern w:val="0"/>
                <w:szCs w:val="21"/>
              </w:rPr>
            </w:pPr>
            <w:r>
              <w:rPr>
                <w:rFonts w:ascii="仿宋" w:hAnsi="仿宋" w:eastAsia="仿宋" w:cs="Arial"/>
                <w:kern w:val="0"/>
                <w:szCs w:val="21"/>
              </w:rPr>
              <w:t>全部符合（</w:t>
            </w:r>
            <w:r>
              <w:rPr>
                <w:rFonts w:hint="eastAsia" w:ascii="仿宋" w:hAnsi="仿宋" w:eastAsia="仿宋" w:cs="Arial"/>
                <w:kern w:val="0"/>
                <w:szCs w:val="21"/>
              </w:rPr>
              <w:t>2分</w:t>
            </w:r>
            <w:r>
              <w:rPr>
                <w:rFonts w:ascii="仿宋" w:hAnsi="仿宋" w:eastAsia="仿宋" w:cs="Arial"/>
                <w:kern w:val="0"/>
                <w:szCs w:val="21"/>
              </w:rPr>
              <w:t>）；</w:t>
            </w:r>
          </w:p>
          <w:p w14:paraId="30B6A68A">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1分</w:t>
            </w:r>
            <w:r>
              <w:rPr>
                <w:rFonts w:ascii="仿宋" w:hAnsi="仿宋" w:eastAsia="仿宋" w:cs="Arial"/>
                <w:kern w:val="0"/>
                <w:szCs w:val="21"/>
              </w:rPr>
              <w:t>）</w:t>
            </w:r>
          </w:p>
          <w:p w14:paraId="3FCC6D75">
            <w:pPr>
              <w:widowControl/>
              <w:spacing w:line="240" w:lineRule="exact"/>
              <w:jc w:val="left"/>
              <w:rPr>
                <w:rFonts w:ascii="仿宋" w:hAnsi="仿宋" w:eastAsia="仿宋" w:cs="宋体"/>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14:paraId="2B0D632C">
            <w:pPr>
              <w:widowControl/>
              <w:spacing w:line="240" w:lineRule="exact"/>
              <w:jc w:val="center"/>
              <w:rPr>
                <w:rFonts w:ascii="宋体" w:hAnsi="宋体" w:eastAsia="仿宋" w:cs="Arial"/>
                <w:kern w:val="0"/>
                <w:sz w:val="20"/>
                <w:szCs w:val="24"/>
              </w:rPr>
            </w:pPr>
            <w:r>
              <w:rPr>
                <w:rFonts w:hint="eastAsia" w:ascii="宋体" w:hAnsi="宋体" w:eastAsia="仿宋" w:cs="Arial"/>
                <w:kern w:val="0"/>
                <w:sz w:val="20"/>
                <w:szCs w:val="24"/>
              </w:rPr>
              <w:t>2</w:t>
            </w:r>
          </w:p>
        </w:tc>
      </w:tr>
      <w:tr w14:paraId="680399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79" w:hRule="atLeast"/>
          <w:jc w:val="center"/>
        </w:trPr>
        <w:tc>
          <w:tcPr>
            <w:tcW w:w="769" w:type="dxa"/>
            <w:vMerge w:val="continue"/>
            <w:tcBorders>
              <w:left w:val="single" w:color="000000" w:sz="4" w:space="0"/>
              <w:right w:val="single" w:color="000000" w:sz="4" w:space="0"/>
            </w:tcBorders>
            <w:vAlign w:val="center"/>
          </w:tcPr>
          <w:p w14:paraId="568C0EBB">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14:paraId="361D23E6">
            <w:pPr>
              <w:widowControl/>
              <w:spacing w:line="68" w:lineRule="atLeast"/>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1D67800C">
            <w:pPr>
              <w:widowControl/>
              <w:spacing w:line="68" w:lineRule="atLeast"/>
              <w:jc w:val="left"/>
              <w:rPr>
                <w:rFonts w:ascii="仿宋" w:hAnsi="仿宋" w:eastAsia="仿宋" w:cs="Arial"/>
                <w:kern w:val="0"/>
                <w:szCs w:val="21"/>
              </w:rPr>
            </w:pPr>
            <w:r>
              <w:rPr>
                <w:rFonts w:ascii="仿宋" w:hAnsi="仿宋" w:eastAsia="仿宋" w:cs="Arial"/>
                <w:kern w:val="0"/>
                <w:szCs w:val="21"/>
              </w:rPr>
              <w:t>资金使用合规性</w:t>
            </w:r>
          </w:p>
          <w:p w14:paraId="6BBD8716">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9分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14:paraId="71C02EB6">
            <w:pPr>
              <w:widowControl/>
              <w:spacing w:line="240" w:lineRule="exact"/>
              <w:jc w:val="left"/>
              <w:rPr>
                <w:rFonts w:ascii="仿宋" w:hAnsi="仿宋" w:eastAsia="仿宋" w:cs="宋体"/>
                <w:kern w:val="0"/>
                <w:szCs w:val="21"/>
              </w:rPr>
            </w:pPr>
            <w:r>
              <w:rPr>
                <w:rFonts w:ascii="仿宋" w:hAnsi="仿宋" w:eastAsia="仿宋" w:cs="Arial"/>
                <w:kern w:val="0"/>
                <w:szCs w:val="21"/>
              </w:rPr>
              <w:t>部门使用预算资金是否符合相关的预算财务管理制度的规定，反映和评价部门预算资金的规范运行情况。</w:t>
            </w:r>
          </w:p>
          <w:p w14:paraId="661FC42C">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14:paraId="346F151B">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符合国家财经法规和财务管理制度规定以及有关部门资金管理办法的规定；</w:t>
            </w:r>
          </w:p>
          <w:p w14:paraId="0D29DBA8">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资金的拨付有完整的审批过程和手续；</w:t>
            </w:r>
          </w:p>
          <w:p w14:paraId="4969EA3D">
            <w:pPr>
              <w:widowControl/>
              <w:spacing w:line="240" w:lineRule="exac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项目的重大开支经过评估论证；</w:t>
            </w:r>
          </w:p>
          <w:p w14:paraId="7B7F6513">
            <w:pPr>
              <w:widowControl/>
              <w:spacing w:line="240" w:lineRule="exact"/>
              <w:jc w:val="left"/>
              <w:rPr>
                <w:rFonts w:ascii="仿宋" w:hAnsi="仿宋" w:eastAsia="仿宋" w:cs="宋体"/>
                <w:kern w:val="0"/>
                <w:szCs w:val="21"/>
              </w:rPr>
            </w:pPr>
            <w:r>
              <w:rPr>
                <w:rFonts w:hint="eastAsia" w:ascii="仿宋" w:hAnsi="仿宋" w:eastAsia="仿宋" w:cs="Arial"/>
                <w:kern w:val="0"/>
                <w:szCs w:val="21"/>
              </w:rPr>
              <w:t>4.</w:t>
            </w:r>
            <w:r>
              <w:rPr>
                <w:rFonts w:ascii="仿宋" w:hAnsi="仿宋" w:eastAsia="仿宋" w:cs="Arial"/>
                <w:kern w:val="0"/>
                <w:szCs w:val="21"/>
              </w:rPr>
              <w:t>符合部门预算批复的用途；</w:t>
            </w:r>
          </w:p>
          <w:p w14:paraId="37C095D6">
            <w:pPr>
              <w:widowControl/>
              <w:spacing w:line="240" w:lineRule="exact"/>
              <w:jc w:val="left"/>
              <w:rPr>
                <w:rFonts w:ascii="仿宋" w:hAnsi="仿宋" w:eastAsia="仿宋" w:cs="宋体"/>
                <w:kern w:val="0"/>
                <w:szCs w:val="21"/>
              </w:rPr>
            </w:pPr>
            <w:r>
              <w:rPr>
                <w:rFonts w:hint="eastAsia" w:ascii="仿宋" w:hAnsi="仿宋" w:eastAsia="仿宋" w:cs="Arial"/>
                <w:kern w:val="0"/>
                <w:szCs w:val="21"/>
              </w:rPr>
              <w:t>5.</w:t>
            </w:r>
            <w:r>
              <w:rPr>
                <w:rFonts w:ascii="仿宋" w:hAnsi="仿宋" w:eastAsia="仿宋" w:cs="Arial"/>
                <w:kern w:val="0"/>
                <w:szCs w:val="21"/>
              </w:rPr>
              <w:t>不存在截留情况；</w:t>
            </w:r>
            <w:r>
              <w:rPr>
                <w:rFonts w:hint="eastAsia" w:ascii="仿宋" w:hAnsi="仿宋" w:eastAsia="仿宋" w:cs="Arial"/>
                <w:kern w:val="0"/>
                <w:szCs w:val="21"/>
              </w:rPr>
              <w:t>6.</w:t>
            </w:r>
            <w:r>
              <w:rPr>
                <w:rFonts w:ascii="仿宋" w:hAnsi="仿宋" w:eastAsia="仿宋" w:cs="Arial"/>
                <w:kern w:val="0"/>
                <w:szCs w:val="21"/>
              </w:rPr>
              <w:t>不存在挤占情况；</w:t>
            </w:r>
          </w:p>
          <w:p w14:paraId="54CB304E">
            <w:pPr>
              <w:widowControl/>
              <w:spacing w:line="240" w:lineRule="exact"/>
              <w:jc w:val="left"/>
              <w:rPr>
                <w:rFonts w:ascii="仿宋" w:hAnsi="仿宋" w:eastAsia="仿宋" w:cs="宋体"/>
                <w:kern w:val="0"/>
                <w:szCs w:val="21"/>
              </w:rPr>
            </w:pPr>
            <w:r>
              <w:rPr>
                <w:rFonts w:hint="eastAsia" w:ascii="仿宋" w:hAnsi="仿宋" w:eastAsia="仿宋" w:cs="Arial"/>
                <w:kern w:val="0"/>
                <w:szCs w:val="21"/>
              </w:rPr>
              <w:t>7.</w:t>
            </w:r>
            <w:r>
              <w:rPr>
                <w:rFonts w:ascii="仿宋" w:hAnsi="仿宋" w:eastAsia="仿宋" w:cs="Arial"/>
                <w:kern w:val="0"/>
                <w:szCs w:val="21"/>
              </w:rPr>
              <w:t>不存在挪用情况；</w:t>
            </w:r>
            <w:r>
              <w:rPr>
                <w:rFonts w:hint="eastAsia" w:ascii="仿宋" w:hAnsi="仿宋" w:eastAsia="仿宋" w:cs="Arial"/>
                <w:kern w:val="0"/>
                <w:szCs w:val="21"/>
              </w:rPr>
              <w:t>8.</w:t>
            </w:r>
            <w:r>
              <w:rPr>
                <w:rFonts w:ascii="仿宋" w:hAnsi="仿宋" w:eastAsia="仿宋" w:cs="Arial"/>
                <w:kern w:val="0"/>
                <w:szCs w:val="21"/>
              </w:rPr>
              <w:t>不存在虚列支出情况。</w:t>
            </w:r>
          </w:p>
        </w:tc>
        <w:tc>
          <w:tcPr>
            <w:tcW w:w="1899" w:type="dxa"/>
            <w:tcBorders>
              <w:top w:val="single" w:color="000000" w:sz="4" w:space="0"/>
              <w:left w:val="single" w:color="auto" w:sz="4" w:space="0"/>
              <w:bottom w:val="single" w:color="000000" w:sz="4" w:space="0"/>
              <w:right w:val="single" w:color="auto" w:sz="4" w:space="0"/>
            </w:tcBorders>
            <w:vAlign w:val="center"/>
          </w:tcPr>
          <w:p w14:paraId="687E68AB">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9分</w:t>
            </w:r>
            <w:r>
              <w:rPr>
                <w:rFonts w:ascii="仿宋" w:hAnsi="仿宋" w:eastAsia="仿宋" w:cs="Arial"/>
                <w:kern w:val="0"/>
                <w:szCs w:val="21"/>
              </w:rPr>
              <w:t>）；</w:t>
            </w:r>
          </w:p>
          <w:p w14:paraId="524914F9">
            <w:pPr>
              <w:widowControl/>
              <w:spacing w:line="240" w:lineRule="exact"/>
              <w:jc w:val="left"/>
              <w:rPr>
                <w:rFonts w:ascii="仿宋" w:hAnsi="仿宋" w:eastAsia="仿宋" w:cs="宋体"/>
                <w:kern w:val="0"/>
                <w:szCs w:val="21"/>
              </w:rPr>
            </w:pPr>
            <w:r>
              <w:rPr>
                <w:rFonts w:ascii="仿宋" w:hAnsi="仿宋" w:eastAsia="仿宋" w:cs="Arial"/>
                <w:kern w:val="0"/>
                <w:szCs w:val="21"/>
              </w:rPr>
              <w:t>符合其中七项（</w:t>
            </w:r>
            <w:r>
              <w:rPr>
                <w:rFonts w:hint="eastAsia" w:ascii="仿宋" w:hAnsi="仿宋" w:eastAsia="仿宋" w:cs="Arial"/>
                <w:kern w:val="0"/>
                <w:szCs w:val="21"/>
              </w:rPr>
              <w:t>8分</w:t>
            </w:r>
            <w:r>
              <w:rPr>
                <w:rFonts w:ascii="仿宋" w:hAnsi="仿宋" w:eastAsia="仿宋" w:cs="Arial"/>
                <w:kern w:val="0"/>
                <w:szCs w:val="21"/>
              </w:rPr>
              <w:t>）；</w:t>
            </w:r>
          </w:p>
          <w:p w14:paraId="4C8BB863">
            <w:pPr>
              <w:widowControl/>
              <w:spacing w:line="240" w:lineRule="exact"/>
              <w:jc w:val="left"/>
              <w:rPr>
                <w:rFonts w:ascii="仿宋" w:hAnsi="仿宋" w:eastAsia="仿宋" w:cs="宋体"/>
                <w:kern w:val="0"/>
                <w:szCs w:val="21"/>
              </w:rPr>
            </w:pPr>
            <w:r>
              <w:rPr>
                <w:rFonts w:ascii="仿宋" w:hAnsi="仿宋" w:eastAsia="仿宋" w:cs="Arial"/>
                <w:kern w:val="0"/>
                <w:szCs w:val="21"/>
              </w:rPr>
              <w:t>符合其中六项（</w:t>
            </w:r>
            <w:r>
              <w:rPr>
                <w:rFonts w:hint="eastAsia" w:ascii="仿宋" w:hAnsi="仿宋" w:eastAsia="仿宋" w:cs="Arial"/>
                <w:kern w:val="0"/>
                <w:szCs w:val="21"/>
              </w:rPr>
              <w:t>5分</w:t>
            </w:r>
            <w:r>
              <w:rPr>
                <w:rFonts w:ascii="仿宋" w:hAnsi="仿宋" w:eastAsia="仿宋" w:cs="Arial"/>
                <w:kern w:val="0"/>
                <w:szCs w:val="21"/>
              </w:rPr>
              <w:t>）；</w:t>
            </w:r>
          </w:p>
          <w:p w14:paraId="7BF651CF">
            <w:pPr>
              <w:widowControl/>
              <w:spacing w:line="240" w:lineRule="exact"/>
              <w:jc w:val="left"/>
              <w:rPr>
                <w:rFonts w:ascii="仿宋" w:hAnsi="仿宋" w:eastAsia="仿宋" w:cs="宋体"/>
                <w:kern w:val="0"/>
                <w:szCs w:val="21"/>
              </w:rPr>
            </w:pPr>
            <w:r>
              <w:rPr>
                <w:rFonts w:ascii="仿宋" w:hAnsi="仿宋" w:eastAsia="仿宋" w:cs="Arial"/>
                <w:kern w:val="0"/>
                <w:szCs w:val="21"/>
              </w:rPr>
              <w:t>符合其中五项（</w:t>
            </w:r>
            <w:r>
              <w:rPr>
                <w:rFonts w:hint="eastAsia" w:ascii="仿宋" w:hAnsi="仿宋" w:eastAsia="仿宋" w:cs="Arial"/>
                <w:kern w:val="0"/>
                <w:szCs w:val="21"/>
              </w:rPr>
              <w:t>3分</w:t>
            </w:r>
            <w:r>
              <w:rPr>
                <w:rFonts w:ascii="仿宋" w:hAnsi="仿宋" w:eastAsia="仿宋" w:cs="Arial"/>
                <w:kern w:val="0"/>
                <w:szCs w:val="21"/>
              </w:rPr>
              <w:t>）；</w:t>
            </w:r>
          </w:p>
          <w:p w14:paraId="501AB17E">
            <w:pPr>
              <w:widowControl/>
              <w:spacing w:line="68" w:lineRule="atLeast"/>
              <w:jc w:val="left"/>
              <w:rPr>
                <w:rFonts w:ascii="仿宋" w:hAnsi="仿宋" w:eastAsia="仿宋" w:cs="宋体"/>
                <w:kern w:val="0"/>
                <w:szCs w:val="21"/>
              </w:rPr>
            </w:pPr>
            <w:r>
              <w:rPr>
                <w:rFonts w:ascii="仿宋" w:hAnsi="仿宋" w:eastAsia="仿宋" w:cs="Arial"/>
                <w:kern w:val="0"/>
                <w:szCs w:val="21"/>
              </w:rPr>
              <w:t>符合其中四项及以下（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14:paraId="2D785BE0">
            <w:pPr>
              <w:widowControl/>
              <w:spacing w:line="68" w:lineRule="atLeast"/>
              <w:jc w:val="center"/>
              <w:rPr>
                <w:rFonts w:ascii="仿宋" w:hAnsi="仿宋" w:eastAsia="仿宋" w:cs="宋体"/>
                <w:kern w:val="0"/>
                <w:sz w:val="24"/>
                <w:szCs w:val="24"/>
              </w:rPr>
            </w:pPr>
            <w:r>
              <w:rPr>
                <w:rFonts w:hint="eastAsia" w:ascii="仿宋" w:hAnsi="仿宋" w:eastAsia="仿宋" w:cs="宋体"/>
                <w:kern w:val="0"/>
                <w:sz w:val="24"/>
                <w:szCs w:val="24"/>
              </w:rPr>
              <w:t>8</w:t>
            </w:r>
          </w:p>
        </w:tc>
      </w:tr>
      <w:tr w14:paraId="19EEBC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9" w:hRule="atLeast"/>
          <w:jc w:val="center"/>
        </w:trPr>
        <w:tc>
          <w:tcPr>
            <w:tcW w:w="769" w:type="dxa"/>
            <w:vMerge w:val="continue"/>
            <w:tcBorders>
              <w:left w:val="single" w:color="000000" w:sz="4" w:space="0"/>
              <w:right w:val="single" w:color="000000" w:sz="4" w:space="0"/>
            </w:tcBorders>
            <w:vAlign w:val="center"/>
          </w:tcPr>
          <w:p w14:paraId="25519CD8">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14:paraId="520D93E8">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15F958E5">
            <w:pPr>
              <w:widowControl/>
              <w:spacing w:line="68" w:lineRule="atLeast"/>
              <w:jc w:val="left"/>
              <w:rPr>
                <w:rFonts w:ascii="仿宋" w:hAnsi="仿宋" w:eastAsia="仿宋" w:cs="宋体"/>
                <w:kern w:val="0"/>
                <w:szCs w:val="21"/>
              </w:rPr>
            </w:pPr>
            <w:r>
              <w:rPr>
                <w:rFonts w:ascii="仿宋" w:hAnsi="仿宋" w:eastAsia="仿宋" w:cs="Arial"/>
                <w:kern w:val="0"/>
                <w:szCs w:val="21"/>
              </w:rPr>
              <w:t>预决算信息公开性（</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14:paraId="101E6D6C">
            <w:pPr>
              <w:widowControl/>
              <w:spacing w:line="240" w:lineRule="exact"/>
              <w:jc w:val="left"/>
              <w:rPr>
                <w:rFonts w:ascii="仿宋" w:hAnsi="仿宋" w:eastAsia="仿宋" w:cs="宋体"/>
                <w:kern w:val="0"/>
                <w:szCs w:val="21"/>
              </w:rPr>
            </w:pPr>
            <w:r>
              <w:rPr>
                <w:rFonts w:ascii="仿宋" w:hAnsi="仿宋" w:eastAsia="仿宋" w:cs="Arial"/>
                <w:kern w:val="0"/>
                <w:szCs w:val="21"/>
              </w:rPr>
              <w:t>部门是否按照政府信息公开有关规定公开相关预决算信息，用以反映和评价部门预决算管理的公开透明情况。</w:t>
            </w:r>
          </w:p>
          <w:p w14:paraId="3E9C1640">
            <w:pPr>
              <w:widowControl/>
              <w:spacing w:line="240" w:lineRule="exact"/>
              <w:jc w:val="left"/>
              <w:rPr>
                <w:rFonts w:ascii="仿宋" w:hAnsi="仿宋" w:eastAsia="仿宋" w:cs="宋体"/>
                <w:kern w:val="0"/>
                <w:szCs w:val="21"/>
              </w:rPr>
            </w:pPr>
            <w:r>
              <w:rPr>
                <w:rFonts w:ascii="仿宋" w:hAnsi="仿宋" w:eastAsia="仿宋" w:cs="Arial"/>
                <w:kern w:val="0"/>
                <w:szCs w:val="21"/>
              </w:rPr>
              <w:t>预决算信息是指与部门预算、执行、决算、监督、绩效等管理相关的信息。</w:t>
            </w:r>
          </w:p>
          <w:p w14:paraId="0E7373B4">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14:paraId="419A3785">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公开预决算信息；</w:t>
            </w:r>
          </w:p>
          <w:p w14:paraId="1E75CFC4">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按规定内容公开预决算信息；</w:t>
            </w:r>
          </w:p>
          <w:p w14:paraId="372819EA">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按规定时限公开预决算信息。</w:t>
            </w:r>
          </w:p>
        </w:tc>
        <w:tc>
          <w:tcPr>
            <w:tcW w:w="1899" w:type="dxa"/>
            <w:tcBorders>
              <w:top w:val="single" w:color="000000" w:sz="4" w:space="0"/>
              <w:left w:val="single" w:color="auto" w:sz="4" w:space="0"/>
              <w:bottom w:val="single" w:color="000000" w:sz="4" w:space="0"/>
              <w:right w:val="single" w:color="auto" w:sz="4" w:space="0"/>
            </w:tcBorders>
            <w:vAlign w:val="center"/>
          </w:tcPr>
          <w:p w14:paraId="117B2DAA">
            <w:pPr>
              <w:widowControl/>
              <w:spacing w:line="240" w:lineRule="exact"/>
              <w:jc w:val="left"/>
              <w:rPr>
                <w:rFonts w:ascii="仿宋" w:hAnsi="仿宋" w:eastAsia="仿宋" w:cs="宋体"/>
                <w:kern w:val="0"/>
                <w:szCs w:val="21"/>
              </w:rPr>
            </w:pPr>
            <w:r>
              <w:rPr>
                <w:rFonts w:ascii="仿宋" w:hAnsi="仿宋" w:eastAsia="仿宋" w:cs="Arial"/>
                <w:kern w:val="0"/>
                <w:szCs w:val="21"/>
              </w:rPr>
              <w:t>全部符合（</w:t>
            </w:r>
            <w:r>
              <w:rPr>
                <w:rFonts w:hint="eastAsia" w:ascii="仿宋" w:hAnsi="仿宋" w:eastAsia="仿宋" w:cs="Arial"/>
                <w:kern w:val="0"/>
                <w:szCs w:val="21"/>
              </w:rPr>
              <w:t>3分</w:t>
            </w:r>
            <w:r>
              <w:rPr>
                <w:rFonts w:ascii="仿宋" w:hAnsi="仿宋" w:eastAsia="仿宋" w:cs="Arial"/>
                <w:kern w:val="0"/>
                <w:szCs w:val="21"/>
              </w:rPr>
              <w:t>）；</w:t>
            </w:r>
          </w:p>
          <w:p w14:paraId="56DD0C0E">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2分</w:t>
            </w:r>
            <w:r>
              <w:rPr>
                <w:rFonts w:ascii="仿宋" w:hAnsi="仿宋" w:eastAsia="仿宋" w:cs="Arial"/>
                <w:kern w:val="0"/>
                <w:szCs w:val="21"/>
              </w:rPr>
              <w:t>）</w:t>
            </w:r>
          </w:p>
          <w:p w14:paraId="7424312A">
            <w:pPr>
              <w:widowControl/>
              <w:spacing w:line="68" w:lineRule="atLeast"/>
              <w:jc w:val="left"/>
              <w:rPr>
                <w:rFonts w:ascii="仿宋" w:hAnsi="仿宋" w:eastAsia="仿宋" w:cs="宋体"/>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14:paraId="3B69ECA9">
            <w:pPr>
              <w:widowControl/>
              <w:spacing w:line="68" w:lineRule="atLeast"/>
              <w:jc w:val="center"/>
              <w:rPr>
                <w:rFonts w:ascii="仿宋" w:hAnsi="仿宋" w:eastAsia="仿宋" w:cs="宋体"/>
                <w:kern w:val="0"/>
                <w:sz w:val="24"/>
                <w:szCs w:val="24"/>
              </w:rPr>
            </w:pPr>
            <w:r>
              <w:rPr>
                <w:rFonts w:hint="eastAsia" w:ascii="仿宋" w:hAnsi="仿宋" w:eastAsia="仿宋" w:cs="宋体"/>
                <w:kern w:val="0"/>
                <w:sz w:val="24"/>
                <w:szCs w:val="24"/>
              </w:rPr>
              <w:t>3</w:t>
            </w:r>
          </w:p>
        </w:tc>
      </w:tr>
      <w:tr w14:paraId="1B12D4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64" w:hRule="atLeast"/>
          <w:jc w:val="center"/>
        </w:trPr>
        <w:tc>
          <w:tcPr>
            <w:tcW w:w="769" w:type="dxa"/>
            <w:vMerge w:val="continue"/>
            <w:tcBorders>
              <w:left w:val="single" w:color="000000" w:sz="4" w:space="0"/>
              <w:right w:val="single" w:color="000000" w:sz="4" w:space="0"/>
            </w:tcBorders>
            <w:vAlign w:val="center"/>
          </w:tcPr>
          <w:p w14:paraId="0D8391FA">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14:paraId="0C3FB21C">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7A134509">
            <w:pPr>
              <w:widowControl/>
              <w:spacing w:line="68" w:lineRule="atLeast"/>
              <w:jc w:val="left"/>
              <w:rPr>
                <w:rFonts w:ascii="仿宋" w:hAnsi="仿宋" w:eastAsia="仿宋" w:cs="Arial"/>
                <w:color w:val="000000"/>
                <w:kern w:val="0"/>
                <w:szCs w:val="21"/>
              </w:rPr>
            </w:pPr>
            <w:r>
              <w:rPr>
                <w:rFonts w:ascii="仿宋" w:hAnsi="仿宋" w:eastAsia="仿宋" w:cs="Arial"/>
                <w:color w:val="000000"/>
                <w:kern w:val="0"/>
                <w:szCs w:val="21"/>
              </w:rPr>
              <w:t>基础信息完善性</w:t>
            </w:r>
          </w:p>
          <w:p w14:paraId="6348913D">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14:paraId="5613B86C">
            <w:pPr>
              <w:widowControl/>
              <w:spacing w:line="240" w:lineRule="exact"/>
              <w:jc w:val="left"/>
              <w:rPr>
                <w:rFonts w:ascii="仿宋" w:hAnsi="仿宋" w:eastAsia="仿宋" w:cs="宋体"/>
                <w:kern w:val="0"/>
                <w:szCs w:val="21"/>
              </w:rPr>
            </w:pPr>
            <w:r>
              <w:rPr>
                <w:rFonts w:ascii="仿宋" w:hAnsi="仿宋" w:eastAsia="仿宋" w:cs="Arial"/>
                <w:kern w:val="0"/>
                <w:szCs w:val="21"/>
              </w:rPr>
              <w:t>部门基础信息是否完善，用以反映和评价基础信息对预算管理工作的支撑情况。</w:t>
            </w:r>
          </w:p>
          <w:p w14:paraId="186797B1">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14:paraId="686DAA31">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基本财务管理制度健全；</w:t>
            </w:r>
          </w:p>
          <w:p w14:paraId="2C917BA8">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基础数据信息和会计信息资料真实；</w:t>
            </w:r>
          </w:p>
          <w:p w14:paraId="77E65BE8">
            <w:pPr>
              <w:widowControl/>
              <w:spacing w:line="240" w:lineRule="exac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基础数据信息和会计信息资料完整；</w:t>
            </w:r>
          </w:p>
          <w:p w14:paraId="17BB0013">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4.</w:t>
            </w:r>
            <w:r>
              <w:rPr>
                <w:rFonts w:ascii="仿宋" w:hAnsi="仿宋" w:eastAsia="仿宋" w:cs="Arial"/>
                <w:kern w:val="0"/>
                <w:szCs w:val="21"/>
              </w:rPr>
              <w:t>基础数据信息和会计信息资料准确。</w:t>
            </w:r>
          </w:p>
        </w:tc>
        <w:tc>
          <w:tcPr>
            <w:tcW w:w="1899" w:type="dxa"/>
            <w:tcBorders>
              <w:top w:val="single" w:color="000000" w:sz="4" w:space="0"/>
              <w:left w:val="single" w:color="auto" w:sz="4" w:space="0"/>
              <w:bottom w:val="single" w:color="000000" w:sz="4" w:space="0"/>
              <w:right w:val="single" w:color="auto" w:sz="4" w:space="0"/>
            </w:tcBorders>
            <w:vAlign w:val="center"/>
          </w:tcPr>
          <w:p w14:paraId="233FA7B2">
            <w:pPr>
              <w:widowControl/>
              <w:spacing w:line="240" w:lineRule="exact"/>
              <w:jc w:val="left"/>
              <w:rPr>
                <w:rFonts w:ascii="仿宋" w:hAnsi="仿宋" w:eastAsia="仿宋" w:cs="宋体"/>
                <w:kern w:val="0"/>
                <w:szCs w:val="21"/>
              </w:rPr>
            </w:pPr>
            <w:r>
              <w:rPr>
                <w:rFonts w:ascii="仿宋" w:hAnsi="仿宋" w:eastAsia="仿宋" w:cs="Arial"/>
                <w:kern w:val="0"/>
                <w:szCs w:val="21"/>
              </w:rPr>
              <w:t>符合全部四项（</w:t>
            </w:r>
            <w:r>
              <w:rPr>
                <w:rFonts w:hint="eastAsia" w:ascii="仿宋" w:hAnsi="仿宋" w:eastAsia="仿宋" w:cs="Arial"/>
                <w:kern w:val="0"/>
                <w:szCs w:val="21"/>
              </w:rPr>
              <w:t>4分</w:t>
            </w:r>
            <w:r>
              <w:rPr>
                <w:rFonts w:ascii="仿宋" w:hAnsi="仿宋" w:eastAsia="仿宋" w:cs="Arial"/>
                <w:kern w:val="0"/>
                <w:szCs w:val="21"/>
              </w:rPr>
              <w:t>）；</w:t>
            </w:r>
          </w:p>
          <w:p w14:paraId="5EF1AA6D">
            <w:pPr>
              <w:widowControl/>
              <w:spacing w:line="240" w:lineRule="exact"/>
              <w:jc w:val="left"/>
              <w:rPr>
                <w:rFonts w:ascii="仿宋" w:hAnsi="仿宋" w:eastAsia="仿宋" w:cs="宋体"/>
                <w:kern w:val="0"/>
                <w:szCs w:val="21"/>
              </w:rPr>
            </w:pPr>
            <w:r>
              <w:rPr>
                <w:rFonts w:ascii="仿宋" w:hAnsi="仿宋" w:eastAsia="仿宋" w:cs="Arial"/>
                <w:kern w:val="0"/>
                <w:szCs w:val="21"/>
              </w:rPr>
              <w:t>符合其中三项（</w:t>
            </w:r>
            <w:r>
              <w:rPr>
                <w:rFonts w:hint="eastAsia" w:ascii="仿宋" w:hAnsi="仿宋" w:eastAsia="仿宋" w:cs="Arial"/>
                <w:kern w:val="0"/>
                <w:szCs w:val="21"/>
              </w:rPr>
              <w:t>2分</w:t>
            </w:r>
            <w:r>
              <w:rPr>
                <w:rFonts w:ascii="仿宋" w:hAnsi="仿宋" w:eastAsia="仿宋" w:cs="Arial"/>
                <w:kern w:val="0"/>
                <w:szCs w:val="21"/>
              </w:rPr>
              <w:t>）；</w:t>
            </w:r>
          </w:p>
          <w:p w14:paraId="18B85396">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1分</w:t>
            </w:r>
            <w:r>
              <w:rPr>
                <w:rFonts w:ascii="仿宋" w:hAnsi="仿宋" w:eastAsia="仿宋" w:cs="Arial"/>
                <w:kern w:val="0"/>
                <w:szCs w:val="21"/>
              </w:rPr>
              <w:t>）；</w:t>
            </w:r>
          </w:p>
          <w:p w14:paraId="033A2D97">
            <w:pPr>
              <w:widowControl/>
              <w:spacing w:line="68" w:lineRule="atLeast"/>
              <w:jc w:val="left"/>
              <w:rPr>
                <w:rFonts w:ascii="仿宋" w:hAnsi="仿宋" w:eastAsia="仿宋" w:cs="宋体"/>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14:paraId="4D4CDEAA">
            <w:pPr>
              <w:widowControl/>
              <w:spacing w:line="68" w:lineRule="atLeast"/>
              <w:jc w:val="center"/>
              <w:rPr>
                <w:rFonts w:ascii="仿宋" w:hAnsi="仿宋" w:eastAsia="仿宋" w:cs="宋体"/>
                <w:kern w:val="0"/>
                <w:sz w:val="24"/>
                <w:szCs w:val="24"/>
              </w:rPr>
            </w:pPr>
            <w:r>
              <w:rPr>
                <w:rFonts w:hint="eastAsia" w:ascii="仿宋" w:hAnsi="仿宋" w:eastAsia="仿宋" w:cs="宋体"/>
                <w:kern w:val="0"/>
                <w:sz w:val="24"/>
                <w:szCs w:val="24"/>
              </w:rPr>
              <w:t>4</w:t>
            </w:r>
          </w:p>
        </w:tc>
      </w:tr>
      <w:tr w14:paraId="3E80B8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60" w:hRule="atLeast"/>
          <w:jc w:val="center"/>
        </w:trPr>
        <w:tc>
          <w:tcPr>
            <w:tcW w:w="769" w:type="dxa"/>
            <w:vMerge w:val="continue"/>
            <w:tcBorders>
              <w:left w:val="single" w:color="000000" w:sz="4" w:space="0"/>
              <w:right w:val="single" w:color="000000" w:sz="4" w:space="0"/>
            </w:tcBorders>
            <w:vAlign w:val="center"/>
          </w:tcPr>
          <w:p w14:paraId="75ADAB54">
            <w:pPr>
              <w:widowControl/>
              <w:jc w:val="left"/>
              <w:rPr>
                <w:rFonts w:ascii="仿宋" w:hAnsi="仿宋" w:eastAsia="仿宋" w:cs="宋体"/>
                <w:kern w:val="0"/>
                <w:sz w:val="24"/>
                <w:szCs w:val="24"/>
              </w:rPr>
            </w:pPr>
          </w:p>
        </w:tc>
        <w:tc>
          <w:tcPr>
            <w:tcW w:w="1049" w:type="dxa"/>
            <w:vMerge w:val="restart"/>
            <w:tcBorders>
              <w:left w:val="single" w:color="000000" w:sz="4" w:space="0"/>
              <w:right w:val="single" w:color="000000" w:sz="4" w:space="0"/>
            </w:tcBorders>
            <w:vAlign w:val="center"/>
          </w:tcPr>
          <w:p w14:paraId="336367EF">
            <w:pPr>
              <w:spacing w:line="68" w:lineRule="atLeast"/>
              <w:jc w:val="left"/>
              <w:rPr>
                <w:rFonts w:ascii="仿宋" w:hAnsi="仿宋" w:eastAsia="仿宋" w:cs="宋体"/>
                <w:kern w:val="0"/>
                <w:sz w:val="24"/>
                <w:szCs w:val="24"/>
              </w:rPr>
            </w:pPr>
            <w:r>
              <w:rPr>
                <w:rFonts w:ascii="仿宋" w:hAnsi="仿宋" w:eastAsia="仿宋" w:cs="Arial"/>
                <w:kern w:val="0"/>
                <w:sz w:val="24"/>
                <w:szCs w:val="24"/>
              </w:rPr>
              <w:t>资产管理（8</w:t>
            </w:r>
            <w:r>
              <w:rPr>
                <w:rFonts w:hint="eastAsia" w:ascii="仿宋" w:hAnsi="仿宋" w:eastAsia="仿宋" w:cs="Arial"/>
                <w:kern w:val="0"/>
                <w:sz w:val="24"/>
                <w:szCs w:val="24"/>
              </w:rPr>
              <w:t>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14:paraId="7CFAD6D8">
            <w:pPr>
              <w:widowControl/>
              <w:spacing w:line="68" w:lineRule="atLeast"/>
              <w:jc w:val="left"/>
              <w:rPr>
                <w:rFonts w:ascii="仿宋" w:hAnsi="仿宋" w:eastAsia="仿宋" w:cs="Arial"/>
                <w:color w:val="000000"/>
                <w:kern w:val="0"/>
                <w:szCs w:val="21"/>
              </w:rPr>
            </w:pPr>
            <w:r>
              <w:rPr>
                <w:rFonts w:hint="eastAsia" w:ascii="仿宋" w:hAnsi="仿宋" w:eastAsia="仿宋" w:cs="Arial"/>
                <w:color w:val="000000"/>
                <w:kern w:val="0"/>
                <w:szCs w:val="21"/>
              </w:rPr>
              <w:t>管理制度健全性</w:t>
            </w:r>
          </w:p>
          <w:p w14:paraId="22636475">
            <w:pPr>
              <w:widowControl/>
              <w:spacing w:line="68" w:lineRule="atLeast"/>
              <w:jc w:val="left"/>
              <w:rPr>
                <w:rFonts w:ascii="仿宋" w:hAnsi="仿宋" w:eastAsia="仿宋" w:cs="Arial"/>
                <w:color w:val="000000"/>
                <w:kern w:val="0"/>
                <w:szCs w:val="21"/>
              </w:rPr>
            </w:pPr>
            <w:r>
              <w:rPr>
                <w:rFonts w:hint="eastAsia" w:ascii="仿宋" w:hAnsi="仿宋" w:eastAsia="仿宋" w:cs="Arial"/>
                <w:color w:val="000000"/>
                <w:kern w:val="0"/>
                <w:szCs w:val="21"/>
              </w:rPr>
              <w:t>（2分）</w:t>
            </w:r>
          </w:p>
        </w:tc>
        <w:tc>
          <w:tcPr>
            <w:tcW w:w="4536" w:type="dxa"/>
            <w:tcBorders>
              <w:top w:val="single" w:color="000000" w:sz="4" w:space="0"/>
              <w:left w:val="single" w:color="auto" w:sz="4" w:space="0"/>
              <w:bottom w:val="single" w:color="000000" w:sz="4" w:space="0"/>
              <w:right w:val="single" w:color="auto" w:sz="4" w:space="0"/>
            </w:tcBorders>
            <w:vAlign w:val="center"/>
          </w:tcPr>
          <w:p w14:paraId="3BF44C1A">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部门为加强资产管理、规范资产管理行为而制定的管理制度是否健全完整，用以反映和考核部门资产管理制度对完成主要职责或促进社会发展的保障情况。</w:t>
            </w:r>
          </w:p>
          <w:p w14:paraId="1E844543">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14:paraId="21170A9F">
            <w:pPr>
              <w:widowControl/>
              <w:spacing w:line="240" w:lineRule="exact"/>
              <w:jc w:val="left"/>
              <w:rPr>
                <w:rFonts w:ascii="仿宋" w:hAnsi="仿宋" w:eastAsia="仿宋" w:cs="Arial"/>
                <w:kern w:val="0"/>
                <w:szCs w:val="21"/>
              </w:rPr>
            </w:pPr>
            <w:r>
              <w:rPr>
                <w:rFonts w:hint="eastAsia" w:ascii="仿宋" w:hAnsi="仿宋" w:eastAsia="仿宋" w:cs="Arial"/>
                <w:kern w:val="0"/>
                <w:szCs w:val="21"/>
              </w:rPr>
              <w:t>1.是否已制定或具有资产管理制度；</w:t>
            </w:r>
          </w:p>
          <w:p w14:paraId="00FA45E8">
            <w:pPr>
              <w:widowControl/>
              <w:spacing w:line="240" w:lineRule="exact"/>
              <w:jc w:val="left"/>
              <w:rPr>
                <w:rFonts w:ascii="仿宋" w:hAnsi="仿宋" w:eastAsia="仿宋" w:cs="Arial"/>
                <w:kern w:val="0"/>
                <w:szCs w:val="21"/>
              </w:rPr>
            </w:pPr>
            <w:r>
              <w:rPr>
                <w:rFonts w:hint="eastAsia" w:ascii="仿宋" w:hAnsi="仿宋" w:eastAsia="仿宋" w:cs="Arial"/>
                <w:kern w:val="0"/>
                <w:szCs w:val="21"/>
              </w:rPr>
              <w:t>2.相关资金管理制度是否合法、合规、完整；</w:t>
            </w:r>
          </w:p>
          <w:p w14:paraId="5A44C00A">
            <w:pPr>
              <w:widowControl/>
              <w:spacing w:line="240" w:lineRule="exact"/>
              <w:jc w:val="left"/>
              <w:rPr>
                <w:rFonts w:ascii="仿宋" w:hAnsi="仿宋" w:eastAsia="仿宋" w:cs="Arial"/>
                <w:kern w:val="0"/>
                <w:szCs w:val="21"/>
              </w:rPr>
            </w:pPr>
            <w:r>
              <w:rPr>
                <w:rFonts w:hint="eastAsia" w:ascii="仿宋" w:hAnsi="仿宋" w:eastAsia="仿宋" w:cs="Arial"/>
                <w:kern w:val="0"/>
                <w:szCs w:val="21"/>
              </w:rPr>
              <w:t>3.相关资产管理制度是否得到有效执行。</w:t>
            </w:r>
          </w:p>
        </w:tc>
        <w:tc>
          <w:tcPr>
            <w:tcW w:w="1899" w:type="dxa"/>
            <w:tcBorders>
              <w:top w:val="single" w:color="000000" w:sz="4" w:space="0"/>
              <w:left w:val="single" w:color="auto" w:sz="4" w:space="0"/>
              <w:bottom w:val="single" w:color="000000" w:sz="4" w:space="0"/>
              <w:right w:val="single" w:color="auto" w:sz="4" w:space="0"/>
            </w:tcBorders>
            <w:vAlign w:val="center"/>
          </w:tcPr>
          <w:p w14:paraId="493BC318">
            <w:pPr>
              <w:widowControl/>
              <w:spacing w:line="240" w:lineRule="exact"/>
              <w:jc w:val="left"/>
              <w:rPr>
                <w:rFonts w:ascii="仿宋" w:hAnsi="仿宋" w:eastAsia="仿宋" w:cs="Arial"/>
                <w:kern w:val="0"/>
                <w:szCs w:val="21"/>
              </w:rPr>
            </w:pPr>
            <w:r>
              <w:rPr>
                <w:rFonts w:ascii="仿宋" w:hAnsi="仿宋" w:eastAsia="仿宋" w:cs="Arial"/>
                <w:kern w:val="0"/>
                <w:szCs w:val="21"/>
              </w:rPr>
              <w:t>全部符合（</w:t>
            </w:r>
            <w:r>
              <w:rPr>
                <w:rFonts w:hint="eastAsia" w:ascii="仿宋" w:hAnsi="仿宋" w:eastAsia="仿宋" w:cs="Arial"/>
                <w:kern w:val="0"/>
                <w:szCs w:val="21"/>
              </w:rPr>
              <w:t>2分</w:t>
            </w:r>
            <w:r>
              <w:rPr>
                <w:rFonts w:ascii="仿宋" w:hAnsi="仿宋" w:eastAsia="仿宋" w:cs="Arial"/>
                <w:kern w:val="0"/>
                <w:szCs w:val="21"/>
              </w:rPr>
              <w:t>）；</w:t>
            </w:r>
          </w:p>
          <w:p w14:paraId="0624694B">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1分</w:t>
            </w:r>
            <w:r>
              <w:rPr>
                <w:rFonts w:ascii="仿宋" w:hAnsi="仿宋" w:eastAsia="仿宋" w:cs="Arial"/>
                <w:kern w:val="0"/>
                <w:szCs w:val="21"/>
              </w:rPr>
              <w:t>）</w:t>
            </w:r>
          </w:p>
          <w:p w14:paraId="07533576">
            <w:pPr>
              <w:widowControl/>
              <w:spacing w:line="240" w:lineRule="exact"/>
              <w:jc w:val="left"/>
              <w:rPr>
                <w:rFonts w:ascii="仿宋" w:hAnsi="仿宋" w:eastAsia="仿宋" w:cs="Arial"/>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14:paraId="68D365B2">
            <w:pPr>
              <w:widowControl/>
              <w:spacing w:line="68" w:lineRule="atLeast"/>
              <w:jc w:val="center"/>
              <w:rPr>
                <w:rFonts w:ascii="宋体" w:hAnsi="宋体" w:eastAsia="仿宋" w:cs="Arial"/>
                <w:kern w:val="0"/>
                <w:sz w:val="20"/>
                <w:szCs w:val="24"/>
              </w:rPr>
            </w:pPr>
            <w:r>
              <w:rPr>
                <w:rFonts w:hint="eastAsia" w:ascii="宋体" w:hAnsi="宋体" w:eastAsia="仿宋" w:cs="Arial"/>
                <w:kern w:val="0"/>
                <w:sz w:val="20"/>
                <w:szCs w:val="24"/>
              </w:rPr>
              <w:t>2</w:t>
            </w:r>
          </w:p>
        </w:tc>
      </w:tr>
      <w:tr w14:paraId="79387C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1" w:hRule="atLeast"/>
          <w:jc w:val="center"/>
        </w:trPr>
        <w:tc>
          <w:tcPr>
            <w:tcW w:w="769" w:type="dxa"/>
            <w:vMerge w:val="continue"/>
            <w:tcBorders>
              <w:left w:val="single" w:color="000000" w:sz="4" w:space="0"/>
              <w:right w:val="single" w:color="000000" w:sz="4" w:space="0"/>
            </w:tcBorders>
            <w:vAlign w:val="center"/>
          </w:tcPr>
          <w:p w14:paraId="3EFF0B0A">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14:paraId="7F8EF8ED">
            <w:pPr>
              <w:widowControl/>
              <w:spacing w:line="68" w:lineRule="atLeast"/>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14:paraId="02E221B4">
            <w:pPr>
              <w:widowControl/>
              <w:spacing w:line="68" w:lineRule="atLeast"/>
              <w:jc w:val="left"/>
              <w:rPr>
                <w:rFonts w:ascii="仿宋" w:hAnsi="仿宋" w:eastAsia="仿宋" w:cs="Arial"/>
                <w:kern w:val="0"/>
                <w:szCs w:val="21"/>
              </w:rPr>
            </w:pPr>
            <w:r>
              <w:rPr>
                <w:rFonts w:ascii="仿宋" w:hAnsi="仿宋" w:eastAsia="仿宋" w:cs="Arial"/>
                <w:kern w:val="0"/>
                <w:szCs w:val="21"/>
              </w:rPr>
              <w:t>资产管理完</w:t>
            </w:r>
            <w:r>
              <w:rPr>
                <w:rFonts w:hint="eastAsia" w:ascii="仿宋" w:hAnsi="仿宋" w:eastAsia="仿宋" w:cs="Arial"/>
                <w:kern w:val="0"/>
                <w:szCs w:val="21"/>
              </w:rPr>
              <w:t>全</w:t>
            </w:r>
            <w:r>
              <w:rPr>
                <w:rFonts w:ascii="仿宋" w:hAnsi="仿宋" w:eastAsia="仿宋" w:cs="Arial"/>
                <w:kern w:val="0"/>
                <w:szCs w:val="21"/>
              </w:rPr>
              <w:t>性</w:t>
            </w:r>
          </w:p>
          <w:p w14:paraId="41839293">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auto" w:sz="4" w:space="0"/>
              <w:left w:val="single" w:color="auto" w:sz="4" w:space="0"/>
              <w:bottom w:val="single" w:color="000000" w:sz="4" w:space="0"/>
              <w:right w:val="single" w:color="auto" w:sz="4" w:space="0"/>
            </w:tcBorders>
            <w:vAlign w:val="center"/>
          </w:tcPr>
          <w:p w14:paraId="22D18B92">
            <w:pPr>
              <w:widowControl/>
              <w:spacing w:line="240" w:lineRule="exact"/>
              <w:jc w:val="left"/>
              <w:rPr>
                <w:rFonts w:ascii="仿宋" w:hAnsi="仿宋" w:eastAsia="仿宋" w:cs="宋体"/>
                <w:kern w:val="0"/>
                <w:szCs w:val="21"/>
              </w:rPr>
            </w:pPr>
            <w:r>
              <w:rPr>
                <w:rFonts w:ascii="仿宋" w:hAnsi="仿宋" w:eastAsia="仿宋" w:cs="Arial"/>
                <w:kern w:val="0"/>
                <w:szCs w:val="21"/>
              </w:rPr>
              <w:t>部门的资产是否保存完整、使用合规、收入及时足额上缴，用以反映和评价部门资产运行情况。</w:t>
            </w:r>
          </w:p>
          <w:p w14:paraId="2E9068CE">
            <w:pPr>
              <w:widowControl/>
              <w:spacing w:line="240" w:lineRule="exact"/>
              <w:jc w:val="left"/>
              <w:rPr>
                <w:rFonts w:ascii="仿宋" w:hAnsi="仿宋" w:eastAsia="仿宋" w:cs="宋体"/>
                <w:kern w:val="0"/>
                <w:szCs w:val="21"/>
              </w:rPr>
            </w:pPr>
            <w:r>
              <w:rPr>
                <w:rFonts w:ascii="仿宋" w:hAnsi="仿宋" w:eastAsia="仿宋" w:cs="Arial"/>
                <w:kern w:val="0"/>
                <w:szCs w:val="21"/>
              </w:rPr>
              <w:t>评价要点：</w:t>
            </w:r>
          </w:p>
          <w:p w14:paraId="0AEBFBE3">
            <w:pPr>
              <w:widowControl/>
              <w:spacing w:line="240" w:lineRule="exact"/>
              <w:jc w:val="left"/>
              <w:rPr>
                <w:rFonts w:ascii="仿宋" w:hAnsi="仿宋" w:eastAsia="仿宋" w:cs="宋体"/>
                <w:kern w:val="0"/>
                <w:szCs w:val="21"/>
              </w:rPr>
            </w:pPr>
            <w:r>
              <w:rPr>
                <w:rFonts w:hint="eastAsia" w:ascii="仿宋" w:hAnsi="仿宋" w:eastAsia="仿宋" w:cs="Arial"/>
                <w:kern w:val="0"/>
                <w:szCs w:val="21"/>
              </w:rPr>
              <w:t>1.</w:t>
            </w:r>
            <w:r>
              <w:rPr>
                <w:rFonts w:ascii="仿宋" w:hAnsi="仿宋" w:eastAsia="仿宋" w:cs="Arial"/>
                <w:kern w:val="0"/>
                <w:szCs w:val="21"/>
              </w:rPr>
              <w:t>资产保存完整；</w:t>
            </w:r>
          </w:p>
          <w:p w14:paraId="433B3523">
            <w:pPr>
              <w:widowControl/>
              <w:spacing w:line="240" w:lineRule="exact"/>
              <w:jc w:val="left"/>
              <w:rPr>
                <w:rFonts w:ascii="仿宋" w:hAnsi="仿宋" w:eastAsia="仿宋" w:cs="宋体"/>
                <w:kern w:val="0"/>
                <w:szCs w:val="21"/>
              </w:rPr>
            </w:pPr>
            <w:r>
              <w:rPr>
                <w:rFonts w:hint="eastAsia" w:ascii="仿宋" w:hAnsi="仿宋" w:eastAsia="仿宋" w:cs="Arial"/>
                <w:kern w:val="0"/>
                <w:szCs w:val="21"/>
              </w:rPr>
              <w:t>2.</w:t>
            </w:r>
            <w:r>
              <w:rPr>
                <w:rFonts w:ascii="仿宋" w:hAnsi="仿宋" w:eastAsia="仿宋" w:cs="Arial"/>
                <w:kern w:val="0"/>
                <w:szCs w:val="21"/>
              </w:rPr>
              <w:t>资产账务管理是否合规，帐实相符；</w:t>
            </w:r>
          </w:p>
          <w:p w14:paraId="7F1481AF">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3.</w:t>
            </w:r>
            <w:r>
              <w:rPr>
                <w:rFonts w:ascii="仿宋" w:hAnsi="仿宋" w:eastAsia="仿宋" w:cs="Arial"/>
                <w:kern w:val="0"/>
                <w:szCs w:val="21"/>
              </w:rPr>
              <w:t>资产有偿使用及处置收入及时足额上缴。</w:t>
            </w:r>
          </w:p>
        </w:tc>
        <w:tc>
          <w:tcPr>
            <w:tcW w:w="1899" w:type="dxa"/>
            <w:tcBorders>
              <w:top w:val="single" w:color="auto" w:sz="4" w:space="0"/>
              <w:left w:val="single" w:color="auto" w:sz="4" w:space="0"/>
              <w:bottom w:val="single" w:color="000000" w:sz="4" w:space="0"/>
              <w:right w:val="single" w:color="auto" w:sz="4" w:space="0"/>
            </w:tcBorders>
            <w:vAlign w:val="center"/>
          </w:tcPr>
          <w:p w14:paraId="733D8B37">
            <w:pPr>
              <w:widowControl/>
              <w:spacing w:line="240" w:lineRule="exact"/>
              <w:jc w:val="left"/>
              <w:rPr>
                <w:rFonts w:ascii="仿宋" w:hAnsi="仿宋" w:eastAsia="仿宋" w:cs="宋体"/>
                <w:kern w:val="0"/>
                <w:szCs w:val="21"/>
              </w:rPr>
            </w:pPr>
            <w:r>
              <w:rPr>
                <w:rFonts w:ascii="仿宋" w:hAnsi="仿宋" w:eastAsia="仿宋" w:cs="Arial"/>
                <w:kern w:val="0"/>
                <w:szCs w:val="21"/>
              </w:rPr>
              <w:t>符合全部三项（</w:t>
            </w:r>
            <w:r>
              <w:rPr>
                <w:rFonts w:hint="eastAsia" w:ascii="仿宋" w:hAnsi="仿宋" w:eastAsia="仿宋" w:cs="Arial"/>
                <w:kern w:val="0"/>
                <w:szCs w:val="21"/>
              </w:rPr>
              <w:t>3分</w:t>
            </w:r>
            <w:r>
              <w:rPr>
                <w:rFonts w:ascii="仿宋" w:hAnsi="仿宋" w:eastAsia="仿宋" w:cs="Arial"/>
                <w:kern w:val="0"/>
                <w:szCs w:val="21"/>
              </w:rPr>
              <w:t>）；</w:t>
            </w:r>
          </w:p>
          <w:p w14:paraId="3557C313">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2分</w:t>
            </w:r>
            <w:r>
              <w:rPr>
                <w:rFonts w:ascii="仿宋" w:hAnsi="仿宋" w:eastAsia="仿宋" w:cs="Arial"/>
                <w:kern w:val="0"/>
                <w:szCs w:val="21"/>
              </w:rPr>
              <w:t>）；</w:t>
            </w:r>
          </w:p>
          <w:p w14:paraId="29FAFE95">
            <w:pPr>
              <w:widowControl/>
              <w:spacing w:line="240" w:lineRule="exact"/>
              <w:jc w:val="left"/>
              <w:rPr>
                <w:rFonts w:ascii="仿宋" w:hAnsi="仿宋" w:eastAsia="仿宋" w:cs="宋体"/>
                <w:kern w:val="0"/>
                <w:szCs w:val="21"/>
              </w:rPr>
            </w:pPr>
            <w:r>
              <w:rPr>
                <w:rFonts w:ascii="仿宋" w:hAnsi="仿宋" w:eastAsia="仿宋" w:cs="Arial"/>
                <w:kern w:val="0"/>
                <w:szCs w:val="21"/>
              </w:rPr>
              <w:t>符合其中一项（</w:t>
            </w:r>
            <w:r>
              <w:rPr>
                <w:rFonts w:hint="eastAsia" w:ascii="仿宋" w:hAnsi="仿宋" w:eastAsia="仿宋" w:cs="Arial"/>
                <w:kern w:val="0"/>
                <w:szCs w:val="21"/>
              </w:rPr>
              <w:t>1分</w:t>
            </w:r>
            <w:r>
              <w:rPr>
                <w:rFonts w:ascii="仿宋" w:hAnsi="仿宋" w:eastAsia="仿宋" w:cs="Arial"/>
                <w:kern w:val="0"/>
                <w:szCs w:val="21"/>
              </w:rPr>
              <w:t>）；</w:t>
            </w:r>
          </w:p>
          <w:p w14:paraId="7BE896A7">
            <w:pPr>
              <w:widowControl/>
              <w:spacing w:line="68" w:lineRule="atLeast"/>
              <w:jc w:val="left"/>
              <w:rPr>
                <w:rFonts w:ascii="仿宋" w:hAnsi="仿宋" w:eastAsia="仿宋" w:cs="宋体"/>
                <w:kern w:val="0"/>
                <w:szCs w:val="21"/>
              </w:rPr>
            </w:pPr>
            <w:r>
              <w:rPr>
                <w:rFonts w:ascii="仿宋" w:hAnsi="仿宋" w:eastAsia="仿宋" w:cs="Arial"/>
                <w:kern w:val="0"/>
                <w:szCs w:val="21"/>
              </w:rPr>
              <w:t>符合零项（</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auto" w:sz="4" w:space="0"/>
              <w:left w:val="single" w:color="auto" w:sz="4" w:space="0"/>
              <w:bottom w:val="single" w:color="000000" w:sz="4" w:space="0"/>
              <w:right w:val="single" w:color="000000" w:sz="4" w:space="0"/>
            </w:tcBorders>
            <w:vAlign w:val="center"/>
          </w:tcPr>
          <w:p w14:paraId="7DFDE22A">
            <w:pPr>
              <w:widowControl/>
              <w:spacing w:line="68" w:lineRule="atLeast"/>
              <w:jc w:val="center"/>
              <w:rPr>
                <w:rFonts w:ascii="仿宋" w:hAnsi="仿宋" w:eastAsia="仿宋" w:cs="宋体"/>
                <w:kern w:val="0"/>
                <w:sz w:val="24"/>
                <w:szCs w:val="24"/>
              </w:rPr>
            </w:pPr>
            <w:r>
              <w:rPr>
                <w:rFonts w:hint="eastAsia" w:ascii="仿宋" w:hAnsi="仿宋" w:eastAsia="仿宋" w:cs="宋体"/>
                <w:kern w:val="0"/>
                <w:sz w:val="24"/>
                <w:szCs w:val="24"/>
              </w:rPr>
              <w:t>2</w:t>
            </w:r>
          </w:p>
        </w:tc>
      </w:tr>
      <w:tr w14:paraId="7FC933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9" w:hRule="atLeast"/>
          <w:jc w:val="center"/>
        </w:trPr>
        <w:tc>
          <w:tcPr>
            <w:tcW w:w="769" w:type="dxa"/>
            <w:vMerge w:val="continue"/>
            <w:tcBorders>
              <w:left w:val="single" w:color="000000" w:sz="4" w:space="0"/>
              <w:right w:val="single" w:color="000000" w:sz="4" w:space="0"/>
            </w:tcBorders>
            <w:vAlign w:val="center"/>
          </w:tcPr>
          <w:p w14:paraId="5C5DA930">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14:paraId="296E0F1B">
            <w:pPr>
              <w:widowControl/>
              <w:jc w:val="left"/>
              <w:rPr>
                <w:rFonts w:ascii="仿宋" w:hAnsi="仿宋" w:eastAsia="仿宋" w:cs="宋体"/>
                <w:kern w:val="0"/>
                <w:sz w:val="24"/>
                <w:szCs w:val="24"/>
              </w:rPr>
            </w:pPr>
          </w:p>
        </w:tc>
        <w:tc>
          <w:tcPr>
            <w:tcW w:w="709" w:type="dxa"/>
            <w:tcBorders>
              <w:top w:val="single" w:color="auto" w:sz="4" w:space="0"/>
              <w:left w:val="single" w:color="000000" w:sz="4" w:space="0"/>
              <w:bottom w:val="single" w:color="000000" w:sz="4" w:space="0"/>
              <w:right w:val="single" w:color="auto" w:sz="4" w:space="0"/>
            </w:tcBorders>
            <w:vAlign w:val="center"/>
          </w:tcPr>
          <w:p w14:paraId="37CC3FF7">
            <w:pPr>
              <w:widowControl/>
              <w:spacing w:line="68" w:lineRule="atLeast"/>
              <w:jc w:val="left"/>
              <w:rPr>
                <w:rFonts w:ascii="仿宋" w:hAnsi="仿宋" w:eastAsia="仿宋" w:cs="Arial"/>
                <w:kern w:val="0"/>
                <w:szCs w:val="21"/>
              </w:rPr>
            </w:pPr>
            <w:r>
              <w:rPr>
                <w:rFonts w:ascii="仿宋" w:hAnsi="仿宋" w:eastAsia="仿宋" w:cs="Arial"/>
                <w:kern w:val="0"/>
                <w:szCs w:val="21"/>
              </w:rPr>
              <w:t>固定资产利用率</w:t>
            </w:r>
          </w:p>
          <w:p w14:paraId="57B103EF">
            <w:pPr>
              <w:widowControl/>
              <w:spacing w:line="68" w:lineRule="atLeast"/>
              <w:jc w:val="left"/>
              <w:rPr>
                <w:rFonts w:ascii="仿宋" w:hAnsi="仿宋" w:eastAsia="仿宋" w:cs="宋体"/>
                <w:kern w:val="0"/>
                <w:szCs w:val="21"/>
              </w:rPr>
            </w:pPr>
            <w:r>
              <w:rPr>
                <w:rFonts w:ascii="仿宋" w:hAnsi="仿宋" w:eastAsia="仿宋" w:cs="Arial"/>
                <w:kern w:val="0"/>
                <w:szCs w:val="21"/>
              </w:rPr>
              <w:t>（</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auto" w:sz="4" w:space="0"/>
              <w:left w:val="single" w:color="auto" w:sz="4" w:space="0"/>
              <w:bottom w:val="single" w:color="000000" w:sz="4" w:space="0"/>
              <w:right w:val="single" w:color="auto" w:sz="4" w:space="0"/>
            </w:tcBorders>
            <w:vAlign w:val="center"/>
          </w:tcPr>
          <w:p w14:paraId="1CAA7036">
            <w:pPr>
              <w:widowControl/>
              <w:spacing w:line="240" w:lineRule="exact"/>
              <w:jc w:val="left"/>
              <w:rPr>
                <w:rFonts w:ascii="仿宋" w:hAnsi="仿宋" w:eastAsia="仿宋" w:cs="宋体"/>
                <w:kern w:val="0"/>
                <w:szCs w:val="21"/>
              </w:rPr>
            </w:pPr>
            <w:r>
              <w:rPr>
                <w:rFonts w:ascii="仿宋" w:hAnsi="仿宋" w:eastAsia="仿宋" w:cs="Arial"/>
                <w:kern w:val="0"/>
                <w:szCs w:val="21"/>
              </w:rPr>
              <w:t>部门实际在用固定资产总额与所有固定资产总额的比率，用以反映和评价部门固定资产使用效率。</w:t>
            </w:r>
          </w:p>
          <w:p w14:paraId="47353B57">
            <w:pPr>
              <w:widowControl/>
              <w:spacing w:line="68" w:lineRule="atLeast"/>
              <w:jc w:val="left"/>
              <w:rPr>
                <w:rFonts w:ascii="仿宋" w:hAnsi="仿宋" w:eastAsia="仿宋" w:cs="宋体"/>
                <w:kern w:val="0"/>
                <w:szCs w:val="21"/>
              </w:rPr>
            </w:pPr>
            <w:r>
              <w:rPr>
                <w:rFonts w:ascii="仿宋" w:hAnsi="仿宋" w:eastAsia="仿宋" w:cs="Arial"/>
                <w:kern w:val="0"/>
                <w:szCs w:val="21"/>
              </w:rPr>
              <w:t>固定资产利用率</w:t>
            </w:r>
            <w:r>
              <w:rPr>
                <w:rFonts w:hint="eastAsia" w:ascii="仿宋" w:hAnsi="仿宋" w:eastAsia="仿宋" w:cs="Arial"/>
                <w:kern w:val="0"/>
                <w:szCs w:val="21"/>
              </w:rPr>
              <w:t>=</w:t>
            </w:r>
            <w:r>
              <w:rPr>
                <w:rFonts w:ascii="仿宋" w:hAnsi="仿宋" w:eastAsia="仿宋" w:cs="Arial"/>
                <w:kern w:val="0"/>
                <w:szCs w:val="21"/>
              </w:rPr>
              <w:t>（实际在用固定资产总额</w:t>
            </w:r>
            <w:r>
              <w:rPr>
                <w:rFonts w:hint="eastAsia" w:ascii="仿宋" w:hAnsi="仿宋" w:eastAsia="仿宋" w:cs="Arial"/>
                <w:kern w:val="0"/>
                <w:szCs w:val="21"/>
              </w:rPr>
              <w:t>/</w:t>
            </w:r>
            <w:r>
              <w:rPr>
                <w:rFonts w:ascii="仿宋" w:hAnsi="仿宋" w:eastAsia="仿宋" w:cs="Arial"/>
                <w:kern w:val="0"/>
                <w:szCs w:val="21"/>
              </w:rPr>
              <w:t>所有固定资产总额）×</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auto" w:sz="4" w:space="0"/>
              <w:left w:val="single" w:color="auto" w:sz="4" w:space="0"/>
              <w:bottom w:val="single" w:color="000000" w:sz="4" w:space="0"/>
              <w:right w:val="single" w:color="auto" w:sz="4" w:space="0"/>
            </w:tcBorders>
            <w:vAlign w:val="center"/>
          </w:tcPr>
          <w:p w14:paraId="7C82B96C">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目标值为80%；以3分为上限，采用完成比率法计分：得分=固定资产利用率/80%×100%×3，超出目标值不加分。</w:t>
            </w:r>
          </w:p>
        </w:tc>
        <w:tc>
          <w:tcPr>
            <w:tcW w:w="794" w:type="dxa"/>
            <w:tcBorders>
              <w:top w:val="single" w:color="auto" w:sz="4" w:space="0"/>
              <w:left w:val="single" w:color="auto" w:sz="4" w:space="0"/>
              <w:bottom w:val="single" w:color="000000" w:sz="4" w:space="0"/>
              <w:right w:val="single" w:color="000000" w:sz="4" w:space="0"/>
            </w:tcBorders>
            <w:vAlign w:val="center"/>
          </w:tcPr>
          <w:p w14:paraId="38D7FEAD">
            <w:pPr>
              <w:widowControl/>
              <w:spacing w:line="68" w:lineRule="atLeast"/>
              <w:jc w:val="center"/>
              <w:rPr>
                <w:rFonts w:ascii="仿宋" w:hAnsi="仿宋" w:eastAsia="仿宋" w:cs="宋体"/>
                <w:kern w:val="0"/>
                <w:sz w:val="24"/>
                <w:szCs w:val="24"/>
              </w:rPr>
            </w:pPr>
            <w:r>
              <w:rPr>
                <w:rFonts w:hint="eastAsia" w:ascii="仿宋" w:hAnsi="仿宋" w:eastAsia="仿宋" w:cs="宋体"/>
                <w:kern w:val="0"/>
                <w:sz w:val="24"/>
                <w:szCs w:val="24"/>
              </w:rPr>
              <w:t>2.8</w:t>
            </w:r>
          </w:p>
        </w:tc>
      </w:tr>
      <w:tr w14:paraId="7FE0B2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bottom w:val="single" w:color="000000" w:sz="4" w:space="0"/>
              <w:right w:val="single" w:color="000000" w:sz="4" w:space="0"/>
            </w:tcBorders>
            <w:vAlign w:val="center"/>
          </w:tcPr>
          <w:p w14:paraId="63B35F95">
            <w:pPr>
              <w:widowControl/>
              <w:jc w:val="left"/>
              <w:rPr>
                <w:rFonts w:ascii="仿宋" w:hAnsi="仿宋" w:eastAsia="仿宋" w:cs="宋体"/>
                <w:kern w:val="0"/>
                <w:sz w:val="24"/>
                <w:szCs w:val="24"/>
              </w:rPr>
            </w:pPr>
          </w:p>
        </w:tc>
        <w:tc>
          <w:tcPr>
            <w:tcW w:w="1049" w:type="dxa"/>
            <w:tcBorders>
              <w:left w:val="single" w:color="000000" w:sz="4" w:space="0"/>
              <w:bottom w:val="single" w:color="000000" w:sz="4" w:space="0"/>
              <w:right w:val="single" w:color="000000" w:sz="4" w:space="0"/>
            </w:tcBorders>
            <w:vAlign w:val="center"/>
          </w:tcPr>
          <w:p w14:paraId="5E66DC84">
            <w:pPr>
              <w:widowControl/>
              <w:jc w:val="left"/>
              <w:rPr>
                <w:rFonts w:ascii="仿宋" w:hAnsi="仿宋" w:eastAsia="仿宋" w:cs="宋体"/>
                <w:kern w:val="0"/>
                <w:sz w:val="24"/>
                <w:szCs w:val="24"/>
              </w:rPr>
            </w:pPr>
            <w:r>
              <w:rPr>
                <w:rFonts w:hint="eastAsia" w:ascii="仿宋" w:hAnsi="仿宋" w:eastAsia="仿宋" w:cs="宋体"/>
                <w:kern w:val="0"/>
                <w:sz w:val="24"/>
                <w:szCs w:val="24"/>
              </w:rPr>
              <w:t>预算绩效监控管理（2分）</w:t>
            </w:r>
          </w:p>
        </w:tc>
        <w:tc>
          <w:tcPr>
            <w:tcW w:w="709" w:type="dxa"/>
            <w:tcBorders>
              <w:top w:val="single" w:color="auto" w:sz="4" w:space="0"/>
              <w:left w:val="single" w:color="000000" w:sz="4" w:space="0"/>
              <w:bottom w:val="single" w:color="000000" w:sz="4" w:space="0"/>
              <w:right w:val="single" w:color="auto" w:sz="4" w:space="0"/>
            </w:tcBorders>
            <w:vAlign w:val="center"/>
          </w:tcPr>
          <w:p w14:paraId="0FF6EF52">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监控率</w:t>
            </w:r>
            <w:r>
              <w:rPr>
                <w:rFonts w:hint="eastAsia" w:ascii="仿宋" w:hAnsi="仿宋" w:eastAsia="仿宋" w:cs="宋体"/>
                <w:kern w:val="0"/>
                <w:szCs w:val="21"/>
              </w:rPr>
              <w:t>（2分）</w:t>
            </w:r>
          </w:p>
        </w:tc>
        <w:tc>
          <w:tcPr>
            <w:tcW w:w="4536" w:type="dxa"/>
            <w:tcBorders>
              <w:top w:val="single" w:color="auto" w:sz="4" w:space="0"/>
              <w:left w:val="single" w:color="auto" w:sz="4" w:space="0"/>
              <w:bottom w:val="single" w:color="000000" w:sz="4" w:space="0"/>
              <w:right w:val="single" w:color="auto" w:sz="4" w:space="0"/>
            </w:tcBorders>
            <w:vAlign w:val="center"/>
          </w:tcPr>
          <w:p w14:paraId="4477B316">
            <w:pPr>
              <w:widowControl/>
              <w:spacing w:line="240" w:lineRule="exact"/>
              <w:jc w:val="left"/>
              <w:rPr>
                <w:rFonts w:ascii="仿宋" w:hAnsi="仿宋" w:eastAsia="仿宋" w:cs="Arial"/>
                <w:kern w:val="0"/>
                <w:szCs w:val="21"/>
              </w:rPr>
            </w:pPr>
            <w:r>
              <w:rPr>
                <w:rFonts w:hint="eastAsia" w:ascii="仿宋" w:hAnsi="仿宋" w:eastAsia="仿宋" w:cs="Arial"/>
                <w:kern w:val="0"/>
                <w:szCs w:val="21"/>
              </w:rPr>
              <w:t>部门（单位）纳入绩效监控的项目数量占实际申报绩效目标项目数量的比重，用以反映和考核部门（单位）在项目运行中实施绩效管理的水平和程度。</w:t>
            </w:r>
          </w:p>
          <w:p w14:paraId="6A61E442">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监控率=实施绩效监控项目数/实际申报绩效目标项目数×100%</w:t>
            </w:r>
          </w:p>
        </w:tc>
        <w:tc>
          <w:tcPr>
            <w:tcW w:w="1899" w:type="dxa"/>
            <w:tcBorders>
              <w:top w:val="single" w:color="auto" w:sz="4" w:space="0"/>
              <w:left w:val="single" w:color="auto" w:sz="4" w:space="0"/>
              <w:bottom w:val="single" w:color="000000" w:sz="4" w:space="0"/>
              <w:right w:val="single" w:color="auto" w:sz="4" w:space="0"/>
            </w:tcBorders>
            <w:vAlign w:val="center"/>
          </w:tcPr>
          <w:p w14:paraId="1ED01412">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目标值为90%；以2分为上限，采用完成比率法计分：得分=监控率×2，超出目标值不加分。</w:t>
            </w:r>
          </w:p>
        </w:tc>
        <w:tc>
          <w:tcPr>
            <w:tcW w:w="794" w:type="dxa"/>
            <w:tcBorders>
              <w:top w:val="single" w:color="auto" w:sz="4" w:space="0"/>
              <w:left w:val="single" w:color="auto" w:sz="4" w:space="0"/>
              <w:bottom w:val="single" w:color="000000" w:sz="4" w:space="0"/>
              <w:right w:val="single" w:color="000000" w:sz="4" w:space="0"/>
            </w:tcBorders>
            <w:vAlign w:val="center"/>
          </w:tcPr>
          <w:p w14:paraId="3E5D5FBA">
            <w:pPr>
              <w:widowControl/>
              <w:spacing w:line="68" w:lineRule="atLeast"/>
              <w:jc w:val="center"/>
              <w:rPr>
                <w:rFonts w:ascii="宋体" w:hAnsi="宋体" w:eastAsia="仿宋" w:cs="Arial"/>
                <w:kern w:val="0"/>
                <w:sz w:val="20"/>
                <w:szCs w:val="24"/>
              </w:rPr>
            </w:pPr>
            <w:r>
              <w:rPr>
                <w:rFonts w:hint="eastAsia" w:ascii="宋体" w:hAnsi="宋体" w:eastAsia="仿宋" w:cs="Arial"/>
                <w:kern w:val="0"/>
                <w:sz w:val="20"/>
                <w:szCs w:val="24"/>
              </w:rPr>
              <w:t>2</w:t>
            </w:r>
          </w:p>
        </w:tc>
      </w:tr>
      <w:tr w14:paraId="41C86E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restart"/>
            <w:tcBorders>
              <w:top w:val="single" w:color="000000" w:sz="4" w:space="0"/>
              <w:left w:val="single" w:color="000000" w:sz="4" w:space="0"/>
              <w:right w:val="single" w:color="000000" w:sz="4" w:space="0"/>
            </w:tcBorders>
            <w:vAlign w:val="center"/>
          </w:tcPr>
          <w:p w14:paraId="25F770D3">
            <w:pPr>
              <w:widowControl/>
              <w:spacing w:line="68" w:lineRule="atLeast"/>
              <w:jc w:val="left"/>
              <w:rPr>
                <w:rFonts w:ascii="仿宋" w:hAnsi="仿宋" w:eastAsia="仿宋" w:cs="Arial"/>
                <w:kern w:val="0"/>
                <w:sz w:val="24"/>
                <w:szCs w:val="24"/>
              </w:rPr>
            </w:pPr>
          </w:p>
          <w:p w14:paraId="27F5F166">
            <w:pPr>
              <w:widowControl/>
              <w:spacing w:line="68" w:lineRule="atLeast"/>
              <w:jc w:val="left"/>
              <w:rPr>
                <w:rFonts w:ascii="仿宋" w:hAnsi="仿宋" w:eastAsia="仿宋" w:cs="Arial"/>
                <w:kern w:val="0"/>
                <w:sz w:val="24"/>
                <w:szCs w:val="24"/>
              </w:rPr>
            </w:pPr>
            <w:r>
              <w:rPr>
                <w:rFonts w:ascii="仿宋" w:hAnsi="仿宋" w:eastAsia="仿宋" w:cs="Arial"/>
                <w:kern w:val="0"/>
                <w:sz w:val="24"/>
                <w:szCs w:val="24"/>
              </w:rPr>
              <w:t>产出</w:t>
            </w:r>
            <w:r>
              <w:rPr>
                <w:rFonts w:hint="eastAsia" w:ascii="仿宋" w:hAnsi="仿宋" w:eastAsia="仿宋" w:cs="Arial"/>
                <w:kern w:val="0"/>
                <w:sz w:val="24"/>
                <w:szCs w:val="24"/>
              </w:rPr>
              <w:t>(15分)</w:t>
            </w:r>
          </w:p>
          <w:p w14:paraId="40CC3682">
            <w:pPr>
              <w:widowControl/>
              <w:spacing w:line="68" w:lineRule="atLeast"/>
              <w:jc w:val="left"/>
              <w:rPr>
                <w:rFonts w:ascii="仿宋" w:hAnsi="仿宋" w:eastAsia="仿宋" w:cs="Arial"/>
                <w:kern w:val="0"/>
                <w:sz w:val="24"/>
                <w:szCs w:val="24"/>
              </w:rPr>
            </w:pPr>
          </w:p>
          <w:p w14:paraId="741348B7">
            <w:pPr>
              <w:widowControl/>
              <w:spacing w:line="68" w:lineRule="atLeast"/>
              <w:jc w:val="left"/>
              <w:rPr>
                <w:rFonts w:ascii="仿宋" w:hAnsi="仿宋" w:eastAsia="仿宋" w:cs="Arial"/>
                <w:kern w:val="0"/>
                <w:sz w:val="24"/>
                <w:szCs w:val="24"/>
              </w:rPr>
            </w:pPr>
          </w:p>
          <w:p w14:paraId="0158F0D1">
            <w:pPr>
              <w:widowControl/>
              <w:spacing w:line="68" w:lineRule="atLeast"/>
              <w:jc w:val="left"/>
              <w:rPr>
                <w:rFonts w:ascii="仿宋" w:hAnsi="仿宋" w:eastAsia="仿宋" w:cs="Arial"/>
                <w:kern w:val="0"/>
                <w:sz w:val="24"/>
                <w:szCs w:val="24"/>
              </w:rPr>
            </w:pPr>
          </w:p>
          <w:p w14:paraId="47D2F322">
            <w:pPr>
              <w:widowControl/>
              <w:spacing w:line="68" w:lineRule="atLeast"/>
              <w:jc w:val="left"/>
              <w:rPr>
                <w:rFonts w:ascii="仿宋" w:hAnsi="仿宋" w:eastAsia="仿宋" w:cs="Arial"/>
                <w:kern w:val="0"/>
                <w:sz w:val="24"/>
                <w:szCs w:val="24"/>
              </w:rPr>
            </w:pPr>
          </w:p>
          <w:p w14:paraId="22C60EEA">
            <w:pPr>
              <w:widowControl/>
              <w:spacing w:line="68" w:lineRule="atLeast"/>
              <w:jc w:val="left"/>
              <w:rPr>
                <w:rFonts w:ascii="仿宋" w:hAnsi="仿宋" w:eastAsia="仿宋" w:cs="Arial"/>
                <w:kern w:val="0"/>
                <w:sz w:val="24"/>
                <w:szCs w:val="24"/>
              </w:rPr>
            </w:pPr>
          </w:p>
          <w:p w14:paraId="454D144E">
            <w:pPr>
              <w:widowControl/>
              <w:spacing w:line="68" w:lineRule="atLeast"/>
              <w:jc w:val="left"/>
              <w:rPr>
                <w:rFonts w:ascii="仿宋" w:hAnsi="仿宋" w:eastAsia="仿宋" w:cs="Arial"/>
                <w:kern w:val="0"/>
                <w:sz w:val="24"/>
                <w:szCs w:val="24"/>
              </w:rPr>
            </w:pPr>
          </w:p>
          <w:p w14:paraId="5E15F040">
            <w:pPr>
              <w:widowControl/>
              <w:spacing w:line="68" w:lineRule="atLeast"/>
              <w:jc w:val="left"/>
              <w:rPr>
                <w:rFonts w:ascii="仿宋" w:hAnsi="仿宋" w:eastAsia="仿宋" w:cs="Arial"/>
                <w:kern w:val="0"/>
                <w:sz w:val="24"/>
                <w:szCs w:val="24"/>
              </w:rPr>
            </w:pPr>
          </w:p>
          <w:p w14:paraId="337B2C76">
            <w:pPr>
              <w:widowControl/>
              <w:spacing w:line="68" w:lineRule="atLeast"/>
              <w:jc w:val="left"/>
              <w:rPr>
                <w:rFonts w:ascii="仿宋" w:hAnsi="仿宋" w:eastAsia="仿宋" w:cs="Arial"/>
                <w:kern w:val="0"/>
                <w:sz w:val="24"/>
                <w:szCs w:val="24"/>
              </w:rPr>
            </w:pPr>
          </w:p>
          <w:p w14:paraId="26410A60">
            <w:pPr>
              <w:widowControl/>
              <w:spacing w:line="68" w:lineRule="atLeast"/>
              <w:jc w:val="left"/>
              <w:rPr>
                <w:rFonts w:ascii="仿宋" w:hAnsi="仿宋" w:eastAsia="仿宋" w:cs="Arial"/>
                <w:kern w:val="0"/>
                <w:sz w:val="24"/>
                <w:szCs w:val="24"/>
              </w:rPr>
            </w:pPr>
          </w:p>
          <w:p w14:paraId="1350ADBB">
            <w:pPr>
              <w:widowControl/>
              <w:spacing w:line="68" w:lineRule="atLeast"/>
              <w:jc w:val="left"/>
              <w:rPr>
                <w:rFonts w:ascii="仿宋" w:hAnsi="仿宋" w:eastAsia="仿宋" w:cs="Arial"/>
                <w:kern w:val="0"/>
                <w:sz w:val="24"/>
                <w:szCs w:val="24"/>
              </w:rPr>
            </w:pPr>
          </w:p>
          <w:p w14:paraId="03F5BA82">
            <w:pPr>
              <w:widowControl/>
              <w:spacing w:line="68" w:lineRule="atLeast"/>
              <w:jc w:val="left"/>
              <w:rPr>
                <w:rFonts w:ascii="仿宋" w:hAnsi="仿宋" w:eastAsia="仿宋" w:cs="Arial"/>
                <w:kern w:val="0"/>
                <w:sz w:val="24"/>
                <w:szCs w:val="24"/>
              </w:rPr>
            </w:pPr>
          </w:p>
          <w:p w14:paraId="1B3BC9FD">
            <w:pPr>
              <w:widowControl/>
              <w:spacing w:line="68" w:lineRule="atLeast"/>
              <w:jc w:val="left"/>
              <w:rPr>
                <w:rFonts w:ascii="仿宋" w:hAnsi="仿宋" w:eastAsia="仿宋" w:cs="Arial"/>
                <w:kern w:val="0"/>
                <w:sz w:val="24"/>
                <w:szCs w:val="24"/>
              </w:rPr>
            </w:pPr>
          </w:p>
          <w:p w14:paraId="790A4E40">
            <w:pPr>
              <w:widowControl/>
              <w:spacing w:line="68" w:lineRule="atLeast"/>
              <w:jc w:val="left"/>
              <w:rPr>
                <w:rFonts w:ascii="仿宋" w:hAnsi="仿宋" w:eastAsia="仿宋" w:cs="Arial"/>
                <w:kern w:val="0"/>
                <w:sz w:val="24"/>
                <w:szCs w:val="24"/>
              </w:rPr>
            </w:pPr>
          </w:p>
          <w:p w14:paraId="2B125D89">
            <w:pPr>
              <w:widowControl/>
              <w:spacing w:line="68" w:lineRule="atLeast"/>
              <w:jc w:val="left"/>
              <w:rPr>
                <w:rFonts w:ascii="仿宋" w:hAnsi="仿宋" w:eastAsia="仿宋" w:cs="Arial"/>
                <w:kern w:val="0"/>
                <w:sz w:val="24"/>
                <w:szCs w:val="24"/>
              </w:rPr>
            </w:pPr>
          </w:p>
        </w:tc>
        <w:tc>
          <w:tcPr>
            <w:tcW w:w="1049" w:type="dxa"/>
            <w:vMerge w:val="restart"/>
            <w:tcBorders>
              <w:top w:val="single" w:color="000000" w:sz="4" w:space="0"/>
              <w:left w:val="single" w:color="000000" w:sz="4" w:space="0"/>
              <w:right w:val="single" w:color="000000" w:sz="4" w:space="0"/>
            </w:tcBorders>
            <w:vAlign w:val="center"/>
          </w:tcPr>
          <w:p w14:paraId="4D31A972">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职责履行（</w:t>
            </w:r>
            <w:r>
              <w:rPr>
                <w:rFonts w:hint="eastAsia" w:ascii="仿宋" w:hAnsi="仿宋" w:eastAsia="仿宋" w:cs="Arial"/>
                <w:kern w:val="0"/>
                <w:sz w:val="24"/>
                <w:szCs w:val="24"/>
              </w:rPr>
              <w:t>15分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auto" w:sz="4" w:space="0"/>
              <w:right w:val="single" w:color="auto" w:sz="4" w:space="0"/>
            </w:tcBorders>
            <w:vAlign w:val="center"/>
          </w:tcPr>
          <w:p w14:paraId="63C763EC">
            <w:pPr>
              <w:widowControl/>
              <w:spacing w:line="68" w:lineRule="atLeast"/>
              <w:jc w:val="left"/>
              <w:rPr>
                <w:rFonts w:ascii="仿宋" w:hAnsi="仿宋" w:eastAsia="仿宋" w:cs="宋体"/>
                <w:kern w:val="0"/>
                <w:szCs w:val="21"/>
              </w:rPr>
            </w:pPr>
            <w:r>
              <w:rPr>
                <w:rFonts w:ascii="仿宋" w:hAnsi="仿宋" w:eastAsia="仿宋" w:cs="Arial"/>
                <w:kern w:val="0"/>
                <w:szCs w:val="21"/>
              </w:rPr>
              <w:t>项目实际完成率（</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14:paraId="3AB6BBBF">
            <w:pPr>
              <w:widowControl/>
              <w:spacing w:line="240" w:lineRule="exact"/>
              <w:jc w:val="left"/>
              <w:rPr>
                <w:rFonts w:ascii="仿宋" w:hAnsi="仿宋" w:eastAsia="仿宋" w:cs="宋体"/>
                <w:kern w:val="0"/>
                <w:szCs w:val="21"/>
              </w:rPr>
            </w:pPr>
            <w:r>
              <w:rPr>
                <w:rFonts w:ascii="仿宋" w:hAnsi="仿宋" w:eastAsia="仿宋" w:cs="Arial"/>
                <w:kern w:val="0"/>
                <w:szCs w:val="21"/>
              </w:rPr>
              <w:t>部门履行职责而实际完成的项目数与计划完成的项目数的比率，用以反映和评价部门履职任务目标的实现程度。</w:t>
            </w:r>
          </w:p>
          <w:p w14:paraId="2AC5C0B1">
            <w:pPr>
              <w:widowControl/>
              <w:spacing w:line="68" w:lineRule="atLeast"/>
              <w:jc w:val="left"/>
              <w:rPr>
                <w:rFonts w:ascii="仿宋" w:hAnsi="仿宋" w:eastAsia="仿宋" w:cs="宋体"/>
                <w:kern w:val="0"/>
                <w:szCs w:val="21"/>
              </w:rPr>
            </w:pPr>
            <w:r>
              <w:rPr>
                <w:rFonts w:ascii="仿宋" w:hAnsi="仿宋" w:eastAsia="仿宋" w:cs="Arial"/>
                <w:kern w:val="0"/>
                <w:szCs w:val="21"/>
              </w:rPr>
              <w:t>项目实际完成率</w:t>
            </w:r>
            <w:r>
              <w:rPr>
                <w:rFonts w:hint="eastAsia" w:ascii="仿宋" w:hAnsi="仿宋" w:eastAsia="仿宋" w:cs="Arial"/>
                <w:kern w:val="0"/>
                <w:szCs w:val="21"/>
              </w:rPr>
              <w:t>=</w:t>
            </w:r>
            <w:r>
              <w:rPr>
                <w:rFonts w:ascii="仿宋" w:hAnsi="仿宋" w:eastAsia="仿宋" w:cs="Arial"/>
                <w:kern w:val="0"/>
                <w:szCs w:val="21"/>
              </w:rPr>
              <w:t>（实际完成项目数</w:t>
            </w:r>
            <w:r>
              <w:rPr>
                <w:rFonts w:hint="eastAsia" w:ascii="仿宋" w:hAnsi="仿宋" w:eastAsia="仿宋" w:cs="Arial"/>
                <w:kern w:val="0"/>
                <w:szCs w:val="21"/>
              </w:rPr>
              <w:t>/</w:t>
            </w:r>
            <w:r>
              <w:rPr>
                <w:rFonts w:ascii="仿宋" w:hAnsi="仿宋" w:eastAsia="仿宋" w:cs="Arial"/>
                <w:kern w:val="0"/>
                <w:szCs w:val="21"/>
              </w:rPr>
              <w:t>计划完成项目数）×</w:t>
            </w:r>
            <w:r>
              <w:rPr>
                <w:rFonts w:hint="eastAsia" w:ascii="仿宋" w:hAnsi="仿宋" w:eastAsia="仿宋" w:cs="Arial"/>
                <w:kern w:val="0"/>
                <w:szCs w:val="21"/>
              </w:rPr>
              <w:t>100%</w:t>
            </w:r>
            <w:r>
              <w:rPr>
                <w:rFonts w:ascii="仿宋" w:hAnsi="仿宋" w:eastAsia="仿宋" w:cs="Arial"/>
                <w:kern w:val="0"/>
                <w:szCs w:val="21"/>
              </w:rPr>
              <w:t>。</w:t>
            </w:r>
          </w:p>
        </w:tc>
        <w:tc>
          <w:tcPr>
            <w:tcW w:w="1899" w:type="dxa"/>
            <w:tcBorders>
              <w:top w:val="single" w:color="000000" w:sz="4" w:space="0"/>
              <w:left w:val="single" w:color="auto" w:sz="4" w:space="0"/>
              <w:bottom w:val="single" w:color="auto" w:sz="4" w:space="0"/>
              <w:right w:val="single" w:color="auto" w:sz="4" w:space="0"/>
            </w:tcBorders>
            <w:vAlign w:val="center"/>
          </w:tcPr>
          <w:p w14:paraId="02CA03B7">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目标值为100%；</w:t>
            </w:r>
          </w:p>
          <w:p w14:paraId="7366143A">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达到目标值得4分；</w:t>
            </w:r>
          </w:p>
          <w:p w14:paraId="7F7AA20D">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100%＞结果≥95%，得3分；</w:t>
            </w:r>
          </w:p>
          <w:p w14:paraId="3D1D66FE">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95%＞结果≥90%，得2分；</w:t>
            </w:r>
          </w:p>
          <w:p w14:paraId="0FA678C3">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90%＞结果≥85%，得1分；</w:t>
            </w:r>
          </w:p>
          <w:p w14:paraId="1AF27770">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结果＜</w:t>
            </w:r>
            <w:r>
              <w:rPr>
                <w:rFonts w:hint="eastAsia" w:ascii="仿宋" w:hAnsi="仿宋" w:eastAsia="仿宋" w:cs="宋体"/>
                <w:kern w:val="0"/>
                <w:szCs w:val="21"/>
              </w:rPr>
              <w:t>85%得0分。</w:t>
            </w:r>
          </w:p>
        </w:tc>
        <w:tc>
          <w:tcPr>
            <w:tcW w:w="794" w:type="dxa"/>
            <w:tcBorders>
              <w:top w:val="single" w:color="000000" w:sz="4" w:space="0"/>
              <w:left w:val="single" w:color="auto" w:sz="4" w:space="0"/>
              <w:bottom w:val="single" w:color="auto" w:sz="4" w:space="0"/>
              <w:right w:val="single" w:color="000000" w:sz="4" w:space="0"/>
            </w:tcBorders>
            <w:vAlign w:val="center"/>
          </w:tcPr>
          <w:p w14:paraId="433C5969">
            <w:pPr>
              <w:widowControl/>
              <w:spacing w:line="68" w:lineRule="atLeast"/>
              <w:jc w:val="center"/>
              <w:rPr>
                <w:rFonts w:ascii="仿宋" w:hAnsi="仿宋" w:eastAsia="仿宋" w:cs="宋体"/>
                <w:kern w:val="0"/>
                <w:sz w:val="24"/>
                <w:szCs w:val="24"/>
              </w:rPr>
            </w:pPr>
            <w:r>
              <w:rPr>
                <w:rFonts w:hint="eastAsia" w:ascii="仿宋" w:hAnsi="仿宋" w:eastAsia="仿宋" w:cs="宋体"/>
                <w:kern w:val="0"/>
                <w:sz w:val="24"/>
                <w:szCs w:val="24"/>
              </w:rPr>
              <w:t>3</w:t>
            </w:r>
          </w:p>
        </w:tc>
      </w:tr>
      <w:tr w14:paraId="325C5B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10" w:hRule="atLeast"/>
          <w:jc w:val="center"/>
        </w:trPr>
        <w:tc>
          <w:tcPr>
            <w:tcW w:w="769" w:type="dxa"/>
            <w:vMerge w:val="continue"/>
            <w:tcBorders>
              <w:left w:val="single" w:color="000000" w:sz="4" w:space="0"/>
              <w:right w:val="single" w:color="000000" w:sz="4" w:space="0"/>
            </w:tcBorders>
            <w:vAlign w:val="center"/>
          </w:tcPr>
          <w:p w14:paraId="74560296">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14:paraId="5B277432">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14:paraId="161A6C65">
            <w:pPr>
              <w:widowControl/>
              <w:spacing w:line="68" w:lineRule="atLeast"/>
              <w:jc w:val="left"/>
              <w:rPr>
                <w:rFonts w:ascii="仿宋" w:hAnsi="仿宋" w:eastAsia="仿宋" w:cs="宋体"/>
                <w:kern w:val="0"/>
                <w:szCs w:val="21"/>
              </w:rPr>
            </w:pPr>
            <w:r>
              <w:rPr>
                <w:rFonts w:ascii="仿宋" w:hAnsi="仿宋" w:eastAsia="仿宋" w:cs="Arial"/>
                <w:kern w:val="0"/>
                <w:szCs w:val="21"/>
              </w:rPr>
              <w:t>项目质量达标率（</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14:paraId="7C4998AB">
            <w:pPr>
              <w:widowControl/>
              <w:spacing w:line="240" w:lineRule="exact"/>
              <w:jc w:val="left"/>
              <w:rPr>
                <w:rFonts w:ascii="仿宋" w:hAnsi="仿宋" w:eastAsia="仿宋" w:cs="宋体"/>
                <w:kern w:val="0"/>
                <w:szCs w:val="21"/>
              </w:rPr>
            </w:pPr>
            <w:r>
              <w:rPr>
                <w:rFonts w:ascii="仿宋" w:hAnsi="仿宋" w:eastAsia="仿宋" w:cs="Arial"/>
                <w:kern w:val="0"/>
                <w:szCs w:val="21"/>
              </w:rPr>
              <w:t>部门已完成项目中质量达标项目个数占已完成项目个数的比率</w:t>
            </w:r>
            <w:r>
              <w:rPr>
                <w:rFonts w:hint="eastAsia" w:ascii="仿宋" w:hAnsi="仿宋" w:eastAsia="仿宋" w:cs="Arial"/>
                <w:kern w:val="0"/>
                <w:szCs w:val="21"/>
              </w:rPr>
              <w:t>,</w:t>
            </w:r>
            <w:r>
              <w:rPr>
                <w:rFonts w:ascii="仿宋" w:hAnsi="仿宋" w:eastAsia="仿宋" w:cs="Arial"/>
                <w:kern w:val="0"/>
                <w:szCs w:val="21"/>
              </w:rPr>
              <w:t>用以反映和评价部门履职质量目标的实现程度。</w:t>
            </w:r>
          </w:p>
          <w:p w14:paraId="059A71A9">
            <w:pPr>
              <w:widowControl/>
              <w:spacing w:line="240" w:lineRule="exact"/>
              <w:jc w:val="left"/>
              <w:rPr>
                <w:rFonts w:ascii="仿宋" w:hAnsi="仿宋" w:eastAsia="仿宋" w:cs="宋体"/>
                <w:kern w:val="0"/>
                <w:szCs w:val="21"/>
              </w:rPr>
            </w:pPr>
            <w:r>
              <w:rPr>
                <w:rFonts w:ascii="仿宋" w:hAnsi="仿宋" w:eastAsia="仿宋" w:cs="Arial"/>
                <w:kern w:val="0"/>
                <w:szCs w:val="21"/>
              </w:rPr>
              <w:t>项目质量达标率</w:t>
            </w:r>
            <w:r>
              <w:rPr>
                <w:rFonts w:hint="eastAsia" w:ascii="仿宋" w:hAnsi="仿宋" w:eastAsia="仿宋" w:cs="Arial"/>
                <w:kern w:val="0"/>
                <w:szCs w:val="21"/>
              </w:rPr>
              <w:t>=</w:t>
            </w:r>
            <w:r>
              <w:rPr>
                <w:rFonts w:ascii="仿宋" w:hAnsi="仿宋" w:eastAsia="仿宋" w:cs="Arial"/>
                <w:kern w:val="0"/>
                <w:szCs w:val="21"/>
              </w:rPr>
              <w:t>（已完成项目中质量达标项目个数</w:t>
            </w:r>
            <w:r>
              <w:rPr>
                <w:rFonts w:hint="eastAsia" w:ascii="仿宋" w:hAnsi="仿宋" w:eastAsia="仿宋" w:cs="Arial"/>
                <w:kern w:val="0"/>
                <w:szCs w:val="21"/>
              </w:rPr>
              <w:t>/</w:t>
            </w:r>
            <w:r>
              <w:rPr>
                <w:rFonts w:ascii="仿宋" w:hAnsi="仿宋" w:eastAsia="仿宋" w:cs="Arial"/>
                <w:kern w:val="0"/>
                <w:szCs w:val="21"/>
              </w:rPr>
              <w:t>已完成项目个数）×</w:t>
            </w:r>
            <w:r>
              <w:rPr>
                <w:rFonts w:hint="eastAsia" w:ascii="仿宋" w:hAnsi="仿宋" w:eastAsia="仿宋" w:cs="Arial"/>
                <w:kern w:val="0"/>
                <w:szCs w:val="21"/>
              </w:rPr>
              <w:t>100%</w:t>
            </w:r>
            <w:r>
              <w:rPr>
                <w:rFonts w:ascii="仿宋" w:hAnsi="仿宋" w:eastAsia="仿宋" w:cs="Arial"/>
                <w:kern w:val="0"/>
                <w:szCs w:val="21"/>
              </w:rPr>
              <w:t>。</w:t>
            </w:r>
          </w:p>
          <w:p w14:paraId="79B4DB84">
            <w:pPr>
              <w:widowControl/>
              <w:spacing w:line="68" w:lineRule="atLeast"/>
              <w:jc w:val="left"/>
              <w:rPr>
                <w:rFonts w:ascii="仿宋" w:hAnsi="仿宋" w:eastAsia="仿宋" w:cs="宋体"/>
                <w:kern w:val="0"/>
                <w:szCs w:val="21"/>
              </w:rPr>
            </w:pPr>
            <w:r>
              <w:rPr>
                <w:rFonts w:ascii="仿宋" w:hAnsi="仿宋" w:eastAsia="仿宋" w:cs="Arial"/>
                <w:kern w:val="0"/>
                <w:szCs w:val="21"/>
              </w:rPr>
              <w:t>项目质量达标是指项目决算验收合格。</w:t>
            </w:r>
          </w:p>
        </w:tc>
        <w:tc>
          <w:tcPr>
            <w:tcW w:w="1899" w:type="dxa"/>
            <w:tcBorders>
              <w:top w:val="single" w:color="000000" w:sz="4" w:space="0"/>
              <w:left w:val="single" w:color="auto" w:sz="4" w:space="0"/>
              <w:bottom w:val="single" w:color="auto" w:sz="4" w:space="0"/>
              <w:right w:val="single" w:color="auto" w:sz="4" w:space="0"/>
            </w:tcBorders>
            <w:vAlign w:val="center"/>
          </w:tcPr>
          <w:p w14:paraId="09C6C999">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目标值100%；以4分为上限，采用完成比率法计分：得分=项目质量达标率×4，</w:t>
            </w:r>
            <w:r>
              <w:rPr>
                <w:rFonts w:hint="eastAsia" w:ascii="仿宋" w:hAnsi="仿宋" w:eastAsia="仿宋" w:cs="Arial"/>
                <w:kern w:val="0"/>
                <w:szCs w:val="21"/>
              </w:rPr>
              <w:t>≤</w:t>
            </w:r>
            <w:r>
              <w:rPr>
                <w:rFonts w:hint="eastAsia" w:ascii="仿宋" w:hAnsi="仿宋" w:eastAsia="仿宋" w:cs="宋体"/>
                <w:kern w:val="0"/>
                <w:szCs w:val="21"/>
              </w:rPr>
              <w:t>95%的扣4分。</w:t>
            </w:r>
          </w:p>
        </w:tc>
        <w:tc>
          <w:tcPr>
            <w:tcW w:w="794" w:type="dxa"/>
            <w:tcBorders>
              <w:top w:val="single" w:color="000000" w:sz="4" w:space="0"/>
              <w:left w:val="single" w:color="auto" w:sz="4" w:space="0"/>
              <w:bottom w:val="single" w:color="auto" w:sz="4" w:space="0"/>
              <w:right w:val="single" w:color="000000" w:sz="4" w:space="0"/>
            </w:tcBorders>
            <w:vAlign w:val="center"/>
          </w:tcPr>
          <w:p w14:paraId="6A41D36C">
            <w:pPr>
              <w:widowControl/>
              <w:spacing w:line="68" w:lineRule="atLeast"/>
              <w:jc w:val="center"/>
              <w:rPr>
                <w:rFonts w:ascii="仿宋" w:hAnsi="仿宋" w:eastAsia="仿宋" w:cs="宋体"/>
                <w:kern w:val="0"/>
                <w:sz w:val="24"/>
                <w:szCs w:val="24"/>
              </w:rPr>
            </w:pPr>
            <w:r>
              <w:rPr>
                <w:rFonts w:hint="eastAsia" w:ascii="仿宋" w:hAnsi="仿宋" w:eastAsia="仿宋" w:cs="宋体"/>
                <w:kern w:val="0"/>
                <w:sz w:val="24"/>
                <w:szCs w:val="24"/>
              </w:rPr>
              <w:t>3.5</w:t>
            </w:r>
          </w:p>
        </w:tc>
      </w:tr>
      <w:tr w14:paraId="65A370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right w:val="single" w:color="000000" w:sz="4" w:space="0"/>
            </w:tcBorders>
            <w:vAlign w:val="center"/>
          </w:tcPr>
          <w:p w14:paraId="77EE8D8A">
            <w:pPr>
              <w:widowControl/>
              <w:jc w:val="left"/>
              <w:rPr>
                <w:rFonts w:ascii="仿宋" w:hAnsi="仿宋" w:eastAsia="仿宋" w:cs="宋体"/>
                <w:kern w:val="0"/>
                <w:sz w:val="24"/>
                <w:szCs w:val="24"/>
              </w:rPr>
            </w:pPr>
          </w:p>
        </w:tc>
        <w:tc>
          <w:tcPr>
            <w:tcW w:w="1049" w:type="dxa"/>
            <w:vMerge w:val="continue"/>
            <w:tcBorders>
              <w:left w:val="single" w:color="000000" w:sz="4" w:space="0"/>
              <w:right w:val="single" w:color="000000" w:sz="4" w:space="0"/>
            </w:tcBorders>
            <w:vAlign w:val="center"/>
          </w:tcPr>
          <w:p w14:paraId="2BB76130">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14:paraId="1924AF2F">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重点工作办结率</w:t>
            </w:r>
            <w:r>
              <w:rPr>
                <w:rFonts w:ascii="仿宋" w:hAnsi="仿宋" w:eastAsia="仿宋" w:cs="Arial"/>
                <w:kern w:val="0"/>
                <w:szCs w:val="21"/>
              </w:rPr>
              <w:t>（</w:t>
            </w:r>
            <w:r>
              <w:rPr>
                <w:rFonts w:hint="eastAsia" w:ascii="仿宋" w:hAnsi="仿宋" w:eastAsia="仿宋" w:cs="Arial"/>
                <w:kern w:val="0"/>
                <w:szCs w:val="21"/>
              </w:rPr>
              <w:t>4分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14:paraId="524BE1B5">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部门年度重点工作实际完成数与交办或下达数的比率，用以反映部门对重点工作的办理落实程度。</w:t>
            </w:r>
          </w:p>
          <w:p w14:paraId="71ED0BA0">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重点工作办结率=（重点工作实际完成数/交办或下达数）×100%。</w:t>
            </w:r>
          </w:p>
          <w:p w14:paraId="5C4F3AD1">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重点工作是指党委、政府、人大、相关部门交办或下达的工作任务。</w:t>
            </w:r>
          </w:p>
        </w:tc>
        <w:tc>
          <w:tcPr>
            <w:tcW w:w="1899" w:type="dxa"/>
            <w:tcBorders>
              <w:top w:val="single" w:color="000000" w:sz="4" w:space="0"/>
              <w:left w:val="single" w:color="auto" w:sz="4" w:space="0"/>
              <w:bottom w:val="single" w:color="auto" w:sz="4" w:space="0"/>
              <w:right w:val="single" w:color="auto" w:sz="4" w:space="0"/>
            </w:tcBorders>
            <w:vAlign w:val="center"/>
          </w:tcPr>
          <w:p w14:paraId="48A7B679">
            <w:pPr>
              <w:widowControl/>
              <w:spacing w:line="68" w:lineRule="atLeast"/>
              <w:jc w:val="left"/>
              <w:rPr>
                <w:rFonts w:ascii="仿宋" w:hAnsi="仿宋" w:eastAsia="仿宋" w:cs="宋体"/>
                <w:kern w:val="0"/>
                <w:szCs w:val="21"/>
              </w:rPr>
            </w:pPr>
            <w:r>
              <w:rPr>
                <w:rFonts w:hint="eastAsia" w:ascii="仿宋" w:hAnsi="仿宋" w:eastAsia="仿宋" w:cs="宋体"/>
                <w:kern w:val="0"/>
                <w:szCs w:val="21"/>
              </w:rPr>
              <w:t>目标值100%；以4分为上限，采用完成比率法计分：得分=重点工作办结率×4，</w:t>
            </w:r>
            <w:r>
              <w:rPr>
                <w:rFonts w:hint="eastAsia" w:ascii="仿宋" w:hAnsi="仿宋" w:eastAsia="仿宋" w:cs="Arial"/>
                <w:kern w:val="0"/>
                <w:szCs w:val="21"/>
              </w:rPr>
              <w:t>≤</w:t>
            </w:r>
            <w:r>
              <w:rPr>
                <w:rFonts w:hint="eastAsia" w:ascii="仿宋" w:hAnsi="仿宋" w:eastAsia="仿宋" w:cs="宋体"/>
                <w:kern w:val="0"/>
                <w:szCs w:val="21"/>
              </w:rPr>
              <w:t>90%的扣4分。</w:t>
            </w:r>
          </w:p>
        </w:tc>
        <w:tc>
          <w:tcPr>
            <w:tcW w:w="794" w:type="dxa"/>
            <w:tcBorders>
              <w:top w:val="single" w:color="000000" w:sz="4" w:space="0"/>
              <w:left w:val="single" w:color="auto" w:sz="4" w:space="0"/>
              <w:bottom w:val="single" w:color="auto" w:sz="4" w:space="0"/>
              <w:right w:val="single" w:color="000000" w:sz="4" w:space="0"/>
            </w:tcBorders>
            <w:vAlign w:val="center"/>
          </w:tcPr>
          <w:p w14:paraId="14B277D9">
            <w:pPr>
              <w:widowControl/>
              <w:spacing w:line="68" w:lineRule="atLeast"/>
              <w:jc w:val="center"/>
              <w:rPr>
                <w:rFonts w:ascii="仿宋" w:hAnsi="仿宋" w:eastAsia="仿宋" w:cs="宋体"/>
                <w:kern w:val="0"/>
                <w:sz w:val="24"/>
                <w:szCs w:val="24"/>
              </w:rPr>
            </w:pPr>
            <w:r>
              <w:rPr>
                <w:rFonts w:hint="eastAsia" w:ascii="仿宋" w:hAnsi="仿宋" w:eastAsia="仿宋" w:cs="宋体"/>
                <w:kern w:val="0"/>
                <w:sz w:val="24"/>
                <w:szCs w:val="24"/>
              </w:rPr>
              <w:t>4</w:t>
            </w:r>
          </w:p>
        </w:tc>
      </w:tr>
      <w:tr w14:paraId="1C611B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4" w:hRule="atLeast"/>
          <w:jc w:val="center"/>
        </w:trPr>
        <w:tc>
          <w:tcPr>
            <w:tcW w:w="769" w:type="dxa"/>
            <w:vMerge w:val="continue"/>
            <w:tcBorders>
              <w:left w:val="single" w:color="000000" w:sz="4" w:space="0"/>
              <w:bottom w:val="single" w:color="000000" w:sz="4" w:space="0"/>
              <w:right w:val="single" w:color="000000" w:sz="4" w:space="0"/>
            </w:tcBorders>
            <w:vAlign w:val="center"/>
          </w:tcPr>
          <w:p w14:paraId="09DCD1D5">
            <w:pPr>
              <w:widowControl/>
              <w:jc w:val="left"/>
              <w:rPr>
                <w:rFonts w:ascii="仿宋" w:hAnsi="仿宋" w:eastAsia="仿宋" w:cs="宋体"/>
                <w:kern w:val="0"/>
                <w:sz w:val="24"/>
                <w:szCs w:val="24"/>
              </w:rPr>
            </w:pPr>
          </w:p>
        </w:tc>
        <w:tc>
          <w:tcPr>
            <w:tcW w:w="1049" w:type="dxa"/>
            <w:vMerge w:val="continue"/>
            <w:tcBorders>
              <w:left w:val="single" w:color="000000" w:sz="4" w:space="0"/>
              <w:bottom w:val="single" w:color="000000" w:sz="4" w:space="0"/>
              <w:right w:val="single" w:color="000000" w:sz="4" w:space="0"/>
            </w:tcBorders>
            <w:vAlign w:val="center"/>
          </w:tcPr>
          <w:p w14:paraId="58E78B88">
            <w:pPr>
              <w:widowControl/>
              <w:jc w:val="left"/>
              <w:rPr>
                <w:rFonts w:ascii="仿宋" w:hAnsi="仿宋" w:eastAsia="仿宋" w:cs="宋体"/>
                <w:kern w:val="0"/>
                <w:sz w:val="24"/>
                <w:szCs w:val="24"/>
              </w:rPr>
            </w:pPr>
          </w:p>
        </w:tc>
        <w:tc>
          <w:tcPr>
            <w:tcW w:w="709" w:type="dxa"/>
            <w:tcBorders>
              <w:top w:val="single" w:color="000000" w:sz="4" w:space="0"/>
              <w:left w:val="single" w:color="000000" w:sz="4" w:space="0"/>
              <w:bottom w:val="single" w:color="auto" w:sz="4" w:space="0"/>
              <w:right w:val="single" w:color="auto" w:sz="4" w:space="0"/>
            </w:tcBorders>
            <w:vAlign w:val="center"/>
          </w:tcPr>
          <w:p w14:paraId="060360DA">
            <w:pPr>
              <w:widowControl/>
              <w:spacing w:line="68" w:lineRule="atLeast"/>
              <w:jc w:val="left"/>
              <w:rPr>
                <w:rFonts w:ascii="仿宋" w:hAnsi="仿宋" w:eastAsia="仿宋" w:cs="宋体"/>
                <w:kern w:val="0"/>
                <w:szCs w:val="21"/>
              </w:rPr>
            </w:pPr>
            <w:r>
              <w:rPr>
                <w:rFonts w:ascii="仿宋" w:hAnsi="仿宋" w:eastAsia="仿宋" w:cs="Arial"/>
                <w:kern w:val="0"/>
                <w:szCs w:val="21"/>
              </w:rPr>
              <w:t>部门绩效自评项目占比率（</w:t>
            </w:r>
            <w:r>
              <w:rPr>
                <w:rFonts w:hint="eastAsia" w:ascii="仿宋" w:hAnsi="仿宋" w:eastAsia="仿宋" w:cs="Arial"/>
                <w:kern w:val="0"/>
                <w:szCs w:val="21"/>
              </w:rPr>
              <w:t>3分</w:t>
            </w:r>
            <w:r>
              <w:rPr>
                <w:rFonts w:ascii="仿宋" w:hAnsi="仿宋" w:eastAsia="仿宋" w:cs="Arial"/>
                <w:kern w:val="0"/>
                <w:szCs w:val="21"/>
              </w:rPr>
              <w:t>）</w:t>
            </w:r>
          </w:p>
        </w:tc>
        <w:tc>
          <w:tcPr>
            <w:tcW w:w="4536" w:type="dxa"/>
            <w:tcBorders>
              <w:top w:val="single" w:color="000000" w:sz="4" w:space="0"/>
              <w:left w:val="single" w:color="auto" w:sz="4" w:space="0"/>
              <w:bottom w:val="single" w:color="auto" w:sz="4" w:space="0"/>
              <w:right w:val="single" w:color="auto" w:sz="4" w:space="0"/>
            </w:tcBorders>
            <w:vAlign w:val="center"/>
          </w:tcPr>
          <w:p w14:paraId="4597BB46">
            <w:pPr>
              <w:widowControl/>
              <w:spacing w:line="240" w:lineRule="exact"/>
              <w:jc w:val="left"/>
              <w:rPr>
                <w:rFonts w:ascii="仿宋" w:hAnsi="仿宋" w:eastAsia="仿宋" w:cs="宋体"/>
                <w:kern w:val="0"/>
                <w:szCs w:val="21"/>
              </w:rPr>
            </w:pPr>
            <w:r>
              <w:rPr>
                <w:rFonts w:ascii="仿宋" w:hAnsi="仿宋" w:eastAsia="仿宋" w:cs="Arial"/>
                <w:kern w:val="0"/>
                <w:szCs w:val="21"/>
              </w:rPr>
              <w:t>部门自评项目在所有项目中所占的份额，反映和评价部门对项目自评的重视程度。</w:t>
            </w:r>
          </w:p>
          <w:p w14:paraId="2C7192AC">
            <w:pPr>
              <w:widowControl/>
              <w:spacing w:line="240" w:lineRule="exact"/>
              <w:jc w:val="left"/>
              <w:rPr>
                <w:rFonts w:ascii="仿宋" w:hAnsi="仿宋" w:eastAsia="仿宋" w:cs="宋体"/>
                <w:kern w:val="0"/>
                <w:szCs w:val="21"/>
              </w:rPr>
            </w:pPr>
            <w:r>
              <w:rPr>
                <w:rFonts w:ascii="仿宋" w:hAnsi="仿宋" w:eastAsia="仿宋" w:cs="Arial"/>
                <w:kern w:val="0"/>
                <w:szCs w:val="21"/>
              </w:rPr>
              <w:t>占比率</w:t>
            </w:r>
            <w:r>
              <w:rPr>
                <w:rFonts w:hint="eastAsia" w:ascii="仿宋" w:hAnsi="仿宋" w:eastAsia="仿宋" w:cs="Arial"/>
                <w:kern w:val="0"/>
                <w:szCs w:val="21"/>
              </w:rPr>
              <w:t>=(</w:t>
            </w:r>
            <w:r>
              <w:rPr>
                <w:rFonts w:ascii="仿宋" w:hAnsi="仿宋" w:eastAsia="仿宋" w:cs="Arial"/>
                <w:kern w:val="0"/>
                <w:szCs w:val="21"/>
              </w:rPr>
              <w:t>自评项目</w:t>
            </w:r>
            <w:r>
              <w:rPr>
                <w:rFonts w:hint="eastAsia" w:ascii="仿宋" w:hAnsi="仿宋" w:eastAsia="仿宋" w:cs="Arial"/>
                <w:kern w:val="0"/>
                <w:szCs w:val="21"/>
              </w:rPr>
              <w:t>资金量/</w:t>
            </w:r>
            <w:r>
              <w:rPr>
                <w:rFonts w:ascii="仿宋" w:hAnsi="仿宋" w:eastAsia="仿宋" w:cs="Arial"/>
                <w:kern w:val="0"/>
                <w:szCs w:val="21"/>
              </w:rPr>
              <w:t>项目</w:t>
            </w:r>
            <w:r>
              <w:rPr>
                <w:rFonts w:hint="eastAsia" w:ascii="仿宋" w:hAnsi="仿宋" w:eastAsia="仿宋" w:cs="Arial"/>
                <w:kern w:val="0"/>
                <w:szCs w:val="21"/>
              </w:rPr>
              <w:t>支出资金量)×100%</w:t>
            </w:r>
            <w:r>
              <w:rPr>
                <w:rFonts w:ascii="仿宋" w:hAnsi="仿宋" w:eastAsia="仿宋" w:cs="Arial"/>
                <w:kern w:val="0"/>
                <w:szCs w:val="21"/>
              </w:rPr>
              <w:t>。</w:t>
            </w:r>
          </w:p>
          <w:p w14:paraId="37FD694D">
            <w:pPr>
              <w:widowControl/>
              <w:spacing w:line="68" w:lineRule="atLeast"/>
              <w:jc w:val="left"/>
              <w:rPr>
                <w:rFonts w:ascii="仿宋" w:hAnsi="仿宋" w:eastAsia="仿宋" w:cs="宋体"/>
                <w:kern w:val="0"/>
                <w:szCs w:val="21"/>
              </w:rPr>
            </w:pPr>
            <w:r>
              <w:rPr>
                <w:rFonts w:ascii="仿宋" w:hAnsi="仿宋" w:eastAsia="仿宋" w:cs="Arial"/>
                <w:kern w:val="0"/>
                <w:szCs w:val="21"/>
              </w:rPr>
              <w:t>部门支出项目绩效自评范围：本年度列入本级财政预算安排的项目。</w:t>
            </w:r>
          </w:p>
        </w:tc>
        <w:tc>
          <w:tcPr>
            <w:tcW w:w="1899" w:type="dxa"/>
            <w:tcBorders>
              <w:top w:val="single" w:color="000000" w:sz="4" w:space="0"/>
              <w:left w:val="single" w:color="auto" w:sz="4" w:space="0"/>
              <w:bottom w:val="single" w:color="auto" w:sz="4" w:space="0"/>
              <w:right w:val="single" w:color="auto" w:sz="4" w:space="0"/>
            </w:tcBorders>
            <w:vAlign w:val="center"/>
          </w:tcPr>
          <w:p w14:paraId="6B025952">
            <w:pPr>
              <w:widowControl/>
              <w:spacing w:line="68" w:lineRule="atLeast"/>
              <w:jc w:val="left"/>
              <w:rPr>
                <w:rFonts w:ascii="仿宋" w:hAnsi="仿宋" w:eastAsia="仿宋" w:cs="宋体"/>
                <w:kern w:val="0"/>
                <w:szCs w:val="21"/>
              </w:rPr>
            </w:pPr>
            <w:r>
              <w:rPr>
                <w:rFonts w:hint="eastAsia" w:ascii="仿宋" w:hAnsi="仿宋" w:eastAsia="仿宋" w:cs="Arial"/>
                <w:kern w:val="0"/>
                <w:szCs w:val="21"/>
              </w:rPr>
              <w:t>达到目标值得3分，未达到目标值</w:t>
            </w:r>
            <w:r>
              <w:rPr>
                <w:rFonts w:hint="eastAsia" w:ascii="仿宋" w:hAnsi="仿宋" w:eastAsia="仿宋" w:cs="宋体"/>
                <w:kern w:val="0"/>
                <w:szCs w:val="21"/>
              </w:rPr>
              <w:t>采用完成比率法计分：</w:t>
            </w:r>
            <w:r>
              <w:rPr>
                <w:rFonts w:ascii="仿宋" w:hAnsi="仿宋" w:eastAsia="仿宋" w:cs="Arial"/>
                <w:kern w:val="0"/>
                <w:szCs w:val="21"/>
              </w:rPr>
              <w:t>得分</w:t>
            </w:r>
            <w:r>
              <w:rPr>
                <w:rFonts w:hint="eastAsia" w:ascii="仿宋" w:hAnsi="仿宋" w:eastAsia="仿宋" w:cs="Arial"/>
                <w:kern w:val="0"/>
                <w:szCs w:val="21"/>
              </w:rPr>
              <w:t>=</w:t>
            </w:r>
            <w:r>
              <w:rPr>
                <w:rFonts w:ascii="仿宋" w:hAnsi="仿宋" w:eastAsia="仿宋" w:cs="Arial"/>
                <w:kern w:val="0"/>
                <w:szCs w:val="21"/>
              </w:rPr>
              <w:t>占比率</w:t>
            </w:r>
            <w:r>
              <w:rPr>
                <w:rFonts w:hint="eastAsia" w:ascii="仿宋" w:hAnsi="仿宋" w:eastAsia="仿宋" w:cs="Arial"/>
                <w:kern w:val="0"/>
                <w:szCs w:val="21"/>
              </w:rPr>
              <w:t>/目标值</w:t>
            </w:r>
            <w:r>
              <w:rPr>
                <w:rFonts w:ascii="仿宋" w:hAnsi="仿宋" w:eastAsia="仿宋" w:cs="Arial"/>
                <w:kern w:val="0"/>
                <w:szCs w:val="21"/>
              </w:rPr>
              <w:t>×</w:t>
            </w:r>
            <w:r>
              <w:rPr>
                <w:rFonts w:hint="eastAsia" w:ascii="仿宋" w:hAnsi="仿宋" w:eastAsia="仿宋" w:cs="Arial"/>
                <w:kern w:val="0"/>
                <w:szCs w:val="21"/>
              </w:rPr>
              <w:t>3，超过目标值不加分</w:t>
            </w:r>
            <w:r>
              <w:rPr>
                <w:rFonts w:ascii="仿宋" w:hAnsi="仿宋" w:eastAsia="仿宋" w:cs="Arial"/>
                <w:kern w:val="0"/>
                <w:szCs w:val="21"/>
              </w:rPr>
              <w:t>。</w:t>
            </w:r>
          </w:p>
        </w:tc>
        <w:tc>
          <w:tcPr>
            <w:tcW w:w="794" w:type="dxa"/>
            <w:tcBorders>
              <w:top w:val="single" w:color="000000" w:sz="4" w:space="0"/>
              <w:left w:val="single" w:color="auto" w:sz="4" w:space="0"/>
              <w:bottom w:val="single" w:color="auto" w:sz="4" w:space="0"/>
              <w:right w:val="single" w:color="000000" w:sz="4" w:space="0"/>
            </w:tcBorders>
            <w:vAlign w:val="center"/>
          </w:tcPr>
          <w:p w14:paraId="3DD314EE">
            <w:pPr>
              <w:widowControl/>
              <w:spacing w:line="68" w:lineRule="atLeast"/>
              <w:jc w:val="center"/>
              <w:rPr>
                <w:rFonts w:ascii="宋体" w:hAnsi="宋体" w:eastAsia="宋体" w:cs="宋体"/>
                <w:kern w:val="0"/>
                <w:sz w:val="20"/>
                <w:szCs w:val="24"/>
              </w:rPr>
            </w:pPr>
            <w:r>
              <w:rPr>
                <w:rFonts w:hint="eastAsia" w:ascii="宋体" w:hAnsi="宋体" w:eastAsia="宋体" w:cs="宋体"/>
                <w:kern w:val="0"/>
                <w:sz w:val="20"/>
                <w:szCs w:val="24"/>
              </w:rPr>
              <w:t>3</w:t>
            </w:r>
          </w:p>
        </w:tc>
      </w:tr>
      <w:tr w14:paraId="556276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03" w:hRule="atLeast"/>
          <w:jc w:val="center"/>
        </w:trPr>
        <w:tc>
          <w:tcPr>
            <w:tcW w:w="769" w:type="dxa"/>
            <w:vMerge w:val="restart"/>
            <w:tcBorders>
              <w:top w:val="single" w:color="000000" w:sz="4" w:space="0"/>
              <w:left w:val="single" w:color="000000" w:sz="4" w:space="0"/>
              <w:right w:val="single" w:color="000000" w:sz="4" w:space="0"/>
            </w:tcBorders>
            <w:vAlign w:val="center"/>
          </w:tcPr>
          <w:p w14:paraId="7AFF0386">
            <w:pPr>
              <w:widowControl/>
              <w:spacing w:line="68" w:lineRule="atLeast"/>
              <w:jc w:val="left"/>
              <w:rPr>
                <w:rFonts w:ascii="仿宋" w:hAnsi="仿宋" w:eastAsia="仿宋" w:cs="Arial"/>
                <w:kern w:val="0"/>
                <w:sz w:val="24"/>
                <w:szCs w:val="24"/>
              </w:rPr>
            </w:pPr>
          </w:p>
          <w:p w14:paraId="4E326EF2">
            <w:pPr>
              <w:widowControl/>
              <w:spacing w:line="68" w:lineRule="atLeast"/>
              <w:jc w:val="left"/>
              <w:rPr>
                <w:rFonts w:ascii="仿宋" w:hAnsi="仿宋" w:eastAsia="仿宋" w:cs="Arial"/>
                <w:kern w:val="0"/>
                <w:sz w:val="24"/>
                <w:szCs w:val="24"/>
              </w:rPr>
            </w:pPr>
          </w:p>
          <w:p w14:paraId="48FE12A7">
            <w:pPr>
              <w:widowControl/>
              <w:spacing w:line="68" w:lineRule="atLeast"/>
              <w:jc w:val="left"/>
              <w:rPr>
                <w:rFonts w:ascii="仿宋" w:hAnsi="仿宋" w:eastAsia="仿宋" w:cs="Arial"/>
                <w:kern w:val="0"/>
                <w:sz w:val="24"/>
                <w:szCs w:val="24"/>
              </w:rPr>
            </w:pPr>
          </w:p>
          <w:p w14:paraId="5CD221D4">
            <w:pPr>
              <w:widowControl/>
              <w:spacing w:line="68" w:lineRule="atLeast"/>
              <w:jc w:val="left"/>
              <w:rPr>
                <w:rFonts w:ascii="仿宋" w:hAnsi="仿宋" w:eastAsia="仿宋" w:cs="Arial"/>
                <w:kern w:val="0"/>
                <w:sz w:val="24"/>
                <w:szCs w:val="24"/>
              </w:rPr>
            </w:pPr>
          </w:p>
          <w:p w14:paraId="19B04B5C">
            <w:pPr>
              <w:widowControl/>
              <w:spacing w:line="68" w:lineRule="atLeast"/>
              <w:jc w:val="left"/>
              <w:rPr>
                <w:rFonts w:ascii="仿宋" w:hAnsi="仿宋" w:eastAsia="仿宋" w:cs="Arial"/>
                <w:kern w:val="0"/>
                <w:sz w:val="24"/>
                <w:szCs w:val="24"/>
              </w:rPr>
            </w:pPr>
          </w:p>
          <w:p w14:paraId="3E0B9EAB">
            <w:pPr>
              <w:widowControl/>
              <w:spacing w:line="68" w:lineRule="atLeast"/>
              <w:jc w:val="left"/>
              <w:rPr>
                <w:rFonts w:ascii="仿宋" w:hAnsi="仿宋" w:eastAsia="仿宋" w:cs="Arial"/>
                <w:kern w:val="0"/>
                <w:sz w:val="24"/>
                <w:szCs w:val="24"/>
              </w:rPr>
            </w:pPr>
          </w:p>
          <w:p w14:paraId="2637203D">
            <w:pPr>
              <w:widowControl/>
              <w:spacing w:line="68" w:lineRule="atLeast"/>
              <w:jc w:val="left"/>
              <w:rPr>
                <w:rFonts w:ascii="仿宋" w:hAnsi="仿宋" w:eastAsia="仿宋" w:cs="Arial"/>
                <w:kern w:val="0"/>
                <w:sz w:val="24"/>
                <w:szCs w:val="24"/>
              </w:rPr>
            </w:pPr>
          </w:p>
          <w:p w14:paraId="132FB602">
            <w:pPr>
              <w:widowControl/>
              <w:spacing w:line="68" w:lineRule="atLeast"/>
              <w:jc w:val="left"/>
              <w:rPr>
                <w:rFonts w:ascii="仿宋" w:hAnsi="仿宋" w:eastAsia="仿宋" w:cs="Arial"/>
                <w:kern w:val="0"/>
                <w:sz w:val="24"/>
                <w:szCs w:val="24"/>
              </w:rPr>
            </w:pPr>
            <w:r>
              <w:rPr>
                <w:rFonts w:ascii="仿宋" w:hAnsi="仿宋" w:eastAsia="仿宋" w:cs="Arial"/>
                <w:kern w:val="0"/>
                <w:sz w:val="24"/>
                <w:szCs w:val="24"/>
              </w:rPr>
              <w:t>效果（</w:t>
            </w:r>
            <w:r>
              <w:rPr>
                <w:rFonts w:hint="eastAsia" w:ascii="仿宋" w:hAnsi="仿宋" w:eastAsia="仿宋" w:cs="Arial"/>
                <w:kern w:val="0"/>
                <w:sz w:val="24"/>
                <w:szCs w:val="24"/>
              </w:rPr>
              <w:t>15</w:t>
            </w:r>
            <w:r>
              <w:rPr>
                <w:rFonts w:ascii="仿宋" w:hAnsi="仿宋" w:eastAsia="仿宋" w:cs="Arial"/>
                <w:kern w:val="0"/>
                <w:sz w:val="24"/>
                <w:szCs w:val="24"/>
              </w:rPr>
              <w:t>）</w:t>
            </w:r>
          </w:p>
          <w:p w14:paraId="04F9DC73">
            <w:pPr>
              <w:widowControl/>
              <w:spacing w:line="68" w:lineRule="atLeast"/>
              <w:jc w:val="left"/>
              <w:rPr>
                <w:rFonts w:ascii="仿宋" w:hAnsi="仿宋" w:eastAsia="仿宋" w:cs="Arial"/>
                <w:kern w:val="0"/>
                <w:sz w:val="24"/>
                <w:szCs w:val="24"/>
              </w:rPr>
            </w:pPr>
          </w:p>
          <w:p w14:paraId="25401CBE">
            <w:pPr>
              <w:widowControl/>
              <w:spacing w:line="68" w:lineRule="atLeast"/>
              <w:jc w:val="left"/>
              <w:rPr>
                <w:rFonts w:ascii="仿宋" w:hAnsi="仿宋" w:eastAsia="仿宋" w:cs="Arial"/>
                <w:kern w:val="0"/>
                <w:sz w:val="24"/>
                <w:szCs w:val="24"/>
              </w:rPr>
            </w:pPr>
          </w:p>
          <w:p w14:paraId="19F97DCE">
            <w:pPr>
              <w:widowControl/>
              <w:spacing w:line="68" w:lineRule="atLeast"/>
              <w:jc w:val="left"/>
              <w:rPr>
                <w:rFonts w:ascii="仿宋" w:hAnsi="仿宋" w:eastAsia="仿宋" w:cs="Arial"/>
                <w:kern w:val="0"/>
                <w:sz w:val="24"/>
                <w:szCs w:val="24"/>
              </w:rPr>
            </w:pPr>
          </w:p>
          <w:p w14:paraId="0B75B525">
            <w:pPr>
              <w:widowControl/>
              <w:spacing w:line="68" w:lineRule="atLeast"/>
              <w:jc w:val="left"/>
              <w:rPr>
                <w:rFonts w:ascii="仿宋" w:hAnsi="仿宋" w:eastAsia="仿宋" w:cs="Arial"/>
                <w:kern w:val="0"/>
                <w:sz w:val="24"/>
                <w:szCs w:val="24"/>
              </w:rPr>
            </w:pPr>
          </w:p>
          <w:p w14:paraId="3DF70460">
            <w:pPr>
              <w:widowControl/>
              <w:spacing w:line="68" w:lineRule="atLeast"/>
              <w:jc w:val="left"/>
              <w:rPr>
                <w:rFonts w:ascii="仿宋" w:hAnsi="仿宋" w:eastAsia="仿宋" w:cs="Arial"/>
                <w:kern w:val="0"/>
                <w:sz w:val="24"/>
                <w:szCs w:val="24"/>
              </w:rPr>
            </w:pPr>
          </w:p>
          <w:p w14:paraId="4F8D4569">
            <w:pPr>
              <w:widowControl/>
              <w:spacing w:line="68" w:lineRule="atLeast"/>
              <w:jc w:val="left"/>
              <w:rPr>
                <w:rFonts w:ascii="仿宋" w:hAnsi="仿宋" w:eastAsia="仿宋" w:cs="Arial"/>
                <w:kern w:val="0"/>
                <w:sz w:val="24"/>
                <w:szCs w:val="24"/>
              </w:rPr>
            </w:pPr>
          </w:p>
          <w:p w14:paraId="3CB6DB32">
            <w:pPr>
              <w:widowControl/>
              <w:spacing w:line="68" w:lineRule="atLeast"/>
              <w:jc w:val="left"/>
              <w:rPr>
                <w:rFonts w:ascii="仿宋" w:hAnsi="仿宋" w:eastAsia="仿宋" w:cs="Arial"/>
                <w:kern w:val="0"/>
                <w:sz w:val="24"/>
                <w:szCs w:val="24"/>
              </w:rPr>
            </w:pPr>
          </w:p>
          <w:p w14:paraId="2EA2FBF9">
            <w:pPr>
              <w:widowControl/>
              <w:spacing w:line="68" w:lineRule="atLeast"/>
              <w:jc w:val="left"/>
              <w:rPr>
                <w:rFonts w:ascii="仿宋" w:hAnsi="仿宋" w:eastAsia="仿宋" w:cs="Arial"/>
                <w:kern w:val="0"/>
                <w:sz w:val="24"/>
                <w:szCs w:val="24"/>
              </w:rPr>
            </w:pPr>
          </w:p>
          <w:p w14:paraId="0169D5D5">
            <w:pPr>
              <w:widowControl/>
              <w:spacing w:line="68" w:lineRule="atLeast"/>
              <w:jc w:val="left"/>
              <w:rPr>
                <w:rFonts w:ascii="仿宋" w:hAnsi="仿宋" w:eastAsia="仿宋" w:cs="Arial"/>
                <w:kern w:val="0"/>
                <w:sz w:val="24"/>
                <w:szCs w:val="24"/>
              </w:rPr>
            </w:pPr>
          </w:p>
          <w:p w14:paraId="3E17B3EB">
            <w:pPr>
              <w:widowControl/>
              <w:spacing w:line="68" w:lineRule="atLeast"/>
              <w:jc w:val="left"/>
              <w:rPr>
                <w:rFonts w:ascii="仿宋" w:hAnsi="仿宋" w:eastAsia="仿宋" w:cs="Arial"/>
                <w:kern w:val="0"/>
                <w:sz w:val="24"/>
                <w:szCs w:val="24"/>
              </w:rPr>
            </w:pPr>
          </w:p>
          <w:p w14:paraId="7D8E4391">
            <w:pPr>
              <w:widowControl/>
              <w:spacing w:line="68" w:lineRule="atLeast"/>
              <w:jc w:val="left"/>
              <w:rPr>
                <w:rFonts w:ascii="仿宋" w:hAnsi="仿宋" w:eastAsia="仿宋" w:cs="Arial"/>
                <w:kern w:val="0"/>
                <w:sz w:val="24"/>
                <w:szCs w:val="24"/>
              </w:rPr>
            </w:pPr>
          </w:p>
          <w:p w14:paraId="0EA8AABD">
            <w:pPr>
              <w:widowControl/>
              <w:spacing w:line="68" w:lineRule="atLeast"/>
              <w:jc w:val="left"/>
              <w:rPr>
                <w:rFonts w:ascii="仿宋" w:hAnsi="仿宋" w:eastAsia="仿宋" w:cs="Arial"/>
                <w:kern w:val="0"/>
                <w:sz w:val="24"/>
                <w:szCs w:val="24"/>
              </w:rPr>
            </w:pPr>
          </w:p>
          <w:p w14:paraId="3EFAAC87">
            <w:pPr>
              <w:widowControl/>
              <w:spacing w:line="68" w:lineRule="atLeast"/>
              <w:jc w:val="left"/>
              <w:rPr>
                <w:rFonts w:ascii="仿宋" w:hAnsi="仿宋" w:eastAsia="仿宋" w:cs="Arial"/>
                <w:kern w:val="0"/>
                <w:sz w:val="24"/>
                <w:szCs w:val="24"/>
              </w:rPr>
            </w:pPr>
          </w:p>
          <w:p w14:paraId="297F7643">
            <w:pPr>
              <w:widowControl/>
              <w:spacing w:line="68" w:lineRule="atLeast"/>
              <w:jc w:val="left"/>
              <w:rPr>
                <w:rFonts w:ascii="仿宋" w:hAnsi="仿宋" w:eastAsia="仿宋" w:cs="Arial"/>
                <w:kern w:val="0"/>
                <w:sz w:val="24"/>
                <w:szCs w:val="24"/>
              </w:rPr>
            </w:pPr>
          </w:p>
          <w:p w14:paraId="4C7CDBB1">
            <w:pPr>
              <w:widowControl/>
              <w:spacing w:line="68" w:lineRule="atLeast"/>
              <w:jc w:val="left"/>
              <w:rPr>
                <w:rFonts w:ascii="仿宋" w:hAnsi="仿宋" w:eastAsia="仿宋" w:cs="Arial"/>
                <w:kern w:val="0"/>
                <w:sz w:val="24"/>
                <w:szCs w:val="24"/>
              </w:rPr>
            </w:pPr>
          </w:p>
          <w:p w14:paraId="32AFB719">
            <w:pPr>
              <w:widowControl/>
              <w:spacing w:line="68" w:lineRule="atLeast"/>
              <w:jc w:val="left"/>
              <w:rPr>
                <w:rFonts w:ascii="仿宋" w:hAnsi="仿宋" w:eastAsia="仿宋" w:cs="Arial"/>
                <w:kern w:val="0"/>
                <w:sz w:val="24"/>
                <w:szCs w:val="24"/>
              </w:rPr>
            </w:pPr>
          </w:p>
          <w:p w14:paraId="449546E6">
            <w:pPr>
              <w:widowControl/>
              <w:spacing w:line="68" w:lineRule="atLeast"/>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14:paraId="76B63F53">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监督发现问题</w:t>
            </w:r>
          </w:p>
          <w:p w14:paraId="48CC7DE9">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（2分）</w:t>
            </w:r>
          </w:p>
        </w:tc>
        <w:tc>
          <w:tcPr>
            <w:tcW w:w="709" w:type="dxa"/>
            <w:tcBorders>
              <w:top w:val="single" w:color="000000" w:sz="4" w:space="0"/>
              <w:left w:val="single" w:color="000000" w:sz="4" w:space="0"/>
              <w:bottom w:val="single" w:color="000000" w:sz="4" w:space="0"/>
              <w:right w:val="single" w:color="auto" w:sz="4" w:space="0"/>
            </w:tcBorders>
            <w:vAlign w:val="center"/>
          </w:tcPr>
          <w:p w14:paraId="642C262B">
            <w:pPr>
              <w:widowControl/>
              <w:spacing w:line="68" w:lineRule="atLeast"/>
              <w:jc w:val="left"/>
              <w:rPr>
                <w:rFonts w:ascii="仿宋" w:hAnsi="仿宋" w:eastAsia="仿宋" w:cs="Arial"/>
                <w:kern w:val="0"/>
                <w:szCs w:val="21"/>
              </w:rPr>
            </w:pPr>
            <w:r>
              <w:rPr>
                <w:rFonts w:hint="eastAsia" w:ascii="仿宋" w:hAnsi="仿宋" w:eastAsia="仿宋" w:cs="Arial"/>
                <w:kern w:val="0"/>
                <w:szCs w:val="21"/>
              </w:rPr>
              <w:t>违规率（2分）</w:t>
            </w:r>
          </w:p>
        </w:tc>
        <w:tc>
          <w:tcPr>
            <w:tcW w:w="4536" w:type="dxa"/>
            <w:tcBorders>
              <w:top w:val="single" w:color="000000" w:sz="4" w:space="0"/>
              <w:left w:val="single" w:color="auto" w:sz="4" w:space="0"/>
              <w:bottom w:val="single" w:color="000000" w:sz="4" w:space="0"/>
              <w:right w:val="single" w:color="auto" w:sz="4" w:space="0"/>
            </w:tcBorders>
            <w:vAlign w:val="center"/>
          </w:tcPr>
          <w:p w14:paraId="72D2C696">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部门存在违规问题的资金数量占部门预算支出资金总额的比重，用以反映和考核部门预算资金管理使用的合法、合规情况。</w:t>
            </w:r>
          </w:p>
          <w:p w14:paraId="47C63F58">
            <w:pPr>
              <w:widowControl/>
              <w:spacing w:line="68" w:lineRule="atLeast"/>
              <w:jc w:val="left"/>
              <w:rPr>
                <w:rFonts w:ascii="仿宋" w:hAnsi="仿宋" w:eastAsia="仿宋" w:cs="Arial"/>
                <w:kern w:val="0"/>
                <w:szCs w:val="21"/>
              </w:rPr>
            </w:pPr>
            <w:r>
              <w:rPr>
                <w:rFonts w:hint="eastAsia" w:ascii="仿宋" w:hAnsi="仿宋" w:eastAsia="仿宋" w:cs="Arial"/>
                <w:kern w:val="0"/>
                <w:szCs w:val="21"/>
              </w:rPr>
              <w:t>违规率=存在违规问题的资金额/部门预算支出资金总额×100%</w:t>
            </w:r>
          </w:p>
        </w:tc>
        <w:tc>
          <w:tcPr>
            <w:tcW w:w="1899" w:type="dxa"/>
            <w:tcBorders>
              <w:top w:val="single" w:color="000000" w:sz="4" w:space="0"/>
              <w:left w:val="single" w:color="auto" w:sz="4" w:space="0"/>
              <w:bottom w:val="single" w:color="000000" w:sz="4" w:space="0"/>
              <w:right w:val="single" w:color="auto" w:sz="4" w:space="0"/>
            </w:tcBorders>
            <w:vAlign w:val="center"/>
          </w:tcPr>
          <w:p w14:paraId="6C6A59EB">
            <w:pPr>
              <w:widowControl/>
              <w:spacing w:line="240" w:lineRule="exact"/>
              <w:jc w:val="left"/>
              <w:rPr>
                <w:rFonts w:ascii="仿宋" w:hAnsi="仿宋" w:eastAsia="仿宋" w:cs="Arial"/>
                <w:kern w:val="0"/>
                <w:szCs w:val="21"/>
              </w:rPr>
            </w:pPr>
            <w:r>
              <w:rPr>
                <w:rFonts w:hint="eastAsia" w:ascii="仿宋" w:hAnsi="仿宋" w:eastAsia="仿宋" w:cs="宋体"/>
                <w:kern w:val="0"/>
                <w:szCs w:val="21"/>
              </w:rPr>
              <w:t>目标值0，</w:t>
            </w:r>
            <w:r>
              <w:rPr>
                <w:rFonts w:hint="eastAsia" w:ascii="仿宋" w:hAnsi="仿宋" w:eastAsia="仿宋" w:cs="Arial"/>
                <w:kern w:val="0"/>
                <w:szCs w:val="21"/>
              </w:rPr>
              <w:t>达到目标值得2分，未达到目标值的每增加0.1个百分点扣0.1分</w:t>
            </w:r>
          </w:p>
        </w:tc>
        <w:tc>
          <w:tcPr>
            <w:tcW w:w="794" w:type="dxa"/>
            <w:tcBorders>
              <w:top w:val="single" w:color="000000" w:sz="4" w:space="0"/>
              <w:left w:val="single" w:color="auto" w:sz="4" w:space="0"/>
              <w:bottom w:val="single" w:color="000000" w:sz="4" w:space="0"/>
              <w:right w:val="single" w:color="000000" w:sz="4" w:space="0"/>
            </w:tcBorders>
            <w:vAlign w:val="center"/>
          </w:tcPr>
          <w:p w14:paraId="4617B74B">
            <w:pPr>
              <w:widowControl/>
              <w:spacing w:line="68" w:lineRule="atLeast"/>
              <w:jc w:val="center"/>
              <w:rPr>
                <w:rFonts w:ascii="仿宋" w:hAnsi="仿宋" w:eastAsia="仿宋" w:cs="宋体"/>
                <w:kern w:val="0"/>
                <w:sz w:val="24"/>
                <w:szCs w:val="24"/>
              </w:rPr>
            </w:pPr>
            <w:r>
              <w:rPr>
                <w:rFonts w:hint="eastAsia" w:ascii="仿宋" w:hAnsi="仿宋" w:eastAsia="仿宋" w:cs="宋体"/>
                <w:kern w:val="0"/>
                <w:sz w:val="24"/>
                <w:szCs w:val="24"/>
              </w:rPr>
              <w:t>2</w:t>
            </w:r>
          </w:p>
        </w:tc>
      </w:tr>
      <w:tr w14:paraId="7B4437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5" w:hRule="atLeast"/>
          <w:jc w:val="center"/>
        </w:trPr>
        <w:tc>
          <w:tcPr>
            <w:tcW w:w="769" w:type="dxa"/>
            <w:vMerge w:val="continue"/>
            <w:tcBorders>
              <w:left w:val="single" w:color="000000" w:sz="4" w:space="0"/>
              <w:right w:val="single" w:color="000000" w:sz="4" w:space="0"/>
            </w:tcBorders>
            <w:vAlign w:val="center"/>
          </w:tcPr>
          <w:p w14:paraId="504B0C04">
            <w:pPr>
              <w:widowControl/>
              <w:spacing w:line="68" w:lineRule="atLeast"/>
              <w:jc w:val="left"/>
              <w:rPr>
                <w:rFonts w:ascii="仿宋" w:hAnsi="仿宋" w:eastAsia="仿宋" w:cs="Arial"/>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14:paraId="4684DD03">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工作成效（</w:t>
            </w:r>
            <w:r>
              <w:rPr>
                <w:rFonts w:hint="eastAsia" w:ascii="仿宋" w:hAnsi="仿宋" w:eastAsia="仿宋" w:cs="Arial"/>
                <w:kern w:val="0"/>
                <w:sz w:val="24"/>
                <w:szCs w:val="24"/>
              </w:rPr>
              <w:t>5</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14:paraId="34FDD7AB">
            <w:pPr>
              <w:widowControl/>
              <w:spacing w:line="68" w:lineRule="atLeast"/>
              <w:jc w:val="left"/>
              <w:rPr>
                <w:rFonts w:ascii="仿宋" w:hAnsi="仿宋" w:eastAsia="仿宋" w:cs="宋体"/>
                <w:kern w:val="0"/>
                <w:szCs w:val="21"/>
              </w:rPr>
            </w:pPr>
            <w:r>
              <w:rPr>
                <w:rFonts w:ascii="仿宋" w:hAnsi="仿宋" w:eastAsia="仿宋" w:cs="宋体"/>
                <w:bCs/>
                <w:color w:val="000000"/>
                <w:kern w:val="0"/>
                <w:szCs w:val="21"/>
              </w:rPr>
              <w:t>部门预算绩效管理</w:t>
            </w:r>
            <w:r>
              <w:rPr>
                <w:rFonts w:hint="eastAsia" w:ascii="仿宋" w:hAnsi="仿宋" w:eastAsia="仿宋" w:cs="宋体"/>
                <w:bCs/>
                <w:color w:val="000000"/>
                <w:kern w:val="0"/>
                <w:szCs w:val="21"/>
              </w:rPr>
              <w:t>考核评价</w:t>
            </w:r>
            <w:r>
              <w:rPr>
                <w:rFonts w:ascii="仿宋" w:hAnsi="仿宋" w:eastAsia="仿宋" w:cs="Arial"/>
                <w:bCs/>
                <w:kern w:val="0"/>
                <w:szCs w:val="21"/>
              </w:rPr>
              <w:t>（</w:t>
            </w:r>
            <w:r>
              <w:rPr>
                <w:rFonts w:hint="eastAsia" w:ascii="仿宋" w:hAnsi="仿宋" w:eastAsia="仿宋" w:cs="Arial"/>
                <w:bCs/>
                <w:kern w:val="0"/>
                <w:szCs w:val="21"/>
              </w:rPr>
              <w:t>5</w:t>
            </w:r>
            <w:r>
              <w:rPr>
                <w:rFonts w:ascii="仿宋" w:hAnsi="仿宋" w:eastAsia="仿宋" w:cs="Arial"/>
                <w:bCs/>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14:paraId="00C6B494">
            <w:pPr>
              <w:widowControl/>
              <w:spacing w:line="240" w:lineRule="exact"/>
              <w:jc w:val="left"/>
              <w:rPr>
                <w:rFonts w:ascii="仿宋" w:hAnsi="仿宋" w:eastAsia="仿宋" w:cs="宋体"/>
                <w:kern w:val="0"/>
                <w:szCs w:val="21"/>
              </w:rPr>
            </w:pPr>
            <w:r>
              <w:rPr>
                <w:rFonts w:ascii="仿宋" w:hAnsi="仿宋" w:eastAsia="仿宋" w:cs="宋体"/>
                <w:color w:val="000000"/>
                <w:kern w:val="0"/>
                <w:szCs w:val="21"/>
              </w:rPr>
              <w:t>财政部门对部门开展预算绩效管理工作的评价结果，用以反映部门对预算绩效管理工作的重视程度和取得的成效。</w:t>
            </w:r>
          </w:p>
          <w:p w14:paraId="55074205">
            <w:pPr>
              <w:widowControl/>
              <w:spacing w:line="240" w:lineRule="exact"/>
              <w:jc w:val="left"/>
              <w:rPr>
                <w:rFonts w:ascii="仿宋" w:hAnsi="仿宋" w:eastAsia="仿宋" w:cs="宋体"/>
                <w:kern w:val="0"/>
                <w:szCs w:val="21"/>
              </w:rPr>
            </w:pPr>
            <w:r>
              <w:rPr>
                <w:rFonts w:hint="eastAsia" w:ascii="仿宋" w:hAnsi="仿宋" w:eastAsia="仿宋" w:cs="宋体"/>
                <w:color w:val="000000"/>
                <w:kern w:val="0"/>
                <w:szCs w:val="21"/>
              </w:rPr>
              <w:t>1.</w:t>
            </w:r>
            <w:r>
              <w:rPr>
                <w:rFonts w:ascii="仿宋" w:hAnsi="仿宋" w:eastAsia="仿宋" w:cs="宋体"/>
                <w:color w:val="000000"/>
                <w:kern w:val="0"/>
                <w:szCs w:val="21"/>
              </w:rPr>
              <w:t>财政部门对部门绩效管理工作开展情况进行核查评价，包括绩效目标管理、绩效执行监控、绩效自评和评价结果应用等情况，按百分制。</w:t>
            </w:r>
          </w:p>
          <w:p w14:paraId="2423F1D1">
            <w:pPr>
              <w:widowControl/>
              <w:spacing w:line="68" w:lineRule="atLeast"/>
              <w:jc w:val="left"/>
              <w:rPr>
                <w:rFonts w:ascii="仿宋" w:hAnsi="仿宋" w:eastAsia="仿宋" w:cs="宋体"/>
                <w:kern w:val="0"/>
                <w:szCs w:val="21"/>
              </w:rPr>
            </w:pPr>
            <w:r>
              <w:rPr>
                <w:rFonts w:hint="eastAsia" w:ascii="仿宋" w:hAnsi="仿宋" w:eastAsia="仿宋" w:cs="宋体"/>
                <w:color w:val="000000"/>
                <w:kern w:val="0"/>
                <w:szCs w:val="21"/>
              </w:rPr>
              <w:t>2.</w:t>
            </w:r>
            <w:r>
              <w:rPr>
                <w:rFonts w:ascii="仿宋" w:hAnsi="仿宋" w:eastAsia="仿宋" w:cs="宋体"/>
                <w:color w:val="000000"/>
                <w:kern w:val="0"/>
                <w:szCs w:val="21"/>
              </w:rPr>
              <w:t>以部门为单位进行综合计算，得出各部门绩效管理工作评价结果。</w:t>
            </w:r>
          </w:p>
        </w:tc>
        <w:tc>
          <w:tcPr>
            <w:tcW w:w="1899" w:type="dxa"/>
            <w:tcBorders>
              <w:top w:val="single" w:color="000000" w:sz="4" w:space="0"/>
              <w:left w:val="single" w:color="auto" w:sz="4" w:space="0"/>
              <w:bottom w:val="single" w:color="000000" w:sz="4" w:space="0"/>
              <w:right w:val="single" w:color="auto" w:sz="4" w:space="0"/>
            </w:tcBorders>
            <w:vAlign w:val="center"/>
          </w:tcPr>
          <w:p w14:paraId="7A0AA063">
            <w:pPr>
              <w:widowControl/>
              <w:spacing w:line="240" w:lineRule="exact"/>
              <w:jc w:val="left"/>
              <w:rPr>
                <w:rFonts w:ascii="仿宋" w:hAnsi="仿宋" w:eastAsia="仿宋" w:cs="宋体"/>
                <w:kern w:val="0"/>
                <w:szCs w:val="21"/>
              </w:rPr>
            </w:pPr>
            <w:r>
              <w:rPr>
                <w:rFonts w:ascii="仿宋" w:hAnsi="仿宋" w:eastAsia="仿宋" w:cs="宋体"/>
                <w:color w:val="000000"/>
                <w:kern w:val="0"/>
                <w:szCs w:val="21"/>
              </w:rPr>
              <w:t>综合得分</w:t>
            </w:r>
            <w:r>
              <w:rPr>
                <w:rFonts w:hint="eastAsia" w:ascii="仿宋" w:hAnsi="仿宋" w:eastAsia="仿宋" w:cs="宋体"/>
                <w:color w:val="000000"/>
                <w:kern w:val="0"/>
                <w:szCs w:val="21"/>
              </w:rPr>
              <w:t>=</w:t>
            </w:r>
            <w:r>
              <w:rPr>
                <w:rFonts w:ascii="仿宋" w:hAnsi="仿宋" w:eastAsia="仿宋" w:cs="宋体"/>
                <w:color w:val="000000"/>
                <w:kern w:val="0"/>
                <w:szCs w:val="21"/>
              </w:rPr>
              <w:t>（部门绩效管理工作评价结果</w:t>
            </w:r>
            <w:r>
              <w:rPr>
                <w:rFonts w:hint="eastAsia" w:ascii="仿宋" w:hAnsi="仿宋" w:eastAsia="仿宋" w:cs="宋体"/>
                <w:color w:val="000000"/>
                <w:kern w:val="0"/>
                <w:szCs w:val="21"/>
              </w:rPr>
              <w:t>/100</w:t>
            </w:r>
            <w:r>
              <w:rPr>
                <w:rFonts w:ascii="仿宋" w:hAnsi="仿宋" w:eastAsia="仿宋" w:cs="宋体"/>
                <w:color w:val="000000"/>
                <w:kern w:val="0"/>
                <w:szCs w:val="21"/>
              </w:rPr>
              <w:t>）</w:t>
            </w:r>
            <w:r>
              <w:rPr>
                <w:rFonts w:hint="eastAsia" w:ascii="仿宋" w:hAnsi="仿宋" w:eastAsia="仿宋" w:cs="宋体"/>
                <w:color w:val="000000"/>
                <w:kern w:val="0"/>
                <w:szCs w:val="21"/>
              </w:rPr>
              <w:t>*5</w:t>
            </w:r>
            <w:r>
              <w:rPr>
                <w:rFonts w:ascii="仿宋" w:hAnsi="仿宋" w:eastAsia="仿宋" w:cs="宋体"/>
                <w:color w:val="000000"/>
                <w:kern w:val="0"/>
                <w:szCs w:val="21"/>
              </w:rPr>
              <w:t>分</w:t>
            </w:r>
          </w:p>
          <w:p w14:paraId="288E56F1">
            <w:pPr>
              <w:widowControl/>
              <w:spacing w:line="68" w:lineRule="atLeast"/>
              <w:jc w:val="left"/>
              <w:rPr>
                <w:rFonts w:ascii="仿宋" w:hAnsi="仿宋" w:eastAsia="仿宋" w:cs="宋体"/>
                <w:kern w:val="0"/>
                <w:szCs w:val="21"/>
              </w:rPr>
            </w:pPr>
            <w:r>
              <w:rPr>
                <w:rFonts w:hint="eastAsia" w:ascii="宋体" w:hAnsi="宋体" w:eastAsia="仿宋" w:cs="宋体"/>
                <w:kern w:val="0"/>
                <w:szCs w:val="21"/>
              </w:rPr>
              <w:t> </w:t>
            </w:r>
          </w:p>
        </w:tc>
        <w:tc>
          <w:tcPr>
            <w:tcW w:w="794" w:type="dxa"/>
            <w:tcBorders>
              <w:top w:val="single" w:color="000000" w:sz="4" w:space="0"/>
              <w:left w:val="single" w:color="auto" w:sz="4" w:space="0"/>
              <w:bottom w:val="single" w:color="000000" w:sz="4" w:space="0"/>
              <w:right w:val="single" w:color="000000" w:sz="4" w:space="0"/>
            </w:tcBorders>
            <w:vAlign w:val="center"/>
          </w:tcPr>
          <w:p w14:paraId="178A0067">
            <w:pPr>
              <w:widowControl/>
              <w:spacing w:line="68" w:lineRule="atLeast"/>
              <w:jc w:val="center"/>
              <w:rPr>
                <w:rFonts w:ascii="宋体" w:hAnsi="宋体" w:eastAsia="宋体" w:cs="宋体"/>
                <w:kern w:val="0"/>
                <w:sz w:val="20"/>
                <w:szCs w:val="24"/>
              </w:rPr>
            </w:pPr>
            <w:r>
              <w:rPr>
                <w:rFonts w:hint="eastAsia" w:ascii="宋体" w:hAnsi="宋体" w:eastAsia="宋体" w:cs="宋体"/>
                <w:kern w:val="0"/>
                <w:sz w:val="20"/>
                <w:szCs w:val="24"/>
              </w:rPr>
              <w:t>4</w:t>
            </w:r>
          </w:p>
        </w:tc>
      </w:tr>
      <w:tr w14:paraId="7C4979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 w:hRule="atLeast"/>
          <w:jc w:val="center"/>
        </w:trPr>
        <w:tc>
          <w:tcPr>
            <w:tcW w:w="769" w:type="dxa"/>
            <w:vMerge w:val="continue"/>
            <w:tcBorders>
              <w:left w:val="single" w:color="000000" w:sz="4" w:space="0"/>
              <w:right w:val="single" w:color="000000" w:sz="4" w:space="0"/>
            </w:tcBorders>
            <w:vAlign w:val="center"/>
          </w:tcPr>
          <w:p w14:paraId="58DE1DA3">
            <w:pPr>
              <w:widowControl/>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14:paraId="5706CC83">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评价结果应用</w:t>
            </w:r>
          </w:p>
          <w:p w14:paraId="57DD5E70">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（2分）</w:t>
            </w:r>
          </w:p>
        </w:tc>
        <w:tc>
          <w:tcPr>
            <w:tcW w:w="709" w:type="dxa"/>
            <w:tcBorders>
              <w:top w:val="single" w:color="000000" w:sz="4" w:space="0"/>
              <w:left w:val="single" w:color="000000" w:sz="4" w:space="0"/>
              <w:bottom w:val="single" w:color="000000" w:sz="4" w:space="0"/>
              <w:right w:val="single" w:color="auto" w:sz="4" w:space="0"/>
            </w:tcBorders>
            <w:vAlign w:val="center"/>
          </w:tcPr>
          <w:p w14:paraId="326EADE3">
            <w:pPr>
              <w:widowControl/>
              <w:spacing w:line="68" w:lineRule="atLeast"/>
              <w:jc w:val="left"/>
              <w:rPr>
                <w:rFonts w:ascii="仿宋" w:hAnsi="仿宋" w:eastAsia="仿宋" w:cs="Arial"/>
                <w:kern w:val="0"/>
                <w:szCs w:val="21"/>
              </w:rPr>
            </w:pPr>
            <w:r>
              <w:rPr>
                <w:rFonts w:hint="eastAsia" w:ascii="仿宋" w:hAnsi="仿宋" w:eastAsia="仿宋" w:cs="Arial"/>
                <w:kern w:val="0"/>
                <w:szCs w:val="21"/>
              </w:rPr>
              <w:t>应用率（2分）</w:t>
            </w:r>
          </w:p>
        </w:tc>
        <w:tc>
          <w:tcPr>
            <w:tcW w:w="4536" w:type="dxa"/>
            <w:tcBorders>
              <w:top w:val="single" w:color="000000" w:sz="4" w:space="0"/>
              <w:left w:val="single" w:color="auto" w:sz="4" w:space="0"/>
              <w:bottom w:val="single" w:color="000000" w:sz="4" w:space="0"/>
              <w:right w:val="single" w:color="auto" w:sz="4" w:space="0"/>
            </w:tcBorders>
            <w:vAlign w:val="center"/>
          </w:tcPr>
          <w:p w14:paraId="7552E294">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部门应用绩效评价结果的项目数占绩效评价项目数的比重，用以反映和考核部门绩效评价结果的利用水平和程度。</w:t>
            </w:r>
          </w:p>
          <w:p w14:paraId="6D34BEBC">
            <w:pPr>
              <w:widowControl/>
              <w:spacing w:line="68" w:lineRule="atLeast"/>
              <w:jc w:val="left"/>
              <w:rPr>
                <w:rFonts w:ascii="仿宋" w:hAnsi="仿宋" w:eastAsia="仿宋" w:cs="Arial"/>
                <w:kern w:val="0"/>
                <w:szCs w:val="21"/>
              </w:rPr>
            </w:pPr>
            <w:r>
              <w:rPr>
                <w:rFonts w:hint="eastAsia" w:ascii="仿宋" w:hAnsi="仿宋" w:eastAsia="仿宋" w:cs="Arial"/>
                <w:kern w:val="0"/>
                <w:szCs w:val="21"/>
              </w:rPr>
              <w:t>应用率=应用绩效评价结果的项目数量/部门实施绩效评价项目数量×100%。</w:t>
            </w:r>
          </w:p>
          <w:p w14:paraId="502B4C3A">
            <w:pPr>
              <w:widowControl/>
              <w:spacing w:line="68" w:lineRule="atLeast"/>
              <w:jc w:val="left"/>
              <w:rPr>
                <w:rFonts w:ascii="仿宋" w:hAnsi="仿宋" w:eastAsia="仿宋" w:cs="Arial"/>
                <w:kern w:val="0"/>
                <w:szCs w:val="21"/>
              </w:rPr>
            </w:pPr>
            <w:r>
              <w:rPr>
                <w:rFonts w:hint="eastAsia" w:ascii="仿宋" w:hAnsi="仿宋" w:eastAsia="仿宋" w:cs="Arial"/>
                <w:kern w:val="0"/>
                <w:szCs w:val="21"/>
              </w:rPr>
              <w:t>应用绩效评价结果包括向财政部门报告绩效评价结果、向被评价单位反馈绩效评价结果、内部公开绩效评价结果和落实整改措施等方面，其中，落实整改措施包括调整预算结构、改革预算管理、整改发现问题、健全制度措施和实施绩效问责。</w:t>
            </w:r>
          </w:p>
        </w:tc>
        <w:tc>
          <w:tcPr>
            <w:tcW w:w="1899" w:type="dxa"/>
            <w:tcBorders>
              <w:top w:val="single" w:color="000000" w:sz="4" w:space="0"/>
              <w:left w:val="single" w:color="auto" w:sz="4" w:space="0"/>
              <w:bottom w:val="single" w:color="000000" w:sz="4" w:space="0"/>
              <w:right w:val="single" w:color="auto" w:sz="4" w:space="0"/>
            </w:tcBorders>
            <w:vAlign w:val="center"/>
          </w:tcPr>
          <w:p w14:paraId="3E820FB9">
            <w:pPr>
              <w:widowControl/>
              <w:spacing w:line="240" w:lineRule="exact"/>
              <w:jc w:val="left"/>
              <w:rPr>
                <w:rFonts w:ascii="仿宋" w:hAnsi="仿宋" w:eastAsia="仿宋" w:cs="Arial"/>
                <w:kern w:val="0"/>
                <w:szCs w:val="21"/>
              </w:rPr>
            </w:pPr>
            <w:r>
              <w:rPr>
                <w:rFonts w:hint="eastAsia" w:ascii="仿宋" w:hAnsi="仿宋" w:eastAsia="仿宋" w:cs="Arial"/>
                <w:kern w:val="0"/>
                <w:szCs w:val="21"/>
              </w:rPr>
              <w:t>目标值为100%；以2分为上限，采用完成比率法计分：得分=应用率×2，超出目标值不加分。</w:t>
            </w:r>
          </w:p>
        </w:tc>
        <w:tc>
          <w:tcPr>
            <w:tcW w:w="794" w:type="dxa"/>
            <w:tcBorders>
              <w:top w:val="single" w:color="000000" w:sz="4" w:space="0"/>
              <w:left w:val="single" w:color="auto" w:sz="4" w:space="0"/>
              <w:bottom w:val="single" w:color="000000" w:sz="4" w:space="0"/>
              <w:right w:val="single" w:color="000000" w:sz="4" w:space="0"/>
            </w:tcBorders>
            <w:vAlign w:val="center"/>
          </w:tcPr>
          <w:p w14:paraId="07AA4E87">
            <w:pPr>
              <w:widowControl/>
              <w:spacing w:line="68" w:lineRule="atLeast"/>
              <w:jc w:val="center"/>
              <w:rPr>
                <w:rFonts w:ascii="宋体" w:hAnsi="宋体" w:eastAsia="宋体" w:cs="宋体"/>
                <w:kern w:val="0"/>
                <w:sz w:val="20"/>
                <w:szCs w:val="24"/>
              </w:rPr>
            </w:pPr>
            <w:r>
              <w:rPr>
                <w:rFonts w:hint="eastAsia" w:ascii="宋体" w:hAnsi="宋体" w:eastAsia="宋体" w:cs="宋体"/>
                <w:kern w:val="0"/>
                <w:sz w:val="20"/>
                <w:szCs w:val="24"/>
              </w:rPr>
              <w:t>1</w:t>
            </w:r>
          </w:p>
        </w:tc>
      </w:tr>
      <w:tr w14:paraId="621FEC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84" w:hRule="atLeast"/>
          <w:jc w:val="center"/>
        </w:trPr>
        <w:tc>
          <w:tcPr>
            <w:tcW w:w="769" w:type="dxa"/>
            <w:vMerge w:val="continue"/>
            <w:tcBorders>
              <w:left w:val="single" w:color="000000" w:sz="4" w:space="0"/>
              <w:right w:val="single" w:color="000000" w:sz="4" w:space="0"/>
            </w:tcBorders>
            <w:vAlign w:val="center"/>
          </w:tcPr>
          <w:p w14:paraId="476731B7">
            <w:pPr>
              <w:widowControl/>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14:paraId="2CC335E3">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结果应用创新（1分）</w:t>
            </w:r>
          </w:p>
        </w:tc>
        <w:tc>
          <w:tcPr>
            <w:tcW w:w="709" w:type="dxa"/>
            <w:tcBorders>
              <w:top w:val="single" w:color="000000" w:sz="4" w:space="0"/>
              <w:left w:val="single" w:color="000000" w:sz="4" w:space="0"/>
              <w:bottom w:val="single" w:color="000000" w:sz="4" w:space="0"/>
              <w:right w:val="single" w:color="auto" w:sz="4" w:space="0"/>
            </w:tcBorders>
            <w:vAlign w:val="center"/>
          </w:tcPr>
          <w:p w14:paraId="74E66890">
            <w:pPr>
              <w:widowControl/>
              <w:spacing w:line="68" w:lineRule="atLeast"/>
              <w:jc w:val="left"/>
              <w:rPr>
                <w:rFonts w:ascii="仿宋" w:hAnsi="仿宋" w:eastAsia="仿宋" w:cs="Arial"/>
                <w:kern w:val="0"/>
                <w:szCs w:val="21"/>
              </w:rPr>
            </w:pPr>
            <w:r>
              <w:rPr>
                <w:rFonts w:hint="eastAsia" w:ascii="仿宋" w:hAnsi="仿宋" w:eastAsia="仿宋" w:cs="Arial"/>
                <w:kern w:val="0"/>
                <w:szCs w:val="21"/>
              </w:rPr>
              <w:t>结果应用创新（1分）</w:t>
            </w:r>
          </w:p>
        </w:tc>
        <w:tc>
          <w:tcPr>
            <w:tcW w:w="4536" w:type="dxa"/>
            <w:tcBorders>
              <w:top w:val="single" w:color="000000" w:sz="4" w:space="0"/>
              <w:left w:val="single" w:color="auto" w:sz="4" w:space="0"/>
              <w:bottom w:val="single" w:color="000000" w:sz="4" w:space="0"/>
              <w:right w:val="single" w:color="auto" w:sz="4" w:space="0"/>
            </w:tcBorders>
            <w:vAlign w:val="center"/>
          </w:tcPr>
          <w:p w14:paraId="119F8DF1">
            <w:pPr>
              <w:widowControl/>
              <w:spacing w:line="68" w:lineRule="atLeast"/>
              <w:jc w:val="left"/>
              <w:rPr>
                <w:rFonts w:ascii="仿宋" w:hAnsi="仿宋" w:eastAsia="仿宋" w:cs="Arial"/>
                <w:kern w:val="0"/>
                <w:szCs w:val="21"/>
              </w:rPr>
            </w:pPr>
            <w:r>
              <w:rPr>
                <w:rFonts w:hint="eastAsia" w:ascii="仿宋" w:hAnsi="仿宋" w:eastAsia="仿宋" w:cs="Arial"/>
                <w:kern w:val="0"/>
                <w:szCs w:val="21"/>
              </w:rPr>
              <w:t>部门将绩效结果主动对外公开、预算绩效管理工作开展情况向同级政府、人大等部门报告，用以反映和考核部门在结果应用方面的创新情况。</w:t>
            </w:r>
          </w:p>
          <w:p w14:paraId="370FA05A">
            <w:pPr>
              <w:widowControl/>
              <w:spacing w:line="68" w:lineRule="atLeast"/>
              <w:jc w:val="left"/>
              <w:rPr>
                <w:rFonts w:ascii="仿宋" w:hAnsi="仿宋" w:eastAsia="仿宋" w:cs="Arial"/>
                <w:kern w:val="0"/>
                <w:szCs w:val="21"/>
              </w:rPr>
            </w:pPr>
            <w:r>
              <w:rPr>
                <w:rFonts w:hint="eastAsia" w:ascii="仿宋" w:hAnsi="仿宋" w:eastAsia="仿宋" w:cs="Arial"/>
                <w:kern w:val="0"/>
                <w:szCs w:val="21"/>
              </w:rPr>
              <w:t>评价要点：</w:t>
            </w:r>
          </w:p>
          <w:p w14:paraId="7D0E884A">
            <w:pPr>
              <w:widowControl/>
              <w:spacing w:line="68" w:lineRule="atLeast"/>
              <w:jc w:val="left"/>
              <w:rPr>
                <w:rFonts w:ascii="仿宋" w:hAnsi="仿宋" w:eastAsia="仿宋" w:cs="Arial"/>
                <w:kern w:val="0"/>
                <w:szCs w:val="21"/>
              </w:rPr>
            </w:pPr>
            <w:r>
              <w:rPr>
                <w:rFonts w:hint="eastAsia" w:ascii="仿宋" w:hAnsi="仿宋" w:eastAsia="仿宋" w:cs="Arial"/>
                <w:kern w:val="0"/>
                <w:szCs w:val="21"/>
              </w:rPr>
              <w:t>1.部门是否按要求对社会公开绩效评价结果。</w:t>
            </w:r>
          </w:p>
          <w:p w14:paraId="00D7E6A1">
            <w:pPr>
              <w:widowControl/>
              <w:spacing w:line="68" w:lineRule="atLeast"/>
              <w:jc w:val="left"/>
              <w:rPr>
                <w:rFonts w:ascii="仿宋" w:hAnsi="仿宋" w:eastAsia="仿宋" w:cs="Arial"/>
                <w:kern w:val="0"/>
                <w:szCs w:val="21"/>
              </w:rPr>
            </w:pPr>
            <w:r>
              <w:rPr>
                <w:rFonts w:hint="eastAsia" w:ascii="仿宋" w:hAnsi="仿宋" w:eastAsia="仿宋" w:cs="Arial"/>
                <w:kern w:val="0"/>
                <w:szCs w:val="21"/>
              </w:rPr>
              <w:t>2.部门是否将预算绩效管理工作开展情况向同级政府、人大等部门报告。</w:t>
            </w:r>
          </w:p>
        </w:tc>
        <w:tc>
          <w:tcPr>
            <w:tcW w:w="1899" w:type="dxa"/>
            <w:tcBorders>
              <w:top w:val="single" w:color="000000" w:sz="4" w:space="0"/>
              <w:left w:val="single" w:color="auto" w:sz="4" w:space="0"/>
              <w:bottom w:val="single" w:color="000000" w:sz="4" w:space="0"/>
              <w:right w:val="single" w:color="auto" w:sz="4" w:space="0"/>
            </w:tcBorders>
            <w:vAlign w:val="center"/>
          </w:tcPr>
          <w:p w14:paraId="508F67AA">
            <w:pPr>
              <w:widowControl/>
              <w:spacing w:line="240" w:lineRule="exact"/>
              <w:jc w:val="left"/>
              <w:rPr>
                <w:rFonts w:ascii="仿宋" w:hAnsi="仿宋" w:eastAsia="仿宋" w:cs="Arial"/>
                <w:kern w:val="0"/>
                <w:szCs w:val="21"/>
              </w:rPr>
            </w:pPr>
            <w:r>
              <w:rPr>
                <w:rFonts w:ascii="仿宋" w:hAnsi="仿宋" w:eastAsia="仿宋" w:cs="Arial"/>
                <w:kern w:val="0"/>
                <w:szCs w:val="21"/>
              </w:rPr>
              <w:t>全部符合（</w:t>
            </w:r>
            <w:r>
              <w:rPr>
                <w:rFonts w:hint="eastAsia" w:ascii="仿宋" w:hAnsi="仿宋" w:eastAsia="仿宋" w:cs="Arial"/>
                <w:kern w:val="0"/>
                <w:szCs w:val="21"/>
              </w:rPr>
              <w:t>1分</w:t>
            </w:r>
            <w:r>
              <w:rPr>
                <w:rFonts w:ascii="仿宋" w:hAnsi="仿宋" w:eastAsia="仿宋" w:cs="Arial"/>
                <w:kern w:val="0"/>
                <w:szCs w:val="21"/>
              </w:rPr>
              <w:t>）；</w:t>
            </w:r>
          </w:p>
          <w:p w14:paraId="60B1C761">
            <w:pPr>
              <w:widowControl/>
              <w:spacing w:line="240" w:lineRule="exact"/>
              <w:jc w:val="left"/>
              <w:rPr>
                <w:rFonts w:ascii="仿宋" w:hAnsi="仿宋" w:eastAsia="仿宋" w:cs="宋体"/>
                <w:kern w:val="0"/>
                <w:szCs w:val="21"/>
              </w:rPr>
            </w:pPr>
            <w:r>
              <w:rPr>
                <w:rFonts w:ascii="仿宋" w:hAnsi="仿宋" w:eastAsia="仿宋" w:cs="Arial"/>
                <w:kern w:val="0"/>
                <w:szCs w:val="21"/>
              </w:rPr>
              <w:t>符合其中两项（</w:t>
            </w:r>
            <w:r>
              <w:rPr>
                <w:rFonts w:hint="eastAsia" w:ascii="仿宋" w:hAnsi="仿宋" w:eastAsia="仿宋" w:cs="Arial"/>
                <w:kern w:val="0"/>
                <w:szCs w:val="21"/>
              </w:rPr>
              <w:t>0.5分</w:t>
            </w:r>
            <w:r>
              <w:rPr>
                <w:rFonts w:ascii="仿宋" w:hAnsi="仿宋" w:eastAsia="仿宋" w:cs="Arial"/>
                <w:kern w:val="0"/>
                <w:szCs w:val="21"/>
              </w:rPr>
              <w:t>）</w:t>
            </w:r>
          </w:p>
          <w:p w14:paraId="45E9EDFE">
            <w:pPr>
              <w:widowControl/>
              <w:spacing w:line="240" w:lineRule="exact"/>
              <w:jc w:val="left"/>
              <w:rPr>
                <w:rFonts w:ascii="仿宋" w:hAnsi="仿宋" w:eastAsia="仿宋" w:cs="Arial"/>
                <w:kern w:val="0"/>
                <w:szCs w:val="21"/>
              </w:rPr>
            </w:pPr>
            <w:r>
              <w:rPr>
                <w:rFonts w:ascii="仿宋" w:hAnsi="仿宋" w:eastAsia="仿宋" w:cs="Arial"/>
                <w:kern w:val="0"/>
                <w:szCs w:val="21"/>
              </w:rPr>
              <w:t>符合其中一项及以下（</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14:paraId="27D08DE3">
            <w:pPr>
              <w:widowControl/>
              <w:spacing w:line="68" w:lineRule="atLeast"/>
              <w:jc w:val="center"/>
              <w:rPr>
                <w:rFonts w:ascii="宋体" w:hAnsi="宋体" w:eastAsia="宋体" w:cs="宋体"/>
                <w:kern w:val="0"/>
                <w:sz w:val="20"/>
                <w:szCs w:val="24"/>
              </w:rPr>
            </w:pPr>
            <w:r>
              <w:rPr>
                <w:rFonts w:hint="eastAsia" w:ascii="宋体" w:hAnsi="宋体" w:eastAsia="宋体" w:cs="宋体"/>
                <w:kern w:val="0"/>
                <w:sz w:val="20"/>
                <w:szCs w:val="24"/>
              </w:rPr>
              <w:t>0.5</w:t>
            </w:r>
          </w:p>
        </w:tc>
      </w:tr>
      <w:tr w14:paraId="7BF9E9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4" w:hRule="atLeast"/>
          <w:jc w:val="center"/>
        </w:trPr>
        <w:tc>
          <w:tcPr>
            <w:tcW w:w="769" w:type="dxa"/>
            <w:vMerge w:val="continue"/>
            <w:tcBorders>
              <w:left w:val="single" w:color="000000" w:sz="4" w:space="0"/>
              <w:right w:val="single" w:color="000000" w:sz="4" w:space="0"/>
            </w:tcBorders>
            <w:vAlign w:val="center"/>
          </w:tcPr>
          <w:p w14:paraId="162B1044">
            <w:pPr>
              <w:widowControl/>
              <w:jc w:val="left"/>
              <w:rPr>
                <w:rFonts w:ascii="仿宋" w:hAnsi="仿宋" w:eastAsia="仿宋" w:cs="宋体"/>
                <w:kern w:val="0"/>
                <w:sz w:val="24"/>
                <w:szCs w:val="24"/>
              </w:rPr>
            </w:pPr>
          </w:p>
        </w:tc>
        <w:tc>
          <w:tcPr>
            <w:tcW w:w="1049" w:type="dxa"/>
            <w:tcBorders>
              <w:top w:val="single" w:color="auto" w:sz="4" w:space="0"/>
              <w:left w:val="single" w:color="000000" w:sz="4" w:space="0"/>
              <w:bottom w:val="single" w:color="auto" w:sz="4" w:space="0"/>
              <w:right w:val="single" w:color="000000" w:sz="4" w:space="0"/>
            </w:tcBorders>
            <w:vAlign w:val="center"/>
          </w:tcPr>
          <w:p w14:paraId="79195873">
            <w:pPr>
              <w:widowControl/>
              <w:spacing w:line="68" w:lineRule="atLeast"/>
              <w:jc w:val="left"/>
              <w:rPr>
                <w:rFonts w:ascii="仿宋" w:hAnsi="仿宋" w:eastAsia="仿宋" w:cs="宋体"/>
                <w:kern w:val="0"/>
                <w:sz w:val="24"/>
                <w:szCs w:val="24"/>
              </w:rPr>
            </w:pPr>
            <w:r>
              <w:rPr>
                <w:rFonts w:ascii="仿宋" w:hAnsi="仿宋" w:eastAsia="仿宋" w:cs="Arial"/>
                <w:kern w:val="0"/>
                <w:sz w:val="24"/>
                <w:szCs w:val="24"/>
              </w:rPr>
              <w:t>社会效益（</w:t>
            </w:r>
            <w:r>
              <w:rPr>
                <w:rFonts w:hint="eastAsia" w:ascii="仿宋" w:hAnsi="仿宋" w:eastAsia="仿宋" w:cs="Arial"/>
                <w:kern w:val="0"/>
                <w:sz w:val="24"/>
                <w:szCs w:val="24"/>
              </w:rPr>
              <w:t>5分</w:t>
            </w:r>
            <w:r>
              <w:rPr>
                <w:rFonts w:ascii="仿宋" w:hAnsi="仿宋" w:eastAsia="仿宋" w:cs="Arial"/>
                <w:kern w:val="0"/>
                <w:sz w:val="24"/>
                <w:szCs w:val="24"/>
              </w:rPr>
              <w:t>）</w:t>
            </w:r>
          </w:p>
        </w:tc>
        <w:tc>
          <w:tcPr>
            <w:tcW w:w="709" w:type="dxa"/>
            <w:tcBorders>
              <w:top w:val="single" w:color="000000" w:sz="4" w:space="0"/>
              <w:left w:val="single" w:color="000000" w:sz="4" w:space="0"/>
              <w:bottom w:val="single" w:color="000000" w:sz="4" w:space="0"/>
              <w:right w:val="single" w:color="auto" w:sz="4" w:space="0"/>
            </w:tcBorders>
            <w:vAlign w:val="center"/>
          </w:tcPr>
          <w:p w14:paraId="730B951B">
            <w:pPr>
              <w:widowControl/>
              <w:spacing w:line="68" w:lineRule="atLeast"/>
              <w:jc w:val="left"/>
              <w:rPr>
                <w:rFonts w:ascii="仿宋" w:hAnsi="仿宋" w:eastAsia="仿宋" w:cs="宋体"/>
                <w:kern w:val="0"/>
                <w:szCs w:val="21"/>
              </w:rPr>
            </w:pPr>
            <w:r>
              <w:rPr>
                <w:rFonts w:ascii="仿宋" w:hAnsi="仿宋" w:eastAsia="仿宋" w:cs="Arial"/>
                <w:kern w:val="0"/>
                <w:szCs w:val="21"/>
              </w:rPr>
              <w:t>社会公众满意度（</w:t>
            </w:r>
            <w:r>
              <w:rPr>
                <w:rFonts w:hint="eastAsia" w:ascii="仿宋" w:hAnsi="仿宋" w:eastAsia="仿宋" w:cs="Arial"/>
                <w:kern w:val="0"/>
                <w:szCs w:val="21"/>
              </w:rPr>
              <w:t>5分</w:t>
            </w:r>
            <w:r>
              <w:rPr>
                <w:rFonts w:ascii="仿宋" w:hAnsi="仿宋" w:eastAsia="仿宋" w:cs="Arial"/>
                <w:kern w:val="0"/>
                <w:szCs w:val="21"/>
              </w:rPr>
              <w:t>）</w:t>
            </w:r>
          </w:p>
        </w:tc>
        <w:tc>
          <w:tcPr>
            <w:tcW w:w="4536" w:type="dxa"/>
            <w:tcBorders>
              <w:top w:val="single" w:color="000000" w:sz="4" w:space="0"/>
              <w:left w:val="single" w:color="auto" w:sz="4" w:space="0"/>
              <w:bottom w:val="single" w:color="000000" w:sz="4" w:space="0"/>
              <w:right w:val="single" w:color="auto" w:sz="4" w:space="0"/>
            </w:tcBorders>
            <w:vAlign w:val="center"/>
          </w:tcPr>
          <w:p w14:paraId="49E2C5F6">
            <w:pPr>
              <w:widowControl/>
              <w:spacing w:line="68" w:lineRule="atLeast"/>
              <w:jc w:val="left"/>
              <w:rPr>
                <w:rFonts w:ascii="仿宋" w:hAnsi="仿宋" w:eastAsia="仿宋" w:cs="宋体"/>
                <w:kern w:val="0"/>
                <w:szCs w:val="21"/>
              </w:rPr>
            </w:pPr>
            <w:r>
              <w:rPr>
                <w:rFonts w:ascii="仿宋" w:hAnsi="仿宋" w:eastAsia="仿宋" w:cs="Arial"/>
                <w:kern w:val="0"/>
                <w:szCs w:val="21"/>
              </w:rPr>
              <w:t>通过问卷调查了解社会公众对部门履职效果、解决民众关心的热点问题、厉行节约等方面的满意程度，反映和评价部门支出所带来的社会效益。</w:t>
            </w:r>
          </w:p>
        </w:tc>
        <w:tc>
          <w:tcPr>
            <w:tcW w:w="1899" w:type="dxa"/>
            <w:tcBorders>
              <w:top w:val="single" w:color="000000" w:sz="4" w:space="0"/>
              <w:left w:val="single" w:color="auto" w:sz="4" w:space="0"/>
              <w:bottom w:val="single" w:color="000000" w:sz="4" w:space="0"/>
              <w:right w:val="single" w:color="auto" w:sz="4" w:space="0"/>
            </w:tcBorders>
            <w:vAlign w:val="center"/>
          </w:tcPr>
          <w:p w14:paraId="109DEE01">
            <w:pPr>
              <w:widowControl/>
              <w:spacing w:line="240" w:lineRule="exact"/>
              <w:jc w:val="left"/>
              <w:rPr>
                <w:rFonts w:ascii="仿宋" w:hAnsi="仿宋" w:eastAsia="仿宋" w:cs="宋体"/>
                <w:kern w:val="0"/>
                <w:szCs w:val="21"/>
              </w:rPr>
            </w:pPr>
            <w:r>
              <w:rPr>
                <w:rFonts w:ascii="仿宋" w:hAnsi="仿宋" w:eastAsia="仿宋" w:cs="Arial"/>
                <w:kern w:val="0"/>
                <w:szCs w:val="21"/>
              </w:rPr>
              <w:t>按照满意度调查的优秀、良好、合格、不合格给予该项指标打分：</w:t>
            </w:r>
          </w:p>
          <w:p w14:paraId="0720C532">
            <w:pPr>
              <w:widowControl/>
              <w:spacing w:line="68" w:lineRule="atLeast"/>
              <w:jc w:val="left"/>
              <w:rPr>
                <w:rFonts w:ascii="仿宋" w:hAnsi="仿宋" w:eastAsia="仿宋" w:cs="宋体"/>
                <w:kern w:val="0"/>
                <w:szCs w:val="21"/>
              </w:rPr>
            </w:pPr>
            <w:r>
              <w:rPr>
                <w:rFonts w:ascii="仿宋" w:hAnsi="仿宋" w:eastAsia="仿宋" w:cs="Arial"/>
                <w:kern w:val="0"/>
                <w:szCs w:val="21"/>
              </w:rPr>
              <w:t>优秀（</w:t>
            </w:r>
            <w:r>
              <w:rPr>
                <w:rFonts w:hint="eastAsia" w:ascii="仿宋" w:hAnsi="仿宋" w:eastAsia="仿宋" w:cs="Arial"/>
                <w:kern w:val="0"/>
                <w:szCs w:val="21"/>
              </w:rPr>
              <w:t>5分</w:t>
            </w:r>
            <w:r>
              <w:rPr>
                <w:rFonts w:ascii="仿宋" w:hAnsi="仿宋" w:eastAsia="仿宋" w:cs="Arial"/>
                <w:kern w:val="0"/>
                <w:szCs w:val="21"/>
              </w:rPr>
              <w:t>）；良好（</w:t>
            </w:r>
            <w:r>
              <w:rPr>
                <w:rFonts w:hint="eastAsia" w:ascii="仿宋" w:hAnsi="仿宋" w:eastAsia="仿宋" w:cs="Arial"/>
                <w:kern w:val="0"/>
                <w:szCs w:val="21"/>
              </w:rPr>
              <w:t>3分</w:t>
            </w:r>
            <w:r>
              <w:rPr>
                <w:rFonts w:ascii="仿宋" w:hAnsi="仿宋" w:eastAsia="仿宋" w:cs="Arial"/>
                <w:kern w:val="0"/>
                <w:szCs w:val="21"/>
              </w:rPr>
              <w:t>）；合格（</w:t>
            </w:r>
            <w:r>
              <w:rPr>
                <w:rFonts w:hint="eastAsia" w:ascii="仿宋" w:hAnsi="仿宋" w:eastAsia="仿宋" w:cs="Arial"/>
                <w:kern w:val="0"/>
                <w:szCs w:val="21"/>
              </w:rPr>
              <w:t>1分</w:t>
            </w:r>
            <w:r>
              <w:rPr>
                <w:rFonts w:ascii="仿宋" w:hAnsi="仿宋" w:eastAsia="仿宋" w:cs="Arial"/>
                <w:kern w:val="0"/>
                <w:szCs w:val="21"/>
              </w:rPr>
              <w:t>）；不合格（</w:t>
            </w:r>
            <w:r>
              <w:rPr>
                <w:rFonts w:hint="eastAsia" w:ascii="仿宋" w:hAnsi="仿宋" w:eastAsia="仿宋" w:cs="Arial"/>
                <w:kern w:val="0"/>
                <w:szCs w:val="21"/>
              </w:rPr>
              <w:t>0分</w:t>
            </w:r>
            <w:r>
              <w:rPr>
                <w:rFonts w:ascii="仿宋" w:hAnsi="仿宋" w:eastAsia="仿宋" w:cs="Arial"/>
                <w:kern w:val="0"/>
                <w:szCs w:val="21"/>
              </w:rPr>
              <w:t>）。</w:t>
            </w:r>
          </w:p>
        </w:tc>
        <w:tc>
          <w:tcPr>
            <w:tcW w:w="794" w:type="dxa"/>
            <w:tcBorders>
              <w:top w:val="single" w:color="000000" w:sz="4" w:space="0"/>
              <w:left w:val="single" w:color="auto" w:sz="4" w:space="0"/>
              <w:bottom w:val="single" w:color="000000" w:sz="4" w:space="0"/>
              <w:right w:val="single" w:color="000000" w:sz="4" w:space="0"/>
            </w:tcBorders>
            <w:vAlign w:val="center"/>
          </w:tcPr>
          <w:p w14:paraId="46046F3E">
            <w:pPr>
              <w:widowControl/>
              <w:spacing w:line="68" w:lineRule="atLeast"/>
              <w:jc w:val="center"/>
              <w:rPr>
                <w:rFonts w:ascii="宋体" w:hAnsi="宋体" w:eastAsia="宋体" w:cs="宋体"/>
                <w:kern w:val="0"/>
                <w:sz w:val="20"/>
                <w:szCs w:val="24"/>
              </w:rPr>
            </w:pPr>
            <w:r>
              <w:rPr>
                <w:rFonts w:hint="eastAsia" w:ascii="宋体" w:hAnsi="宋体" w:eastAsia="宋体" w:cs="宋体"/>
                <w:kern w:val="0"/>
                <w:sz w:val="20"/>
                <w:szCs w:val="24"/>
              </w:rPr>
              <w:t>5</w:t>
            </w:r>
          </w:p>
        </w:tc>
      </w:tr>
      <w:tr w14:paraId="1B2C44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4" w:hRule="atLeast"/>
          <w:jc w:val="center"/>
        </w:trPr>
        <w:tc>
          <w:tcPr>
            <w:tcW w:w="769" w:type="dxa"/>
            <w:tcBorders>
              <w:left w:val="single" w:color="000000" w:sz="4" w:space="0"/>
              <w:right w:val="single" w:color="000000" w:sz="4" w:space="0"/>
            </w:tcBorders>
            <w:vAlign w:val="center"/>
          </w:tcPr>
          <w:p w14:paraId="07C9A299">
            <w:pPr>
              <w:widowControl/>
              <w:jc w:val="left"/>
              <w:rPr>
                <w:rFonts w:ascii="仿宋" w:hAnsi="仿宋" w:eastAsia="仿宋" w:cs="宋体"/>
                <w:kern w:val="0"/>
                <w:sz w:val="24"/>
                <w:szCs w:val="24"/>
              </w:rPr>
            </w:pPr>
            <w:r>
              <w:rPr>
                <w:rFonts w:hint="eastAsia" w:ascii="仿宋" w:hAnsi="仿宋" w:eastAsia="仿宋" w:cs="宋体"/>
                <w:kern w:val="0"/>
                <w:sz w:val="24"/>
                <w:szCs w:val="24"/>
              </w:rPr>
              <w:t>小计</w:t>
            </w:r>
          </w:p>
        </w:tc>
        <w:tc>
          <w:tcPr>
            <w:tcW w:w="1049" w:type="dxa"/>
            <w:tcBorders>
              <w:top w:val="single" w:color="auto" w:sz="4" w:space="0"/>
              <w:left w:val="single" w:color="000000" w:sz="4" w:space="0"/>
              <w:bottom w:val="single" w:color="auto" w:sz="4" w:space="0"/>
              <w:right w:val="single" w:color="000000" w:sz="4" w:space="0"/>
            </w:tcBorders>
            <w:vAlign w:val="center"/>
          </w:tcPr>
          <w:p w14:paraId="460FC000">
            <w:pPr>
              <w:widowControl/>
              <w:spacing w:line="68" w:lineRule="atLeast"/>
              <w:jc w:val="left"/>
              <w:rPr>
                <w:rFonts w:ascii="仿宋" w:hAnsi="仿宋" w:eastAsia="仿宋" w:cs="Arial"/>
                <w:kern w:val="0"/>
                <w:sz w:val="24"/>
                <w:szCs w:val="24"/>
              </w:rPr>
            </w:pPr>
            <w:r>
              <w:rPr>
                <w:rFonts w:hint="eastAsia" w:ascii="仿宋" w:hAnsi="仿宋" w:eastAsia="仿宋" w:cs="Arial"/>
                <w:kern w:val="0"/>
                <w:sz w:val="24"/>
                <w:szCs w:val="24"/>
              </w:rPr>
              <w:t>100</w:t>
            </w:r>
          </w:p>
        </w:tc>
        <w:tc>
          <w:tcPr>
            <w:tcW w:w="709" w:type="dxa"/>
            <w:tcBorders>
              <w:top w:val="single" w:color="000000" w:sz="4" w:space="0"/>
              <w:left w:val="single" w:color="000000" w:sz="4" w:space="0"/>
              <w:bottom w:val="single" w:color="000000" w:sz="4" w:space="0"/>
              <w:right w:val="single" w:color="auto" w:sz="4" w:space="0"/>
            </w:tcBorders>
            <w:vAlign w:val="center"/>
          </w:tcPr>
          <w:p w14:paraId="117234AC">
            <w:pPr>
              <w:widowControl/>
              <w:spacing w:line="68" w:lineRule="atLeast"/>
              <w:jc w:val="left"/>
              <w:rPr>
                <w:rFonts w:ascii="仿宋" w:hAnsi="仿宋" w:eastAsia="仿宋" w:cs="Arial"/>
                <w:kern w:val="0"/>
                <w:szCs w:val="21"/>
              </w:rPr>
            </w:pPr>
          </w:p>
        </w:tc>
        <w:tc>
          <w:tcPr>
            <w:tcW w:w="4536" w:type="dxa"/>
            <w:tcBorders>
              <w:top w:val="single" w:color="000000" w:sz="4" w:space="0"/>
              <w:left w:val="single" w:color="auto" w:sz="4" w:space="0"/>
              <w:bottom w:val="single" w:color="000000" w:sz="4" w:space="0"/>
              <w:right w:val="single" w:color="auto" w:sz="4" w:space="0"/>
            </w:tcBorders>
            <w:vAlign w:val="center"/>
          </w:tcPr>
          <w:p w14:paraId="6B54074D">
            <w:pPr>
              <w:widowControl/>
              <w:spacing w:line="68" w:lineRule="atLeast"/>
              <w:jc w:val="left"/>
              <w:rPr>
                <w:rFonts w:ascii="仿宋" w:hAnsi="仿宋" w:eastAsia="仿宋" w:cs="Arial"/>
                <w:kern w:val="0"/>
                <w:szCs w:val="21"/>
              </w:rPr>
            </w:pPr>
          </w:p>
        </w:tc>
        <w:tc>
          <w:tcPr>
            <w:tcW w:w="1899" w:type="dxa"/>
            <w:tcBorders>
              <w:top w:val="single" w:color="000000" w:sz="4" w:space="0"/>
              <w:left w:val="single" w:color="auto" w:sz="4" w:space="0"/>
              <w:bottom w:val="single" w:color="000000" w:sz="4" w:space="0"/>
              <w:right w:val="single" w:color="auto" w:sz="4" w:space="0"/>
            </w:tcBorders>
            <w:vAlign w:val="center"/>
          </w:tcPr>
          <w:p w14:paraId="529661C1">
            <w:pPr>
              <w:widowControl/>
              <w:spacing w:line="68" w:lineRule="atLeast"/>
              <w:jc w:val="left"/>
              <w:rPr>
                <w:rFonts w:ascii="仿宋" w:hAnsi="仿宋" w:eastAsia="仿宋" w:cs="Arial"/>
                <w:kern w:val="0"/>
                <w:szCs w:val="21"/>
              </w:rPr>
            </w:pPr>
          </w:p>
        </w:tc>
        <w:tc>
          <w:tcPr>
            <w:tcW w:w="794" w:type="dxa"/>
            <w:tcBorders>
              <w:top w:val="single" w:color="000000" w:sz="4" w:space="0"/>
              <w:left w:val="single" w:color="auto" w:sz="4" w:space="0"/>
              <w:bottom w:val="single" w:color="000000" w:sz="4" w:space="0"/>
              <w:right w:val="single" w:color="000000" w:sz="4" w:space="0"/>
            </w:tcBorders>
            <w:vAlign w:val="center"/>
          </w:tcPr>
          <w:p w14:paraId="7203CC53">
            <w:pPr>
              <w:widowControl/>
              <w:spacing w:line="68" w:lineRule="atLeast"/>
              <w:jc w:val="center"/>
              <w:rPr>
                <w:rFonts w:ascii="宋体" w:hAnsi="宋体" w:eastAsia="宋体" w:cs="宋体"/>
                <w:kern w:val="0"/>
                <w:sz w:val="20"/>
                <w:szCs w:val="24"/>
              </w:rPr>
            </w:pPr>
            <w:r>
              <w:rPr>
                <w:rFonts w:hint="eastAsia" w:ascii="宋体" w:hAnsi="宋体" w:eastAsia="宋体" w:cs="宋体"/>
                <w:kern w:val="0"/>
                <w:sz w:val="20"/>
                <w:szCs w:val="24"/>
              </w:rPr>
              <w:t>92.10</w:t>
            </w:r>
          </w:p>
        </w:tc>
      </w:tr>
      <w:tr w14:paraId="0E927B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jc w:val="center"/>
        </w:trPr>
        <w:tc>
          <w:tcPr>
            <w:tcW w:w="769" w:type="dxa"/>
            <w:tcBorders>
              <w:left w:val="single" w:color="000000" w:sz="4" w:space="0"/>
              <w:bottom w:val="single" w:color="000000" w:sz="4" w:space="0"/>
              <w:right w:val="single" w:color="000000" w:sz="4" w:space="0"/>
            </w:tcBorders>
            <w:vAlign w:val="center"/>
          </w:tcPr>
          <w:p w14:paraId="669D83B7">
            <w:pPr>
              <w:widowControl/>
              <w:jc w:val="left"/>
              <w:rPr>
                <w:rFonts w:ascii="仿宋" w:hAnsi="仿宋" w:eastAsia="仿宋" w:cs="宋体"/>
                <w:kern w:val="0"/>
                <w:sz w:val="24"/>
                <w:szCs w:val="24"/>
              </w:rPr>
            </w:pPr>
            <w:r>
              <w:rPr>
                <w:rFonts w:hint="eastAsia" w:ascii="仿宋" w:hAnsi="仿宋" w:eastAsia="仿宋" w:cs="宋体"/>
                <w:kern w:val="0"/>
                <w:sz w:val="24"/>
                <w:szCs w:val="24"/>
              </w:rPr>
              <w:t>评价结果</w:t>
            </w:r>
          </w:p>
        </w:tc>
        <w:tc>
          <w:tcPr>
            <w:tcW w:w="1049" w:type="dxa"/>
            <w:tcBorders>
              <w:top w:val="single" w:color="auto" w:sz="4" w:space="0"/>
              <w:left w:val="single" w:color="000000" w:sz="4" w:space="0"/>
              <w:bottom w:val="single" w:color="auto" w:sz="4" w:space="0"/>
              <w:right w:val="single" w:color="000000" w:sz="4" w:space="0"/>
            </w:tcBorders>
            <w:vAlign w:val="center"/>
          </w:tcPr>
          <w:p w14:paraId="31F1EECE">
            <w:pPr>
              <w:widowControl/>
              <w:spacing w:line="68" w:lineRule="atLeast"/>
              <w:jc w:val="left"/>
              <w:rPr>
                <w:rFonts w:ascii="仿宋" w:hAnsi="仿宋" w:eastAsia="仿宋" w:cs="Arial"/>
                <w:kern w:val="0"/>
                <w:sz w:val="24"/>
                <w:szCs w:val="24"/>
              </w:rPr>
            </w:pPr>
          </w:p>
        </w:tc>
        <w:tc>
          <w:tcPr>
            <w:tcW w:w="709" w:type="dxa"/>
            <w:tcBorders>
              <w:top w:val="single" w:color="000000" w:sz="4" w:space="0"/>
              <w:left w:val="single" w:color="000000" w:sz="4" w:space="0"/>
              <w:bottom w:val="single" w:color="000000" w:sz="4" w:space="0"/>
              <w:right w:val="single" w:color="auto" w:sz="4" w:space="0"/>
            </w:tcBorders>
            <w:vAlign w:val="center"/>
          </w:tcPr>
          <w:p w14:paraId="7FD88C0F">
            <w:pPr>
              <w:widowControl/>
              <w:spacing w:line="68" w:lineRule="atLeast"/>
              <w:jc w:val="left"/>
              <w:rPr>
                <w:rFonts w:ascii="仿宋" w:hAnsi="仿宋" w:eastAsia="仿宋" w:cs="Arial"/>
                <w:kern w:val="0"/>
                <w:szCs w:val="21"/>
              </w:rPr>
            </w:pPr>
          </w:p>
        </w:tc>
        <w:tc>
          <w:tcPr>
            <w:tcW w:w="6435" w:type="dxa"/>
            <w:gridSpan w:val="2"/>
            <w:tcBorders>
              <w:top w:val="single" w:color="000000" w:sz="4" w:space="0"/>
              <w:left w:val="single" w:color="auto" w:sz="4" w:space="0"/>
              <w:bottom w:val="single" w:color="000000" w:sz="4" w:space="0"/>
              <w:right w:val="single" w:color="auto" w:sz="4" w:space="0"/>
            </w:tcBorders>
            <w:vAlign w:val="center"/>
          </w:tcPr>
          <w:p w14:paraId="19DA1DD9">
            <w:pPr>
              <w:widowControl/>
              <w:spacing w:line="68" w:lineRule="atLeast"/>
              <w:jc w:val="left"/>
              <w:rPr>
                <w:rFonts w:ascii="仿宋" w:hAnsi="仿宋" w:eastAsia="仿宋" w:cs="Arial"/>
                <w:kern w:val="0"/>
                <w:szCs w:val="21"/>
              </w:rPr>
            </w:pPr>
            <w:r>
              <w:rPr>
                <w:rFonts w:hint="eastAsia" w:ascii="仿宋" w:hAnsi="仿宋" w:eastAsia="仿宋" w:cs="Arial"/>
                <w:kern w:val="0"/>
                <w:szCs w:val="21"/>
              </w:rPr>
              <w:sym w:font="Wingdings 2" w:char="0052"/>
            </w:r>
            <w:r>
              <w:rPr>
                <w:rFonts w:hint="eastAsia" w:ascii="仿宋" w:hAnsi="仿宋" w:eastAsia="仿宋" w:cs="Arial"/>
                <w:kern w:val="0"/>
                <w:szCs w:val="21"/>
              </w:rPr>
              <w:t>优秀</w:t>
            </w:r>
            <w:r>
              <w:rPr>
                <w:rFonts w:ascii="仿宋" w:hAnsi="仿宋" w:eastAsia="仿宋" w:cs="Arial"/>
                <w:kern w:val="0"/>
                <w:szCs w:val="21"/>
              </w:rPr>
              <w:t xml:space="preserve">  90分≤得分≤100分； □良好  80分≤得分≤89分；</w:t>
            </w:r>
          </w:p>
          <w:p w14:paraId="5D691143">
            <w:pPr>
              <w:widowControl/>
              <w:spacing w:line="68" w:lineRule="atLeast"/>
              <w:jc w:val="left"/>
              <w:rPr>
                <w:rFonts w:ascii="仿宋" w:hAnsi="仿宋" w:eastAsia="仿宋" w:cs="Arial"/>
                <w:kern w:val="0"/>
                <w:szCs w:val="21"/>
              </w:rPr>
            </w:pPr>
            <w:r>
              <w:rPr>
                <w:rFonts w:ascii="仿宋" w:hAnsi="仿宋" w:eastAsia="仿宋" w:cs="Arial"/>
                <w:kern w:val="0"/>
                <w:szCs w:val="21"/>
              </w:rPr>
              <w:t xml:space="preserve">  □中  60分≤得分≤79分；  □较差  0≤得分≤59分</w:t>
            </w:r>
          </w:p>
        </w:tc>
        <w:tc>
          <w:tcPr>
            <w:tcW w:w="794" w:type="dxa"/>
            <w:tcBorders>
              <w:top w:val="single" w:color="000000" w:sz="4" w:space="0"/>
              <w:left w:val="single" w:color="auto" w:sz="4" w:space="0"/>
              <w:bottom w:val="single" w:color="000000" w:sz="4" w:space="0"/>
              <w:right w:val="single" w:color="000000" w:sz="4" w:space="0"/>
            </w:tcBorders>
            <w:vAlign w:val="center"/>
          </w:tcPr>
          <w:p w14:paraId="3A424DEB">
            <w:pPr>
              <w:widowControl/>
              <w:spacing w:line="68" w:lineRule="atLeast"/>
              <w:jc w:val="center"/>
              <w:rPr>
                <w:rFonts w:ascii="宋体" w:hAnsi="宋体" w:eastAsia="宋体" w:cs="宋体"/>
                <w:kern w:val="0"/>
                <w:sz w:val="20"/>
                <w:szCs w:val="24"/>
              </w:rPr>
            </w:pPr>
          </w:p>
        </w:tc>
      </w:tr>
    </w:tbl>
    <w:p w14:paraId="05EC38FE">
      <w:pPr>
        <w:rPr>
          <w:rFonts w:ascii="仿宋" w:hAnsi="仿宋" w:eastAsia="仿宋"/>
          <w:b/>
          <w:sz w:val="24"/>
          <w:szCs w:val="24"/>
        </w:rPr>
      </w:pPr>
    </w:p>
    <w:p w14:paraId="39AF5C18">
      <w:pPr>
        <w:ind w:left="210" w:leftChars="100"/>
        <w:rPr>
          <w:rFonts w:ascii="仿宋" w:hAnsi="仿宋" w:eastAsia="仿宋"/>
          <w:b/>
          <w:sz w:val="24"/>
          <w:szCs w:val="24"/>
        </w:rPr>
      </w:pPr>
    </w:p>
    <w:p w14:paraId="1B11FCD0">
      <w:pPr>
        <w:ind w:left="210" w:leftChars="100"/>
        <w:rPr>
          <w:rFonts w:ascii="仿宋" w:hAnsi="仿宋" w:eastAsia="仿宋"/>
          <w:b/>
          <w:sz w:val="24"/>
          <w:szCs w:val="24"/>
        </w:rPr>
      </w:pPr>
    </w:p>
    <w:p w14:paraId="31CE022C">
      <w:pPr>
        <w:ind w:left="210" w:leftChars="100"/>
        <w:rPr>
          <w:rFonts w:ascii="仿宋" w:hAnsi="仿宋" w:eastAsia="仿宋"/>
          <w:b/>
          <w:sz w:val="24"/>
          <w:szCs w:val="24"/>
        </w:rPr>
      </w:pPr>
    </w:p>
    <w:p w14:paraId="180EB724">
      <w:pPr>
        <w:ind w:left="210" w:leftChars="100"/>
        <w:rPr>
          <w:rFonts w:ascii="仿宋" w:hAnsi="仿宋" w:eastAsia="仿宋"/>
          <w:b/>
          <w:sz w:val="24"/>
          <w:szCs w:val="24"/>
        </w:rPr>
      </w:pPr>
    </w:p>
    <w:p w14:paraId="64621096">
      <w:pPr>
        <w:ind w:left="210" w:leftChars="100"/>
        <w:rPr>
          <w:rFonts w:ascii="仿宋" w:hAnsi="仿宋" w:eastAsia="仿宋"/>
          <w:b/>
          <w:sz w:val="24"/>
          <w:szCs w:val="24"/>
        </w:rPr>
      </w:pPr>
    </w:p>
    <w:p w14:paraId="4D557795">
      <w:pPr>
        <w:ind w:left="210" w:leftChars="100"/>
        <w:rPr>
          <w:rFonts w:ascii="仿宋" w:hAnsi="仿宋" w:eastAsia="仿宋"/>
          <w:b/>
          <w:sz w:val="24"/>
          <w:szCs w:val="24"/>
        </w:rPr>
      </w:pPr>
    </w:p>
    <w:p w14:paraId="0E86D57A">
      <w:pPr>
        <w:ind w:left="210" w:leftChars="100"/>
        <w:rPr>
          <w:rFonts w:ascii="仿宋" w:hAnsi="仿宋" w:eastAsia="仿宋"/>
          <w:b/>
          <w:sz w:val="24"/>
          <w:szCs w:val="24"/>
        </w:rPr>
      </w:pPr>
    </w:p>
    <w:p w14:paraId="24B797F1">
      <w:pPr>
        <w:ind w:left="210" w:leftChars="100"/>
        <w:rPr>
          <w:rFonts w:ascii="仿宋" w:hAnsi="仿宋" w:eastAsia="仿宋"/>
          <w:b/>
          <w:sz w:val="24"/>
          <w:szCs w:val="24"/>
        </w:rPr>
      </w:pPr>
    </w:p>
    <w:p w14:paraId="0CC3E0C1">
      <w:pPr>
        <w:ind w:left="210" w:leftChars="100"/>
        <w:rPr>
          <w:rFonts w:ascii="仿宋" w:hAnsi="仿宋" w:eastAsia="仿宋"/>
          <w:b/>
          <w:sz w:val="24"/>
          <w:szCs w:val="24"/>
        </w:rPr>
      </w:pPr>
    </w:p>
    <w:p w14:paraId="4BE02EE9">
      <w:pPr>
        <w:ind w:left="210" w:leftChars="100"/>
        <w:rPr>
          <w:rFonts w:ascii="仿宋" w:hAnsi="仿宋" w:eastAsia="仿宋"/>
          <w:b/>
          <w:sz w:val="24"/>
          <w:szCs w:val="24"/>
        </w:rPr>
      </w:pPr>
    </w:p>
    <w:p w14:paraId="25C26F93">
      <w:pPr>
        <w:ind w:left="210" w:leftChars="100"/>
        <w:rPr>
          <w:rFonts w:ascii="仿宋" w:hAnsi="仿宋" w:eastAsia="仿宋"/>
          <w:b/>
          <w:sz w:val="24"/>
          <w:szCs w:val="24"/>
        </w:rPr>
      </w:pPr>
    </w:p>
    <w:p w14:paraId="5A661697">
      <w:pPr>
        <w:ind w:left="210" w:leftChars="100"/>
        <w:rPr>
          <w:rFonts w:ascii="仿宋" w:hAnsi="仿宋" w:eastAsia="仿宋"/>
          <w:b/>
          <w:sz w:val="24"/>
          <w:szCs w:val="24"/>
        </w:rPr>
      </w:pPr>
    </w:p>
    <w:p w14:paraId="626FE27B">
      <w:pPr>
        <w:ind w:left="210" w:leftChars="100"/>
        <w:rPr>
          <w:rFonts w:ascii="仿宋" w:hAnsi="仿宋" w:eastAsia="仿宋"/>
          <w:b/>
          <w:sz w:val="24"/>
          <w:szCs w:val="24"/>
        </w:rPr>
      </w:pPr>
    </w:p>
    <w:p w14:paraId="66B8D88E">
      <w:pPr>
        <w:ind w:left="210" w:leftChars="100"/>
        <w:rPr>
          <w:rFonts w:ascii="仿宋" w:hAnsi="仿宋" w:eastAsia="仿宋"/>
          <w:b/>
          <w:sz w:val="24"/>
          <w:szCs w:val="24"/>
        </w:rPr>
      </w:pPr>
    </w:p>
    <w:p w14:paraId="376DDE5A">
      <w:pPr>
        <w:ind w:left="210" w:leftChars="100"/>
        <w:rPr>
          <w:rFonts w:ascii="仿宋" w:hAnsi="仿宋" w:eastAsia="仿宋"/>
          <w:b/>
          <w:sz w:val="24"/>
          <w:szCs w:val="24"/>
        </w:rPr>
      </w:pPr>
    </w:p>
    <w:p w14:paraId="06BB8034">
      <w:pPr>
        <w:ind w:left="210" w:leftChars="100"/>
        <w:rPr>
          <w:rFonts w:ascii="仿宋" w:hAnsi="仿宋" w:eastAsia="仿宋"/>
          <w:b/>
          <w:sz w:val="24"/>
          <w:szCs w:val="24"/>
        </w:rPr>
      </w:pPr>
    </w:p>
    <w:p w14:paraId="25C4810A">
      <w:pPr>
        <w:ind w:left="210" w:leftChars="100"/>
        <w:rPr>
          <w:rFonts w:ascii="仿宋" w:hAnsi="仿宋" w:eastAsia="仿宋"/>
          <w:b/>
          <w:sz w:val="24"/>
          <w:szCs w:val="24"/>
        </w:rPr>
      </w:pPr>
    </w:p>
    <w:p w14:paraId="798164AC">
      <w:pPr>
        <w:pStyle w:val="2"/>
        <w:rPr>
          <w:rFonts w:ascii="仿宋" w:hAnsi="仿宋" w:eastAsia="仿宋"/>
          <w:b/>
          <w:sz w:val="24"/>
          <w:szCs w:val="24"/>
        </w:rPr>
      </w:pPr>
    </w:p>
    <w:p w14:paraId="635A48DD">
      <w:pPr>
        <w:rPr>
          <w:rFonts w:ascii="仿宋" w:hAnsi="仿宋" w:eastAsia="仿宋"/>
          <w:b/>
          <w:sz w:val="24"/>
          <w:szCs w:val="24"/>
        </w:rPr>
      </w:pPr>
    </w:p>
    <w:p w14:paraId="09D490E0">
      <w:pPr>
        <w:pStyle w:val="2"/>
        <w:rPr>
          <w:rFonts w:ascii="仿宋" w:hAnsi="仿宋" w:eastAsia="仿宋"/>
          <w:b/>
          <w:sz w:val="24"/>
          <w:szCs w:val="24"/>
        </w:rPr>
      </w:pPr>
    </w:p>
    <w:p w14:paraId="035CB339">
      <w:pPr>
        <w:rPr>
          <w:rFonts w:ascii="仿宋" w:hAnsi="仿宋" w:eastAsia="仿宋"/>
          <w:b/>
          <w:sz w:val="24"/>
          <w:szCs w:val="24"/>
        </w:rPr>
      </w:pPr>
    </w:p>
    <w:p w14:paraId="3E86CC6E">
      <w:pPr>
        <w:pStyle w:val="2"/>
        <w:rPr>
          <w:rFonts w:ascii="仿宋" w:hAnsi="仿宋" w:eastAsia="仿宋"/>
          <w:b/>
          <w:sz w:val="24"/>
          <w:szCs w:val="24"/>
        </w:rPr>
      </w:pPr>
    </w:p>
    <w:p w14:paraId="24F5094F"/>
    <w:p w14:paraId="5A4ACA29">
      <w:pPr>
        <w:pStyle w:val="2"/>
        <w:ind w:left="0" w:leftChars="0"/>
      </w:pPr>
    </w:p>
    <w:p w14:paraId="5F0CEE82">
      <w:pPr>
        <w:rPr>
          <w:rFonts w:ascii="仿宋" w:hAnsi="仿宋" w:eastAsia="仿宋"/>
          <w:b/>
          <w:sz w:val="24"/>
          <w:szCs w:val="24"/>
        </w:rPr>
      </w:pPr>
    </w:p>
    <w:p w14:paraId="30E498AA">
      <w:pPr>
        <w:ind w:left="210" w:leftChars="100"/>
        <w:rPr>
          <w:rFonts w:ascii="仿宋" w:hAnsi="仿宋" w:eastAsia="仿宋"/>
          <w:b/>
          <w:sz w:val="24"/>
          <w:szCs w:val="24"/>
        </w:rPr>
      </w:pPr>
    </w:p>
    <w:p w14:paraId="61E8D691">
      <w:pPr>
        <w:ind w:left="210" w:leftChars="100"/>
        <w:rPr>
          <w:rFonts w:ascii="仿宋" w:hAnsi="仿宋" w:eastAsia="仿宋"/>
          <w:b/>
          <w:sz w:val="24"/>
          <w:szCs w:val="24"/>
        </w:rPr>
      </w:pPr>
    </w:p>
    <w:p w14:paraId="67A6EF8A">
      <w:pPr>
        <w:ind w:left="210" w:leftChars="100"/>
        <w:rPr>
          <w:rFonts w:ascii="仿宋" w:hAnsi="仿宋" w:eastAsia="仿宋"/>
          <w:b/>
          <w:sz w:val="24"/>
          <w:szCs w:val="24"/>
        </w:rPr>
      </w:pPr>
      <w:r>
        <w:rPr>
          <w:rFonts w:hint="eastAsia" w:ascii="仿宋" w:hAnsi="仿宋" w:eastAsia="仿宋"/>
          <w:b/>
          <w:sz w:val="24"/>
          <w:szCs w:val="24"/>
        </w:rPr>
        <w:t>附件3</w:t>
      </w:r>
    </w:p>
    <w:tbl>
      <w:tblPr>
        <w:tblStyle w:val="6"/>
        <w:tblW w:w="9924" w:type="dxa"/>
        <w:tblInd w:w="-459" w:type="dxa"/>
        <w:tblLayout w:type="fixed"/>
        <w:tblCellMar>
          <w:top w:w="0" w:type="dxa"/>
          <w:left w:w="108" w:type="dxa"/>
          <w:bottom w:w="0" w:type="dxa"/>
          <w:right w:w="108" w:type="dxa"/>
        </w:tblCellMar>
      </w:tblPr>
      <w:tblGrid>
        <w:gridCol w:w="1418"/>
        <w:gridCol w:w="1134"/>
        <w:gridCol w:w="283"/>
        <w:gridCol w:w="284"/>
        <w:gridCol w:w="737"/>
        <w:gridCol w:w="397"/>
        <w:gridCol w:w="850"/>
        <w:gridCol w:w="1276"/>
        <w:gridCol w:w="851"/>
        <w:gridCol w:w="172"/>
        <w:gridCol w:w="977"/>
        <w:gridCol w:w="1545"/>
      </w:tblGrid>
      <w:tr w14:paraId="0712AD9E">
        <w:tblPrEx>
          <w:tblCellMar>
            <w:top w:w="0" w:type="dxa"/>
            <w:left w:w="108" w:type="dxa"/>
            <w:bottom w:w="0" w:type="dxa"/>
            <w:right w:w="108" w:type="dxa"/>
          </w:tblCellMar>
        </w:tblPrEx>
        <w:trPr>
          <w:gridAfter w:val="1"/>
          <w:wAfter w:w="1545" w:type="dxa"/>
          <w:trHeight w:val="214" w:hRule="atLeast"/>
        </w:trPr>
        <w:tc>
          <w:tcPr>
            <w:tcW w:w="8379" w:type="dxa"/>
            <w:gridSpan w:val="11"/>
            <w:tcBorders>
              <w:top w:val="nil"/>
              <w:left w:val="nil"/>
              <w:bottom w:val="nil"/>
              <w:right w:val="nil"/>
            </w:tcBorders>
            <w:shd w:val="clear" w:color="auto" w:fill="auto"/>
            <w:noWrap/>
            <w:vAlign w:val="center"/>
          </w:tcPr>
          <w:p w14:paraId="6680D0E2">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 xml:space="preserve">              部门整体支出绩效自评表</w:t>
            </w:r>
          </w:p>
        </w:tc>
      </w:tr>
      <w:tr w14:paraId="7EA745A4">
        <w:tblPrEx>
          <w:tblCellMar>
            <w:top w:w="0" w:type="dxa"/>
            <w:left w:w="108" w:type="dxa"/>
            <w:bottom w:w="0" w:type="dxa"/>
            <w:right w:w="108" w:type="dxa"/>
          </w:tblCellMar>
        </w:tblPrEx>
        <w:trPr>
          <w:gridAfter w:val="1"/>
          <w:wAfter w:w="1545" w:type="dxa"/>
          <w:trHeight w:val="267" w:hRule="atLeast"/>
        </w:trPr>
        <w:tc>
          <w:tcPr>
            <w:tcW w:w="8379" w:type="dxa"/>
            <w:gridSpan w:val="11"/>
            <w:tcBorders>
              <w:top w:val="nil"/>
              <w:left w:val="nil"/>
              <w:bottom w:val="nil"/>
              <w:right w:val="nil"/>
            </w:tcBorders>
            <w:shd w:val="clear" w:color="auto" w:fill="auto"/>
            <w:noWrap/>
            <w:vAlign w:val="center"/>
          </w:tcPr>
          <w:p w14:paraId="040F30CE">
            <w:pPr>
              <w:widowControl/>
              <w:jc w:val="center"/>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 xml:space="preserve">            （  2023 年度）</w:t>
            </w:r>
          </w:p>
        </w:tc>
      </w:tr>
      <w:tr w14:paraId="6C6EE74B">
        <w:tblPrEx>
          <w:tblCellMar>
            <w:top w:w="0" w:type="dxa"/>
            <w:left w:w="108" w:type="dxa"/>
            <w:bottom w:w="0" w:type="dxa"/>
            <w:right w:w="108" w:type="dxa"/>
          </w:tblCellMar>
        </w:tblPrEx>
        <w:trPr>
          <w:trHeight w:val="619" w:hRule="atLeast"/>
        </w:trPr>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14:paraId="4C05215E">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项目支出名称</w:t>
            </w:r>
          </w:p>
        </w:tc>
        <w:tc>
          <w:tcPr>
            <w:tcW w:w="8506" w:type="dxa"/>
            <w:gridSpan w:val="11"/>
            <w:tcBorders>
              <w:top w:val="single" w:color="auto" w:sz="4" w:space="0"/>
              <w:left w:val="nil"/>
              <w:bottom w:val="single" w:color="auto" w:sz="4" w:space="0"/>
              <w:right w:val="single" w:color="auto" w:sz="4" w:space="0"/>
            </w:tcBorders>
            <w:shd w:val="clear" w:color="auto" w:fill="auto"/>
            <w:vAlign w:val="center"/>
          </w:tcPr>
          <w:p w14:paraId="1C165C20">
            <w:pPr>
              <w:adjustRightInd w:val="0"/>
              <w:snapToGrid w:val="0"/>
              <w:spacing w:line="560" w:lineRule="atLeast"/>
              <w:jc w:val="left"/>
            </w:pPr>
            <w:r>
              <w:rPr>
                <w:rFonts w:hint="eastAsia" w:asciiTheme="majorEastAsia" w:hAnsiTheme="majorEastAsia" w:eastAsiaTheme="majorEastAsia" w:cstheme="majorEastAsia"/>
                <w:bCs/>
                <w:kern w:val="0"/>
                <w:sz w:val="24"/>
                <w:szCs w:val="24"/>
              </w:rPr>
              <w:t>辰溪县审计局2023年部门整体支出绩效评价</w:t>
            </w:r>
          </w:p>
        </w:tc>
      </w:tr>
      <w:tr w14:paraId="78938E3C">
        <w:tblPrEx>
          <w:tblCellMar>
            <w:top w:w="0" w:type="dxa"/>
            <w:left w:w="108" w:type="dxa"/>
            <w:bottom w:w="0" w:type="dxa"/>
            <w:right w:w="108" w:type="dxa"/>
          </w:tblCellMar>
        </w:tblPrEx>
        <w:trPr>
          <w:trHeight w:val="415" w:hRule="atLeast"/>
        </w:trPr>
        <w:tc>
          <w:tcPr>
            <w:tcW w:w="1418" w:type="dxa"/>
            <w:tcBorders>
              <w:top w:val="nil"/>
              <w:left w:val="single" w:color="auto" w:sz="4" w:space="0"/>
              <w:bottom w:val="single" w:color="auto" w:sz="4" w:space="0"/>
              <w:right w:val="single" w:color="auto" w:sz="4" w:space="0"/>
            </w:tcBorders>
            <w:shd w:val="clear" w:color="auto" w:fill="auto"/>
            <w:vAlign w:val="center"/>
          </w:tcPr>
          <w:p w14:paraId="1657D426">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主管部门</w:t>
            </w:r>
          </w:p>
        </w:tc>
        <w:tc>
          <w:tcPr>
            <w:tcW w:w="3685" w:type="dxa"/>
            <w:gridSpan w:val="6"/>
            <w:tcBorders>
              <w:top w:val="single" w:color="auto" w:sz="4" w:space="0"/>
              <w:left w:val="nil"/>
              <w:bottom w:val="single" w:color="auto" w:sz="4" w:space="0"/>
              <w:right w:val="single" w:color="auto" w:sz="4" w:space="0"/>
            </w:tcBorders>
            <w:shd w:val="clear" w:color="auto" w:fill="auto"/>
            <w:vAlign w:val="center"/>
          </w:tcPr>
          <w:p w14:paraId="7C409486">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辰溪县人民政府　</w:t>
            </w:r>
          </w:p>
        </w:tc>
        <w:tc>
          <w:tcPr>
            <w:tcW w:w="1276" w:type="dxa"/>
            <w:tcBorders>
              <w:top w:val="nil"/>
              <w:left w:val="nil"/>
              <w:bottom w:val="single" w:color="auto" w:sz="4" w:space="0"/>
              <w:right w:val="single" w:color="auto" w:sz="4" w:space="0"/>
            </w:tcBorders>
            <w:shd w:val="clear" w:color="auto" w:fill="auto"/>
            <w:vAlign w:val="center"/>
          </w:tcPr>
          <w:p w14:paraId="5BAC1E0A">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实施单位</w:t>
            </w:r>
          </w:p>
        </w:tc>
        <w:tc>
          <w:tcPr>
            <w:tcW w:w="3545" w:type="dxa"/>
            <w:gridSpan w:val="4"/>
            <w:tcBorders>
              <w:top w:val="single" w:color="auto" w:sz="4" w:space="0"/>
              <w:left w:val="nil"/>
              <w:bottom w:val="single" w:color="auto" w:sz="4" w:space="0"/>
              <w:right w:val="single" w:color="auto" w:sz="4" w:space="0"/>
            </w:tcBorders>
            <w:shd w:val="clear" w:color="auto" w:fill="auto"/>
            <w:vAlign w:val="center"/>
          </w:tcPr>
          <w:p w14:paraId="4E7B6AE4">
            <w:pPr>
              <w:widowControl/>
              <w:jc w:val="left"/>
            </w:pPr>
            <w:r>
              <w:rPr>
                <w:rFonts w:hint="eastAsia" w:ascii="宋体" w:hAnsi="宋体" w:eastAsia="宋体" w:cs="宋体"/>
                <w:kern w:val="0"/>
                <w:sz w:val="20"/>
                <w:szCs w:val="20"/>
              </w:rPr>
              <w:t>辰溪县审计局</w:t>
            </w:r>
          </w:p>
        </w:tc>
      </w:tr>
      <w:tr w14:paraId="61C62768">
        <w:tblPrEx>
          <w:tblCellMar>
            <w:top w:w="0" w:type="dxa"/>
            <w:left w:w="108" w:type="dxa"/>
            <w:bottom w:w="0" w:type="dxa"/>
            <w:right w:w="108" w:type="dxa"/>
          </w:tblCellMar>
        </w:tblPrEx>
        <w:trPr>
          <w:trHeight w:val="803" w:hRule="atLeast"/>
        </w:trPr>
        <w:tc>
          <w:tcPr>
            <w:tcW w:w="1418" w:type="dxa"/>
            <w:tcBorders>
              <w:top w:val="nil"/>
              <w:left w:val="single" w:color="auto" w:sz="4" w:space="0"/>
              <w:right w:val="single" w:color="auto" w:sz="4" w:space="0"/>
            </w:tcBorders>
            <w:shd w:val="clear" w:color="auto" w:fill="auto"/>
            <w:vAlign w:val="center"/>
          </w:tcPr>
          <w:p w14:paraId="57C71016">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项目资金（万元）</w:t>
            </w:r>
          </w:p>
        </w:tc>
        <w:tc>
          <w:tcPr>
            <w:tcW w:w="141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6ED0EB0">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21</w:t>
            </w:r>
          </w:p>
        </w:tc>
        <w:tc>
          <w:tcPr>
            <w:tcW w:w="1021" w:type="dxa"/>
            <w:gridSpan w:val="2"/>
            <w:tcBorders>
              <w:top w:val="nil"/>
              <w:left w:val="single" w:color="auto" w:sz="4" w:space="0"/>
              <w:bottom w:val="single" w:color="auto" w:sz="4" w:space="0"/>
              <w:right w:val="single" w:color="auto" w:sz="4" w:space="0"/>
            </w:tcBorders>
            <w:shd w:val="clear" w:color="auto" w:fill="auto"/>
            <w:vAlign w:val="center"/>
          </w:tcPr>
          <w:p w14:paraId="3E9C06C2">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年初预算数</w:t>
            </w:r>
          </w:p>
        </w:tc>
        <w:tc>
          <w:tcPr>
            <w:tcW w:w="1247" w:type="dxa"/>
            <w:gridSpan w:val="2"/>
            <w:tcBorders>
              <w:top w:val="nil"/>
              <w:left w:val="single" w:color="auto" w:sz="4" w:space="0"/>
              <w:bottom w:val="single" w:color="auto" w:sz="4" w:space="0"/>
              <w:right w:val="single" w:color="auto" w:sz="4" w:space="0"/>
            </w:tcBorders>
            <w:shd w:val="clear" w:color="auto" w:fill="auto"/>
            <w:vAlign w:val="center"/>
          </w:tcPr>
          <w:p w14:paraId="0B3AD3B8">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全年预算数</w:t>
            </w:r>
          </w:p>
        </w:tc>
        <w:tc>
          <w:tcPr>
            <w:tcW w:w="1276" w:type="dxa"/>
            <w:tcBorders>
              <w:top w:val="nil"/>
              <w:left w:val="single" w:color="auto" w:sz="4" w:space="0"/>
              <w:bottom w:val="single" w:color="auto" w:sz="4" w:space="0"/>
              <w:right w:val="single" w:color="auto" w:sz="4" w:space="0"/>
            </w:tcBorders>
            <w:shd w:val="clear" w:color="auto" w:fill="auto"/>
            <w:vAlign w:val="center"/>
          </w:tcPr>
          <w:p w14:paraId="687ABA82">
            <w:pPr>
              <w:widowControl/>
              <w:jc w:val="center"/>
              <w:rPr>
                <w:rFonts w:ascii="宋体" w:hAnsi="宋体" w:eastAsia="宋体" w:cs="宋体"/>
                <w:kern w:val="0"/>
                <w:sz w:val="20"/>
                <w:szCs w:val="20"/>
              </w:rPr>
            </w:pPr>
            <w:r>
              <w:rPr>
                <w:rFonts w:hint="eastAsia" w:ascii="宋体" w:hAnsi="宋体" w:eastAsia="宋体" w:cs="宋体"/>
                <w:kern w:val="0"/>
                <w:sz w:val="20"/>
                <w:szCs w:val="20"/>
              </w:rPr>
              <w:t>全年执行数</w:t>
            </w:r>
          </w:p>
        </w:tc>
        <w:tc>
          <w:tcPr>
            <w:tcW w:w="851" w:type="dxa"/>
            <w:tcBorders>
              <w:top w:val="nil"/>
              <w:left w:val="single" w:color="auto" w:sz="4" w:space="0"/>
              <w:bottom w:val="single" w:color="auto" w:sz="4" w:space="0"/>
              <w:right w:val="single" w:color="auto" w:sz="4" w:space="0"/>
            </w:tcBorders>
            <w:shd w:val="clear" w:color="auto" w:fill="auto"/>
            <w:vAlign w:val="center"/>
          </w:tcPr>
          <w:p w14:paraId="411F35E7">
            <w:pPr>
              <w:widowControl/>
              <w:jc w:val="center"/>
              <w:rPr>
                <w:rFonts w:ascii="宋体" w:hAnsi="宋体" w:eastAsia="宋体" w:cs="宋体"/>
                <w:kern w:val="0"/>
                <w:sz w:val="20"/>
                <w:szCs w:val="20"/>
              </w:rPr>
            </w:pPr>
            <w:r>
              <w:rPr>
                <w:rFonts w:hint="eastAsia" w:ascii="宋体" w:hAnsi="宋体" w:eastAsia="宋体" w:cs="宋体"/>
                <w:kern w:val="0"/>
                <w:sz w:val="20"/>
                <w:szCs w:val="20"/>
              </w:rPr>
              <w:t>分值</w:t>
            </w:r>
          </w:p>
        </w:tc>
        <w:tc>
          <w:tcPr>
            <w:tcW w:w="1149" w:type="dxa"/>
            <w:gridSpan w:val="2"/>
            <w:tcBorders>
              <w:top w:val="nil"/>
              <w:left w:val="single" w:color="auto" w:sz="4" w:space="0"/>
              <w:bottom w:val="single" w:color="auto" w:sz="4" w:space="0"/>
              <w:right w:val="single" w:color="auto" w:sz="4" w:space="0"/>
            </w:tcBorders>
            <w:shd w:val="clear" w:color="auto" w:fill="auto"/>
            <w:vAlign w:val="center"/>
          </w:tcPr>
          <w:p w14:paraId="046C8F57">
            <w:pPr>
              <w:widowControl/>
              <w:jc w:val="center"/>
              <w:rPr>
                <w:rFonts w:ascii="宋体" w:hAnsi="宋体" w:eastAsia="宋体" w:cs="宋体"/>
                <w:kern w:val="0"/>
                <w:sz w:val="20"/>
                <w:szCs w:val="20"/>
              </w:rPr>
            </w:pPr>
            <w:r>
              <w:rPr>
                <w:rFonts w:hint="eastAsia" w:ascii="宋体" w:hAnsi="宋体" w:eastAsia="宋体" w:cs="宋体"/>
                <w:kern w:val="0"/>
                <w:sz w:val="20"/>
                <w:szCs w:val="20"/>
              </w:rPr>
              <w:t>执行率</w:t>
            </w:r>
          </w:p>
        </w:tc>
        <w:tc>
          <w:tcPr>
            <w:tcW w:w="1545" w:type="dxa"/>
            <w:tcBorders>
              <w:top w:val="nil"/>
              <w:left w:val="single" w:color="auto" w:sz="4" w:space="0"/>
              <w:bottom w:val="single" w:color="auto" w:sz="4" w:space="0"/>
              <w:right w:val="single" w:color="auto" w:sz="4" w:space="0"/>
            </w:tcBorders>
            <w:shd w:val="clear" w:color="auto" w:fill="auto"/>
            <w:vAlign w:val="center"/>
          </w:tcPr>
          <w:p w14:paraId="236113E7">
            <w:pPr>
              <w:widowControl/>
              <w:jc w:val="center"/>
              <w:rPr>
                <w:rFonts w:ascii="宋体" w:hAnsi="宋体" w:eastAsia="宋体" w:cs="宋体"/>
                <w:kern w:val="0"/>
                <w:sz w:val="20"/>
                <w:szCs w:val="20"/>
              </w:rPr>
            </w:pPr>
            <w:r>
              <w:rPr>
                <w:rFonts w:hint="eastAsia" w:ascii="宋体" w:hAnsi="宋体" w:eastAsia="宋体" w:cs="宋体"/>
                <w:kern w:val="0"/>
                <w:sz w:val="20"/>
                <w:szCs w:val="20"/>
              </w:rPr>
              <w:t>得分</w:t>
            </w:r>
          </w:p>
        </w:tc>
      </w:tr>
      <w:tr w14:paraId="7C73D995">
        <w:tblPrEx>
          <w:tblCellMar>
            <w:top w:w="0" w:type="dxa"/>
            <w:left w:w="108" w:type="dxa"/>
            <w:bottom w:w="0" w:type="dxa"/>
            <w:right w:w="108" w:type="dxa"/>
          </w:tblCellMar>
        </w:tblPrEx>
        <w:trPr>
          <w:trHeight w:val="168" w:hRule="atLeast"/>
        </w:trPr>
        <w:tc>
          <w:tcPr>
            <w:tcW w:w="1418" w:type="dxa"/>
            <w:tcBorders>
              <w:top w:val="nil"/>
              <w:left w:val="single" w:color="auto" w:sz="4" w:space="0"/>
              <w:bottom w:val="single" w:color="auto" w:sz="4" w:space="0"/>
              <w:right w:val="single" w:color="auto" w:sz="4" w:space="0"/>
            </w:tcBorders>
            <w:shd w:val="clear" w:color="auto" w:fill="auto"/>
            <w:vAlign w:val="center"/>
          </w:tcPr>
          <w:p w14:paraId="1A70F0F9">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17" w:type="dxa"/>
            <w:gridSpan w:val="2"/>
            <w:tcBorders>
              <w:top w:val="single" w:color="auto" w:sz="4" w:space="0"/>
              <w:left w:val="nil"/>
              <w:bottom w:val="single" w:color="auto" w:sz="4" w:space="0"/>
              <w:right w:val="single" w:color="auto" w:sz="4" w:space="0"/>
            </w:tcBorders>
            <w:shd w:val="clear" w:color="auto" w:fill="auto"/>
            <w:vAlign w:val="center"/>
          </w:tcPr>
          <w:p w14:paraId="751E45CB">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年度资金总额　</w:t>
            </w:r>
          </w:p>
        </w:tc>
        <w:tc>
          <w:tcPr>
            <w:tcW w:w="1021" w:type="dxa"/>
            <w:gridSpan w:val="2"/>
            <w:tcBorders>
              <w:top w:val="nil"/>
              <w:left w:val="nil"/>
              <w:bottom w:val="single" w:color="auto" w:sz="4" w:space="0"/>
              <w:right w:val="single" w:color="auto" w:sz="4" w:space="0"/>
            </w:tcBorders>
            <w:shd w:val="clear" w:color="auto" w:fill="auto"/>
            <w:vAlign w:val="center"/>
          </w:tcPr>
          <w:p w14:paraId="7F325B56">
            <w:pPr>
              <w:widowControl/>
              <w:jc w:val="center"/>
              <w:rPr>
                <w:rFonts w:ascii="宋体" w:hAnsi="宋体" w:eastAsia="宋体" w:cs="宋体"/>
                <w:kern w:val="0"/>
                <w:szCs w:val="21"/>
              </w:rPr>
            </w:pPr>
            <w:r>
              <w:rPr>
                <w:rFonts w:hint="eastAsia" w:ascii="宋体" w:hAnsi="宋体" w:eastAsia="宋体" w:cs="宋体"/>
                <w:szCs w:val="21"/>
                <w:shd w:val="clear" w:color="auto" w:fill="FFFFFF"/>
              </w:rPr>
              <w:t>784.33</w:t>
            </w:r>
          </w:p>
        </w:tc>
        <w:tc>
          <w:tcPr>
            <w:tcW w:w="1247" w:type="dxa"/>
            <w:gridSpan w:val="2"/>
            <w:tcBorders>
              <w:top w:val="nil"/>
              <w:left w:val="nil"/>
              <w:bottom w:val="single" w:color="auto" w:sz="4" w:space="0"/>
              <w:right w:val="single" w:color="auto" w:sz="4" w:space="0"/>
            </w:tcBorders>
            <w:shd w:val="clear" w:color="auto" w:fill="auto"/>
            <w:vAlign w:val="center"/>
          </w:tcPr>
          <w:p w14:paraId="0F31C9FA">
            <w:pPr>
              <w:widowControl/>
              <w:jc w:val="center"/>
              <w:rPr>
                <w:rFonts w:ascii="宋体" w:hAnsi="宋体" w:eastAsia="宋体" w:cs="宋体"/>
                <w:kern w:val="0"/>
                <w:szCs w:val="21"/>
              </w:rPr>
            </w:pPr>
            <w:r>
              <w:rPr>
                <w:rFonts w:hint="eastAsia" w:ascii="新宋体" w:hAnsi="新宋体" w:eastAsia="新宋体" w:cs="新宋体"/>
                <w:szCs w:val="21"/>
              </w:rPr>
              <w:t>784.33</w:t>
            </w:r>
          </w:p>
        </w:tc>
        <w:tc>
          <w:tcPr>
            <w:tcW w:w="1276" w:type="dxa"/>
            <w:tcBorders>
              <w:top w:val="nil"/>
              <w:left w:val="nil"/>
              <w:bottom w:val="single" w:color="auto" w:sz="4" w:space="0"/>
              <w:right w:val="single" w:color="auto" w:sz="4" w:space="0"/>
            </w:tcBorders>
            <w:shd w:val="clear" w:color="auto" w:fill="auto"/>
            <w:vAlign w:val="center"/>
          </w:tcPr>
          <w:p w14:paraId="50F3AA28">
            <w:pPr>
              <w:widowControl/>
              <w:jc w:val="center"/>
              <w:rPr>
                <w:rFonts w:ascii="宋体" w:hAnsi="宋体" w:eastAsia="宋体" w:cs="宋体"/>
                <w:kern w:val="0"/>
                <w:sz w:val="20"/>
                <w:szCs w:val="20"/>
              </w:rPr>
            </w:pPr>
            <w:r>
              <w:rPr>
                <w:rFonts w:hint="eastAsia" w:ascii="新宋体" w:hAnsi="新宋体" w:eastAsia="新宋体" w:cs="新宋体"/>
                <w:szCs w:val="21"/>
              </w:rPr>
              <w:t>784.33</w:t>
            </w:r>
          </w:p>
        </w:tc>
        <w:tc>
          <w:tcPr>
            <w:tcW w:w="851" w:type="dxa"/>
            <w:tcBorders>
              <w:top w:val="nil"/>
              <w:left w:val="nil"/>
              <w:bottom w:val="single" w:color="auto" w:sz="4" w:space="0"/>
              <w:right w:val="single" w:color="auto" w:sz="4" w:space="0"/>
            </w:tcBorders>
            <w:shd w:val="clear" w:color="auto" w:fill="auto"/>
            <w:vAlign w:val="center"/>
          </w:tcPr>
          <w:p w14:paraId="006A8A11">
            <w:pPr>
              <w:widowControl/>
              <w:jc w:val="center"/>
              <w:rPr>
                <w:rFonts w:ascii="宋体" w:hAnsi="宋体" w:eastAsia="宋体" w:cs="宋体"/>
                <w:kern w:val="0"/>
                <w:sz w:val="20"/>
                <w:szCs w:val="20"/>
              </w:rPr>
            </w:pPr>
            <w:r>
              <w:rPr>
                <w:rFonts w:hint="eastAsia" w:ascii="宋体" w:hAnsi="宋体" w:eastAsia="宋体" w:cs="宋体"/>
                <w:kern w:val="0"/>
                <w:sz w:val="20"/>
                <w:szCs w:val="20"/>
              </w:rPr>
              <w:t>10</w:t>
            </w:r>
          </w:p>
        </w:tc>
        <w:tc>
          <w:tcPr>
            <w:tcW w:w="1149" w:type="dxa"/>
            <w:gridSpan w:val="2"/>
            <w:tcBorders>
              <w:top w:val="nil"/>
              <w:left w:val="nil"/>
              <w:bottom w:val="single" w:color="auto" w:sz="4" w:space="0"/>
              <w:right w:val="single" w:color="auto" w:sz="4" w:space="0"/>
            </w:tcBorders>
            <w:shd w:val="clear" w:color="auto" w:fill="auto"/>
            <w:vAlign w:val="center"/>
          </w:tcPr>
          <w:p w14:paraId="16689578">
            <w:pPr>
              <w:widowControl/>
              <w:jc w:val="center"/>
              <w:rPr>
                <w:rFonts w:ascii="宋体" w:hAnsi="宋体" w:eastAsia="宋体" w:cs="宋体"/>
                <w:kern w:val="0"/>
                <w:sz w:val="20"/>
                <w:szCs w:val="20"/>
              </w:rPr>
            </w:pPr>
            <w:r>
              <w:rPr>
                <w:rFonts w:hint="eastAsia" w:ascii="宋体" w:hAnsi="宋体" w:eastAsia="宋体" w:cs="宋体"/>
                <w:kern w:val="0"/>
                <w:sz w:val="20"/>
                <w:szCs w:val="20"/>
              </w:rPr>
              <w:t>100%</w:t>
            </w:r>
          </w:p>
        </w:tc>
        <w:tc>
          <w:tcPr>
            <w:tcW w:w="1545" w:type="dxa"/>
            <w:tcBorders>
              <w:top w:val="nil"/>
              <w:left w:val="nil"/>
              <w:bottom w:val="single" w:color="auto" w:sz="4" w:space="0"/>
              <w:right w:val="single" w:color="auto" w:sz="4" w:space="0"/>
            </w:tcBorders>
            <w:shd w:val="clear" w:color="auto" w:fill="auto"/>
            <w:vAlign w:val="center"/>
          </w:tcPr>
          <w:p w14:paraId="455FAC18">
            <w:pPr>
              <w:widowControl/>
              <w:jc w:val="center"/>
              <w:rPr>
                <w:rFonts w:ascii="宋体" w:hAnsi="宋体" w:eastAsia="宋体" w:cs="宋体"/>
                <w:kern w:val="0"/>
                <w:sz w:val="20"/>
                <w:szCs w:val="20"/>
              </w:rPr>
            </w:pPr>
            <w:r>
              <w:rPr>
                <w:rFonts w:hint="eastAsia" w:ascii="宋体" w:hAnsi="宋体" w:eastAsia="宋体" w:cs="宋体"/>
                <w:kern w:val="0"/>
                <w:sz w:val="20"/>
                <w:szCs w:val="20"/>
              </w:rPr>
              <w:t>10</w:t>
            </w:r>
          </w:p>
        </w:tc>
      </w:tr>
      <w:tr w14:paraId="469E0DEB">
        <w:tblPrEx>
          <w:tblCellMar>
            <w:top w:w="0" w:type="dxa"/>
            <w:left w:w="108" w:type="dxa"/>
            <w:bottom w:w="0" w:type="dxa"/>
            <w:right w:w="108" w:type="dxa"/>
          </w:tblCellMar>
        </w:tblPrEx>
        <w:trPr>
          <w:trHeight w:val="168" w:hRule="atLeast"/>
        </w:trPr>
        <w:tc>
          <w:tcPr>
            <w:tcW w:w="1418" w:type="dxa"/>
            <w:tcBorders>
              <w:top w:val="nil"/>
              <w:left w:val="single" w:color="auto" w:sz="4" w:space="0"/>
              <w:bottom w:val="single" w:color="auto" w:sz="4" w:space="0"/>
              <w:right w:val="single" w:color="auto" w:sz="4" w:space="0"/>
            </w:tcBorders>
            <w:shd w:val="clear" w:color="auto" w:fill="auto"/>
            <w:vAlign w:val="center"/>
          </w:tcPr>
          <w:p w14:paraId="14C575D8">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17" w:type="dxa"/>
            <w:gridSpan w:val="2"/>
            <w:tcBorders>
              <w:top w:val="single" w:color="auto" w:sz="4" w:space="0"/>
              <w:left w:val="nil"/>
              <w:bottom w:val="single" w:color="auto" w:sz="4" w:space="0"/>
              <w:right w:val="single" w:color="auto" w:sz="4" w:space="0"/>
            </w:tcBorders>
            <w:shd w:val="clear" w:color="auto" w:fill="auto"/>
            <w:vAlign w:val="center"/>
          </w:tcPr>
          <w:p w14:paraId="227A484E">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其中：当年财政拨款　</w:t>
            </w:r>
          </w:p>
        </w:tc>
        <w:tc>
          <w:tcPr>
            <w:tcW w:w="1021" w:type="dxa"/>
            <w:gridSpan w:val="2"/>
            <w:tcBorders>
              <w:top w:val="nil"/>
              <w:left w:val="nil"/>
              <w:bottom w:val="single" w:color="auto" w:sz="4" w:space="0"/>
              <w:right w:val="single" w:color="auto" w:sz="4" w:space="0"/>
            </w:tcBorders>
            <w:shd w:val="clear" w:color="auto" w:fill="auto"/>
            <w:vAlign w:val="center"/>
          </w:tcPr>
          <w:p w14:paraId="0E503F56">
            <w:pPr>
              <w:widowControl/>
              <w:jc w:val="center"/>
              <w:rPr>
                <w:rFonts w:ascii="宋体" w:hAnsi="宋体" w:eastAsia="宋体" w:cs="宋体"/>
                <w:kern w:val="0"/>
                <w:sz w:val="20"/>
                <w:szCs w:val="20"/>
              </w:rPr>
            </w:pPr>
            <w:r>
              <w:rPr>
                <w:rFonts w:hint="eastAsia" w:ascii="宋体" w:hAnsi="宋体" w:eastAsia="宋体" w:cs="宋体"/>
                <w:kern w:val="0"/>
                <w:sz w:val="20"/>
                <w:szCs w:val="20"/>
              </w:rPr>
              <w:t>784.33</w:t>
            </w:r>
          </w:p>
        </w:tc>
        <w:tc>
          <w:tcPr>
            <w:tcW w:w="1247" w:type="dxa"/>
            <w:gridSpan w:val="2"/>
            <w:tcBorders>
              <w:top w:val="nil"/>
              <w:left w:val="nil"/>
              <w:bottom w:val="single" w:color="auto" w:sz="4" w:space="0"/>
              <w:right w:val="single" w:color="auto" w:sz="4" w:space="0"/>
            </w:tcBorders>
            <w:shd w:val="clear" w:color="auto" w:fill="auto"/>
            <w:vAlign w:val="center"/>
          </w:tcPr>
          <w:p w14:paraId="584990BE">
            <w:pPr>
              <w:widowControl/>
              <w:jc w:val="center"/>
              <w:rPr>
                <w:rFonts w:ascii="宋体" w:hAnsi="宋体" w:eastAsia="宋体" w:cs="宋体"/>
                <w:kern w:val="0"/>
                <w:sz w:val="20"/>
                <w:szCs w:val="20"/>
              </w:rPr>
            </w:pPr>
            <w:r>
              <w:rPr>
                <w:rFonts w:hint="eastAsia" w:ascii="宋体" w:hAnsi="宋体" w:eastAsia="宋体" w:cs="宋体"/>
                <w:kern w:val="0"/>
                <w:sz w:val="20"/>
                <w:szCs w:val="20"/>
              </w:rPr>
              <w:t>784.33</w:t>
            </w:r>
          </w:p>
        </w:tc>
        <w:tc>
          <w:tcPr>
            <w:tcW w:w="1276" w:type="dxa"/>
            <w:tcBorders>
              <w:top w:val="nil"/>
              <w:left w:val="nil"/>
              <w:bottom w:val="single" w:color="auto" w:sz="4" w:space="0"/>
              <w:right w:val="single" w:color="auto" w:sz="4" w:space="0"/>
            </w:tcBorders>
            <w:shd w:val="clear" w:color="auto" w:fill="auto"/>
            <w:vAlign w:val="center"/>
          </w:tcPr>
          <w:p w14:paraId="0ACC139D">
            <w:pPr>
              <w:widowControl/>
              <w:jc w:val="center"/>
              <w:rPr>
                <w:rFonts w:ascii="宋体" w:hAnsi="宋体" w:eastAsia="宋体" w:cs="宋体"/>
                <w:kern w:val="0"/>
                <w:sz w:val="20"/>
                <w:szCs w:val="20"/>
              </w:rPr>
            </w:pPr>
            <w:r>
              <w:rPr>
                <w:rFonts w:hint="eastAsia" w:ascii="新宋体" w:hAnsi="新宋体" w:eastAsia="新宋体" w:cs="新宋体"/>
                <w:szCs w:val="21"/>
              </w:rPr>
              <w:t>784.33</w:t>
            </w:r>
          </w:p>
        </w:tc>
        <w:tc>
          <w:tcPr>
            <w:tcW w:w="851" w:type="dxa"/>
            <w:tcBorders>
              <w:top w:val="nil"/>
              <w:left w:val="nil"/>
              <w:bottom w:val="single" w:color="auto" w:sz="4" w:space="0"/>
              <w:right w:val="single" w:color="auto" w:sz="4" w:space="0"/>
            </w:tcBorders>
            <w:shd w:val="clear" w:color="auto" w:fill="auto"/>
            <w:vAlign w:val="center"/>
          </w:tcPr>
          <w:p w14:paraId="22DDE9F1">
            <w:pPr>
              <w:widowControl/>
              <w:jc w:val="center"/>
              <w:rPr>
                <w:rFonts w:ascii="宋体" w:hAnsi="宋体" w:eastAsia="宋体" w:cs="宋体"/>
                <w:kern w:val="0"/>
                <w:sz w:val="20"/>
                <w:szCs w:val="20"/>
              </w:rPr>
            </w:pPr>
            <w:r>
              <w:rPr>
                <w:rFonts w:hint="eastAsia" w:ascii="宋体" w:hAnsi="宋体" w:eastAsia="宋体" w:cs="宋体"/>
                <w:kern w:val="0"/>
                <w:sz w:val="20"/>
                <w:szCs w:val="20"/>
              </w:rPr>
              <w:t>10</w:t>
            </w:r>
          </w:p>
        </w:tc>
        <w:tc>
          <w:tcPr>
            <w:tcW w:w="1149" w:type="dxa"/>
            <w:gridSpan w:val="2"/>
            <w:tcBorders>
              <w:top w:val="nil"/>
              <w:left w:val="nil"/>
              <w:bottom w:val="single" w:color="auto" w:sz="4" w:space="0"/>
              <w:right w:val="single" w:color="auto" w:sz="4" w:space="0"/>
            </w:tcBorders>
            <w:shd w:val="clear" w:color="auto" w:fill="auto"/>
            <w:vAlign w:val="center"/>
          </w:tcPr>
          <w:p w14:paraId="4639DB77">
            <w:pPr>
              <w:widowControl/>
              <w:jc w:val="center"/>
              <w:rPr>
                <w:rFonts w:ascii="宋体" w:hAnsi="宋体" w:eastAsia="宋体" w:cs="宋体"/>
                <w:kern w:val="0"/>
                <w:sz w:val="20"/>
                <w:szCs w:val="20"/>
              </w:rPr>
            </w:pPr>
            <w:r>
              <w:rPr>
                <w:rFonts w:hint="eastAsia" w:ascii="宋体" w:hAnsi="宋体" w:eastAsia="宋体" w:cs="宋体"/>
                <w:kern w:val="0"/>
                <w:sz w:val="20"/>
                <w:szCs w:val="20"/>
              </w:rPr>
              <w:t>100%</w:t>
            </w:r>
          </w:p>
        </w:tc>
        <w:tc>
          <w:tcPr>
            <w:tcW w:w="1545" w:type="dxa"/>
            <w:tcBorders>
              <w:top w:val="nil"/>
              <w:left w:val="nil"/>
              <w:bottom w:val="single" w:color="auto" w:sz="4" w:space="0"/>
              <w:right w:val="single" w:color="auto" w:sz="4" w:space="0"/>
            </w:tcBorders>
            <w:shd w:val="clear" w:color="auto" w:fill="auto"/>
            <w:vAlign w:val="center"/>
          </w:tcPr>
          <w:p w14:paraId="106C4A60">
            <w:pPr>
              <w:widowControl/>
              <w:jc w:val="center"/>
              <w:rPr>
                <w:rFonts w:ascii="宋体" w:hAnsi="宋体" w:eastAsia="宋体" w:cs="宋体"/>
                <w:kern w:val="0"/>
                <w:sz w:val="20"/>
                <w:szCs w:val="20"/>
              </w:rPr>
            </w:pPr>
            <w:r>
              <w:rPr>
                <w:rFonts w:hint="eastAsia" w:ascii="宋体" w:hAnsi="宋体" w:eastAsia="宋体" w:cs="宋体"/>
                <w:kern w:val="0"/>
                <w:sz w:val="20"/>
                <w:szCs w:val="20"/>
              </w:rPr>
              <w:t>10</w:t>
            </w:r>
          </w:p>
        </w:tc>
      </w:tr>
      <w:tr w14:paraId="2DDE1845">
        <w:tblPrEx>
          <w:tblCellMar>
            <w:top w:w="0" w:type="dxa"/>
            <w:left w:w="108" w:type="dxa"/>
            <w:bottom w:w="0" w:type="dxa"/>
            <w:right w:w="108" w:type="dxa"/>
          </w:tblCellMar>
        </w:tblPrEx>
        <w:trPr>
          <w:trHeight w:val="168" w:hRule="atLeast"/>
        </w:trPr>
        <w:tc>
          <w:tcPr>
            <w:tcW w:w="1418" w:type="dxa"/>
            <w:tcBorders>
              <w:top w:val="nil"/>
              <w:left w:val="single" w:color="auto" w:sz="4" w:space="0"/>
              <w:bottom w:val="single" w:color="auto" w:sz="4" w:space="0"/>
              <w:right w:val="single" w:color="auto" w:sz="4" w:space="0"/>
            </w:tcBorders>
            <w:shd w:val="clear" w:color="auto" w:fill="auto"/>
            <w:vAlign w:val="center"/>
          </w:tcPr>
          <w:p w14:paraId="5A20F29A">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17" w:type="dxa"/>
            <w:gridSpan w:val="2"/>
            <w:tcBorders>
              <w:top w:val="single" w:color="auto" w:sz="4" w:space="0"/>
              <w:left w:val="nil"/>
              <w:bottom w:val="single" w:color="auto" w:sz="4" w:space="0"/>
              <w:right w:val="single" w:color="auto" w:sz="4" w:space="0"/>
            </w:tcBorders>
            <w:shd w:val="clear" w:color="auto" w:fill="auto"/>
            <w:vAlign w:val="center"/>
          </w:tcPr>
          <w:p w14:paraId="5CE94C30">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上年结转资金　</w:t>
            </w:r>
          </w:p>
        </w:tc>
        <w:tc>
          <w:tcPr>
            <w:tcW w:w="1021" w:type="dxa"/>
            <w:gridSpan w:val="2"/>
            <w:tcBorders>
              <w:top w:val="nil"/>
              <w:left w:val="nil"/>
              <w:bottom w:val="single" w:color="auto" w:sz="4" w:space="0"/>
              <w:right w:val="single" w:color="auto" w:sz="4" w:space="0"/>
            </w:tcBorders>
            <w:shd w:val="clear" w:color="auto" w:fill="auto"/>
            <w:vAlign w:val="center"/>
          </w:tcPr>
          <w:p w14:paraId="117A6156">
            <w:pPr>
              <w:widowControl/>
              <w:jc w:val="center"/>
              <w:rPr>
                <w:rFonts w:ascii="宋体" w:hAnsi="宋体" w:eastAsia="宋体" w:cs="宋体"/>
                <w:color w:val="FF0000"/>
                <w:kern w:val="0"/>
                <w:sz w:val="20"/>
                <w:szCs w:val="20"/>
              </w:rPr>
            </w:pPr>
          </w:p>
        </w:tc>
        <w:tc>
          <w:tcPr>
            <w:tcW w:w="1247" w:type="dxa"/>
            <w:gridSpan w:val="2"/>
            <w:tcBorders>
              <w:top w:val="nil"/>
              <w:left w:val="nil"/>
              <w:bottom w:val="single" w:color="auto" w:sz="4" w:space="0"/>
              <w:right w:val="single" w:color="auto" w:sz="4" w:space="0"/>
            </w:tcBorders>
            <w:shd w:val="clear" w:color="auto" w:fill="auto"/>
            <w:vAlign w:val="center"/>
          </w:tcPr>
          <w:p w14:paraId="369B2268">
            <w:pPr>
              <w:widowControl/>
              <w:jc w:val="center"/>
              <w:rPr>
                <w:rFonts w:ascii="宋体" w:hAnsi="宋体" w:eastAsia="宋体" w:cs="宋体"/>
                <w:color w:val="FF0000"/>
                <w:kern w:val="0"/>
                <w:sz w:val="20"/>
                <w:szCs w:val="20"/>
              </w:rPr>
            </w:pPr>
          </w:p>
        </w:tc>
        <w:tc>
          <w:tcPr>
            <w:tcW w:w="1276" w:type="dxa"/>
            <w:tcBorders>
              <w:top w:val="nil"/>
              <w:left w:val="nil"/>
              <w:bottom w:val="single" w:color="auto" w:sz="4" w:space="0"/>
              <w:right w:val="single" w:color="auto" w:sz="4" w:space="0"/>
            </w:tcBorders>
            <w:shd w:val="clear" w:color="auto" w:fill="auto"/>
            <w:vAlign w:val="center"/>
          </w:tcPr>
          <w:p w14:paraId="7359A326">
            <w:pPr>
              <w:widowControl/>
              <w:jc w:val="center"/>
              <w:rPr>
                <w:rFonts w:ascii="宋体" w:hAnsi="宋体" w:eastAsia="宋体" w:cs="宋体"/>
                <w:color w:val="FF0000"/>
                <w:kern w:val="0"/>
                <w:sz w:val="20"/>
                <w:szCs w:val="20"/>
              </w:rPr>
            </w:pPr>
          </w:p>
        </w:tc>
        <w:tc>
          <w:tcPr>
            <w:tcW w:w="851" w:type="dxa"/>
            <w:tcBorders>
              <w:top w:val="nil"/>
              <w:left w:val="nil"/>
              <w:bottom w:val="single" w:color="auto" w:sz="4" w:space="0"/>
              <w:right w:val="single" w:color="auto" w:sz="4" w:space="0"/>
            </w:tcBorders>
            <w:shd w:val="clear" w:color="auto" w:fill="auto"/>
            <w:vAlign w:val="center"/>
          </w:tcPr>
          <w:p w14:paraId="7E959DC6">
            <w:pPr>
              <w:widowControl/>
              <w:jc w:val="center"/>
              <w:rPr>
                <w:rFonts w:ascii="宋体" w:hAnsi="宋体" w:eastAsia="宋体" w:cs="宋体"/>
                <w:color w:val="FF0000"/>
                <w:kern w:val="0"/>
                <w:sz w:val="20"/>
                <w:szCs w:val="20"/>
              </w:rPr>
            </w:pPr>
          </w:p>
        </w:tc>
        <w:tc>
          <w:tcPr>
            <w:tcW w:w="1149" w:type="dxa"/>
            <w:gridSpan w:val="2"/>
            <w:tcBorders>
              <w:top w:val="nil"/>
              <w:left w:val="nil"/>
              <w:bottom w:val="single" w:color="auto" w:sz="4" w:space="0"/>
              <w:right w:val="single" w:color="auto" w:sz="4" w:space="0"/>
            </w:tcBorders>
            <w:shd w:val="clear" w:color="auto" w:fill="auto"/>
            <w:vAlign w:val="center"/>
          </w:tcPr>
          <w:p w14:paraId="782FFB13">
            <w:pPr>
              <w:widowControl/>
              <w:jc w:val="center"/>
              <w:rPr>
                <w:rFonts w:ascii="宋体" w:hAnsi="宋体" w:eastAsia="宋体" w:cs="宋体"/>
                <w:color w:val="FF0000"/>
                <w:kern w:val="0"/>
                <w:sz w:val="20"/>
                <w:szCs w:val="20"/>
              </w:rPr>
            </w:pPr>
          </w:p>
        </w:tc>
        <w:tc>
          <w:tcPr>
            <w:tcW w:w="1545" w:type="dxa"/>
            <w:tcBorders>
              <w:top w:val="nil"/>
              <w:left w:val="nil"/>
              <w:bottom w:val="single" w:color="auto" w:sz="4" w:space="0"/>
              <w:right w:val="single" w:color="auto" w:sz="4" w:space="0"/>
            </w:tcBorders>
            <w:shd w:val="clear" w:color="auto" w:fill="auto"/>
            <w:vAlign w:val="center"/>
          </w:tcPr>
          <w:p w14:paraId="52E7A604">
            <w:pPr>
              <w:widowControl/>
              <w:jc w:val="center"/>
              <w:rPr>
                <w:rFonts w:ascii="宋体" w:hAnsi="宋体" w:eastAsia="宋体" w:cs="宋体"/>
                <w:color w:val="FF0000"/>
                <w:kern w:val="0"/>
                <w:sz w:val="20"/>
                <w:szCs w:val="20"/>
              </w:rPr>
            </w:pPr>
          </w:p>
        </w:tc>
      </w:tr>
      <w:tr w14:paraId="1430F6B8">
        <w:tblPrEx>
          <w:tblCellMar>
            <w:top w:w="0" w:type="dxa"/>
            <w:left w:w="108" w:type="dxa"/>
            <w:bottom w:w="0" w:type="dxa"/>
            <w:right w:w="108" w:type="dxa"/>
          </w:tblCellMar>
        </w:tblPrEx>
        <w:trPr>
          <w:trHeight w:val="168" w:hRule="atLeast"/>
        </w:trPr>
        <w:tc>
          <w:tcPr>
            <w:tcW w:w="1418" w:type="dxa"/>
            <w:tcBorders>
              <w:top w:val="nil"/>
              <w:left w:val="single" w:color="auto" w:sz="4" w:space="0"/>
              <w:bottom w:val="single" w:color="auto" w:sz="4" w:space="0"/>
              <w:right w:val="single" w:color="auto" w:sz="4" w:space="0"/>
            </w:tcBorders>
            <w:shd w:val="clear" w:color="auto" w:fill="auto"/>
            <w:vAlign w:val="center"/>
          </w:tcPr>
          <w:p w14:paraId="68C09684">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417" w:type="dxa"/>
            <w:gridSpan w:val="2"/>
            <w:tcBorders>
              <w:top w:val="single" w:color="auto" w:sz="4" w:space="0"/>
              <w:left w:val="nil"/>
              <w:bottom w:val="single" w:color="auto" w:sz="4" w:space="0"/>
              <w:right w:val="single" w:color="auto" w:sz="4" w:space="0"/>
            </w:tcBorders>
            <w:shd w:val="clear" w:color="auto" w:fill="auto"/>
            <w:vAlign w:val="center"/>
          </w:tcPr>
          <w:p w14:paraId="26A3DAB6">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其他资金</w:t>
            </w:r>
          </w:p>
        </w:tc>
        <w:tc>
          <w:tcPr>
            <w:tcW w:w="1021" w:type="dxa"/>
            <w:gridSpan w:val="2"/>
            <w:tcBorders>
              <w:top w:val="nil"/>
              <w:left w:val="nil"/>
              <w:bottom w:val="single" w:color="auto" w:sz="4" w:space="0"/>
              <w:right w:val="single" w:color="auto" w:sz="4" w:space="0"/>
            </w:tcBorders>
            <w:shd w:val="clear" w:color="auto" w:fill="auto"/>
            <w:vAlign w:val="center"/>
          </w:tcPr>
          <w:p w14:paraId="3F3129C8">
            <w:pPr>
              <w:widowControl/>
              <w:jc w:val="center"/>
              <w:rPr>
                <w:rFonts w:ascii="宋体" w:hAnsi="宋体" w:eastAsia="宋体" w:cs="宋体"/>
                <w:color w:val="FF0000"/>
                <w:kern w:val="0"/>
                <w:sz w:val="20"/>
                <w:szCs w:val="20"/>
              </w:rPr>
            </w:pPr>
          </w:p>
        </w:tc>
        <w:tc>
          <w:tcPr>
            <w:tcW w:w="1247" w:type="dxa"/>
            <w:gridSpan w:val="2"/>
            <w:tcBorders>
              <w:top w:val="nil"/>
              <w:left w:val="nil"/>
              <w:bottom w:val="single" w:color="auto" w:sz="4" w:space="0"/>
              <w:right w:val="single" w:color="auto" w:sz="4" w:space="0"/>
            </w:tcBorders>
            <w:shd w:val="clear" w:color="auto" w:fill="auto"/>
            <w:vAlign w:val="center"/>
          </w:tcPr>
          <w:p w14:paraId="209D26CA">
            <w:pPr>
              <w:widowControl/>
              <w:jc w:val="center"/>
              <w:rPr>
                <w:rFonts w:ascii="宋体" w:hAnsi="宋体" w:eastAsia="宋体" w:cs="宋体"/>
                <w:color w:val="FF0000"/>
                <w:kern w:val="0"/>
                <w:sz w:val="20"/>
                <w:szCs w:val="20"/>
              </w:rPr>
            </w:pPr>
          </w:p>
        </w:tc>
        <w:tc>
          <w:tcPr>
            <w:tcW w:w="1276" w:type="dxa"/>
            <w:tcBorders>
              <w:top w:val="nil"/>
              <w:left w:val="nil"/>
              <w:bottom w:val="single" w:color="auto" w:sz="4" w:space="0"/>
              <w:right w:val="single" w:color="auto" w:sz="4" w:space="0"/>
            </w:tcBorders>
            <w:shd w:val="clear" w:color="auto" w:fill="auto"/>
            <w:vAlign w:val="center"/>
          </w:tcPr>
          <w:p w14:paraId="4D6CEC0F">
            <w:pPr>
              <w:widowControl/>
              <w:jc w:val="center"/>
              <w:rPr>
                <w:rFonts w:ascii="宋体" w:hAnsi="宋体" w:eastAsia="宋体" w:cs="宋体"/>
                <w:color w:val="FF0000"/>
                <w:kern w:val="0"/>
                <w:sz w:val="20"/>
                <w:szCs w:val="20"/>
              </w:rPr>
            </w:pPr>
          </w:p>
        </w:tc>
        <w:tc>
          <w:tcPr>
            <w:tcW w:w="851" w:type="dxa"/>
            <w:tcBorders>
              <w:top w:val="nil"/>
              <w:left w:val="nil"/>
              <w:bottom w:val="single" w:color="auto" w:sz="4" w:space="0"/>
              <w:right w:val="single" w:color="auto" w:sz="4" w:space="0"/>
            </w:tcBorders>
            <w:shd w:val="clear" w:color="auto" w:fill="auto"/>
            <w:vAlign w:val="center"/>
          </w:tcPr>
          <w:p w14:paraId="339733BD">
            <w:pPr>
              <w:widowControl/>
              <w:jc w:val="center"/>
              <w:rPr>
                <w:rFonts w:ascii="宋体" w:hAnsi="宋体" w:eastAsia="宋体" w:cs="宋体"/>
                <w:color w:val="FF0000"/>
                <w:kern w:val="0"/>
                <w:sz w:val="20"/>
                <w:szCs w:val="20"/>
              </w:rPr>
            </w:pPr>
          </w:p>
        </w:tc>
        <w:tc>
          <w:tcPr>
            <w:tcW w:w="1149" w:type="dxa"/>
            <w:gridSpan w:val="2"/>
            <w:tcBorders>
              <w:top w:val="nil"/>
              <w:left w:val="nil"/>
              <w:bottom w:val="single" w:color="auto" w:sz="4" w:space="0"/>
              <w:right w:val="single" w:color="auto" w:sz="4" w:space="0"/>
            </w:tcBorders>
            <w:shd w:val="clear" w:color="auto" w:fill="auto"/>
            <w:vAlign w:val="center"/>
          </w:tcPr>
          <w:p w14:paraId="68870973">
            <w:pPr>
              <w:widowControl/>
              <w:jc w:val="center"/>
              <w:rPr>
                <w:rFonts w:ascii="宋体" w:hAnsi="宋体" w:eastAsia="宋体" w:cs="宋体"/>
                <w:color w:val="000000"/>
                <w:kern w:val="0"/>
                <w:sz w:val="20"/>
                <w:szCs w:val="20"/>
              </w:rPr>
            </w:pPr>
          </w:p>
        </w:tc>
        <w:tc>
          <w:tcPr>
            <w:tcW w:w="1545" w:type="dxa"/>
            <w:tcBorders>
              <w:top w:val="nil"/>
              <w:left w:val="nil"/>
              <w:bottom w:val="single" w:color="auto" w:sz="4" w:space="0"/>
              <w:right w:val="single" w:color="auto" w:sz="4" w:space="0"/>
            </w:tcBorders>
            <w:shd w:val="clear" w:color="auto" w:fill="auto"/>
            <w:vAlign w:val="center"/>
          </w:tcPr>
          <w:p w14:paraId="18A9B5B9">
            <w:pPr>
              <w:widowControl/>
              <w:jc w:val="center"/>
              <w:rPr>
                <w:rFonts w:ascii="宋体" w:hAnsi="宋体" w:eastAsia="宋体" w:cs="宋体"/>
                <w:color w:val="000000"/>
                <w:kern w:val="0"/>
                <w:sz w:val="20"/>
                <w:szCs w:val="20"/>
              </w:rPr>
            </w:pPr>
          </w:p>
        </w:tc>
      </w:tr>
      <w:tr w14:paraId="5BD3B553">
        <w:tblPrEx>
          <w:tblCellMar>
            <w:top w:w="0" w:type="dxa"/>
            <w:left w:w="108" w:type="dxa"/>
            <w:bottom w:w="0" w:type="dxa"/>
            <w:right w:w="108" w:type="dxa"/>
          </w:tblCellMar>
        </w:tblPrEx>
        <w:trPr>
          <w:trHeight w:val="475" w:hRule="atLeast"/>
        </w:trPr>
        <w:tc>
          <w:tcPr>
            <w:tcW w:w="1418" w:type="dxa"/>
            <w:vMerge w:val="restart"/>
            <w:tcBorders>
              <w:top w:val="nil"/>
              <w:left w:val="single" w:color="auto" w:sz="4" w:space="0"/>
              <w:right w:val="single" w:color="auto" w:sz="4" w:space="0"/>
            </w:tcBorders>
            <w:shd w:val="clear" w:color="auto" w:fill="auto"/>
            <w:vAlign w:val="center"/>
          </w:tcPr>
          <w:p w14:paraId="540FA488">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年度总体目标</w:t>
            </w:r>
          </w:p>
        </w:tc>
        <w:tc>
          <w:tcPr>
            <w:tcW w:w="3685"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274ABE32">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预期目标：</w:t>
            </w:r>
          </w:p>
        </w:tc>
        <w:tc>
          <w:tcPr>
            <w:tcW w:w="4821"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1ADBC9EC">
            <w:pPr>
              <w:widowControl/>
              <w:jc w:val="center"/>
            </w:pPr>
            <w:r>
              <w:rPr>
                <w:rFonts w:hint="eastAsia" w:ascii="宋体" w:hAnsi="宋体" w:eastAsia="宋体" w:cs="宋体"/>
                <w:color w:val="000000"/>
                <w:kern w:val="0"/>
                <w:sz w:val="20"/>
                <w:szCs w:val="20"/>
              </w:rPr>
              <w:t>实际完成情况　：</w:t>
            </w:r>
          </w:p>
        </w:tc>
      </w:tr>
      <w:tr w14:paraId="412F2941">
        <w:tblPrEx>
          <w:tblCellMar>
            <w:top w:w="0" w:type="dxa"/>
            <w:left w:w="108" w:type="dxa"/>
            <w:bottom w:w="0" w:type="dxa"/>
            <w:right w:w="108" w:type="dxa"/>
          </w:tblCellMar>
        </w:tblPrEx>
        <w:trPr>
          <w:trHeight w:val="3097" w:hRule="atLeast"/>
        </w:trPr>
        <w:tc>
          <w:tcPr>
            <w:tcW w:w="1418" w:type="dxa"/>
            <w:vMerge w:val="continue"/>
            <w:tcBorders>
              <w:left w:val="single" w:color="auto" w:sz="4" w:space="0"/>
              <w:bottom w:val="single" w:color="auto" w:sz="4" w:space="0"/>
              <w:right w:val="single" w:color="auto" w:sz="4" w:space="0"/>
            </w:tcBorders>
            <w:shd w:val="clear" w:color="auto" w:fill="auto"/>
            <w:vAlign w:val="center"/>
          </w:tcPr>
          <w:p w14:paraId="7B124B5E">
            <w:pPr>
              <w:widowControl/>
              <w:jc w:val="center"/>
              <w:rPr>
                <w:rFonts w:ascii="宋体" w:hAnsi="宋体" w:eastAsia="宋体" w:cs="宋体"/>
                <w:color w:val="000000"/>
                <w:kern w:val="0"/>
                <w:sz w:val="20"/>
                <w:szCs w:val="20"/>
              </w:rPr>
            </w:pPr>
          </w:p>
        </w:tc>
        <w:tc>
          <w:tcPr>
            <w:tcW w:w="3685" w:type="dxa"/>
            <w:gridSpan w:val="6"/>
            <w:tcBorders>
              <w:top w:val="single" w:color="auto" w:sz="4" w:space="0"/>
              <w:left w:val="single" w:color="auto" w:sz="4" w:space="0"/>
              <w:bottom w:val="single" w:color="auto" w:sz="4" w:space="0"/>
              <w:right w:val="single" w:color="auto" w:sz="4" w:space="0"/>
            </w:tcBorders>
            <w:vAlign w:val="center"/>
          </w:tcPr>
          <w:p w14:paraId="637FB989">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通过审查被审计单位财政财务收支及其经济活动的真实性、合法性和效益性，评价、证明、确定和监督其是否履行经济责任，并达到纠正错误，严防舞弊，加强控制，提高效益；                                               </w:t>
            </w:r>
          </w:p>
          <w:p w14:paraId="17FDECDD">
            <w:pPr>
              <w:widowControl/>
              <w:ind w:firstLine="400" w:firstLineChars="2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对审计、专项审计调查和核查社会审计机构相关审计报告的结果承担责任，督促被审计单位整改的责任。</w:t>
            </w:r>
          </w:p>
        </w:tc>
        <w:tc>
          <w:tcPr>
            <w:tcW w:w="4821" w:type="dxa"/>
            <w:gridSpan w:val="5"/>
            <w:tcBorders>
              <w:top w:val="single" w:color="auto" w:sz="4" w:space="0"/>
              <w:left w:val="single" w:color="auto" w:sz="4" w:space="0"/>
              <w:bottom w:val="single" w:color="auto" w:sz="4" w:space="0"/>
              <w:right w:val="single" w:color="auto" w:sz="4" w:space="0"/>
            </w:tcBorders>
          </w:tcPr>
          <w:p w14:paraId="65220EAE">
            <w:pPr>
              <w:widowControl/>
              <w:ind w:firstLine="220" w:firstLineChars="100"/>
            </w:pPr>
            <w:r>
              <w:rPr>
                <w:rFonts w:hint="eastAsia" w:ascii="仿宋_GB2312" w:hAnsi="仿宋" w:eastAsia="仿宋_GB2312" w:cs="仿宋"/>
                <w:sz w:val="22"/>
              </w:rPr>
              <w:t>全年共完成35个审计项目：其中预算执行审计项目4个、经济责任审计项目5个、自然资源资产离任（任中）审计1个、专项资金审计5个，财务收支审计4个，专项审计调查项目4个、政府投资项目结算（决算）审计12个。审计查出问题金额104098万元，其中：违规资金670万元，管理不规范资金103428万元。提出审计建议意见59条，提交审计信息3篇，移送处理事项3件。政府投资项目结算审计送审投资额31741.91万元，审定总投资28510.21万元，核减总投资3231.76万元，综合核减率10.18%。</w:t>
            </w:r>
          </w:p>
        </w:tc>
      </w:tr>
      <w:tr w14:paraId="6F2F4935">
        <w:tblPrEx>
          <w:tblCellMar>
            <w:top w:w="0" w:type="dxa"/>
            <w:left w:w="108" w:type="dxa"/>
            <w:bottom w:w="0" w:type="dxa"/>
            <w:right w:w="108" w:type="dxa"/>
          </w:tblCellMar>
        </w:tblPrEx>
        <w:trPr>
          <w:trHeight w:val="168" w:hRule="atLeast"/>
        </w:trPr>
        <w:tc>
          <w:tcPr>
            <w:tcW w:w="1418" w:type="dxa"/>
            <w:vMerge w:val="restart"/>
            <w:tcBorders>
              <w:top w:val="nil"/>
              <w:left w:val="single" w:color="auto" w:sz="4" w:space="0"/>
              <w:bottom w:val="single" w:color="auto" w:sz="4" w:space="0"/>
              <w:right w:val="single" w:color="auto" w:sz="4" w:space="0"/>
            </w:tcBorders>
            <w:shd w:val="clear" w:color="auto" w:fill="auto"/>
            <w:vAlign w:val="center"/>
          </w:tcPr>
          <w:p w14:paraId="2B46C8B2">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绩效指标</w:t>
            </w:r>
          </w:p>
        </w:tc>
        <w:tc>
          <w:tcPr>
            <w:tcW w:w="1134" w:type="dxa"/>
            <w:vMerge w:val="restart"/>
            <w:tcBorders>
              <w:top w:val="nil"/>
              <w:left w:val="single" w:color="auto" w:sz="4" w:space="0"/>
              <w:bottom w:val="single" w:color="auto" w:sz="4" w:space="0"/>
              <w:right w:val="single" w:color="auto" w:sz="4" w:space="0"/>
            </w:tcBorders>
            <w:shd w:val="clear" w:color="auto" w:fill="auto"/>
            <w:vAlign w:val="center"/>
          </w:tcPr>
          <w:p w14:paraId="11476964">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一级指标</w:t>
            </w:r>
          </w:p>
        </w:tc>
        <w:tc>
          <w:tcPr>
            <w:tcW w:w="567"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7AA5F1D6">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二级指标</w:t>
            </w:r>
          </w:p>
        </w:tc>
        <w:tc>
          <w:tcPr>
            <w:tcW w:w="1134"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3534A301">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三级指标</w:t>
            </w:r>
          </w:p>
        </w:tc>
        <w:tc>
          <w:tcPr>
            <w:tcW w:w="850" w:type="dxa"/>
            <w:tcBorders>
              <w:top w:val="nil"/>
              <w:left w:val="nil"/>
              <w:bottom w:val="single" w:color="auto" w:sz="4" w:space="0"/>
              <w:right w:val="single" w:color="auto" w:sz="4" w:space="0"/>
            </w:tcBorders>
            <w:shd w:val="clear" w:color="auto" w:fill="auto"/>
            <w:vAlign w:val="center"/>
          </w:tcPr>
          <w:p w14:paraId="5C7404CE">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年度</w:t>
            </w:r>
          </w:p>
        </w:tc>
        <w:tc>
          <w:tcPr>
            <w:tcW w:w="1276" w:type="dxa"/>
            <w:tcBorders>
              <w:top w:val="nil"/>
              <w:left w:val="nil"/>
              <w:bottom w:val="single" w:color="auto" w:sz="4" w:space="0"/>
              <w:right w:val="single" w:color="auto" w:sz="4" w:space="0"/>
            </w:tcBorders>
            <w:shd w:val="clear" w:color="auto" w:fill="auto"/>
            <w:vAlign w:val="center"/>
          </w:tcPr>
          <w:p w14:paraId="1E2205E9">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实际</w:t>
            </w:r>
          </w:p>
        </w:tc>
        <w:tc>
          <w:tcPr>
            <w:tcW w:w="102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54DDE17B">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分值</w:t>
            </w:r>
          </w:p>
        </w:tc>
        <w:tc>
          <w:tcPr>
            <w:tcW w:w="977" w:type="dxa"/>
            <w:vMerge w:val="restart"/>
            <w:tcBorders>
              <w:top w:val="nil"/>
              <w:left w:val="single" w:color="auto" w:sz="4" w:space="0"/>
              <w:bottom w:val="single" w:color="auto" w:sz="4" w:space="0"/>
              <w:right w:val="single" w:color="auto" w:sz="4" w:space="0"/>
            </w:tcBorders>
            <w:shd w:val="clear" w:color="auto" w:fill="auto"/>
            <w:vAlign w:val="center"/>
          </w:tcPr>
          <w:p w14:paraId="5E1E1A84">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得分</w:t>
            </w:r>
          </w:p>
        </w:tc>
        <w:tc>
          <w:tcPr>
            <w:tcW w:w="154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0B9D572">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偏差原因分析及改进措施</w:t>
            </w:r>
          </w:p>
        </w:tc>
      </w:tr>
      <w:tr w14:paraId="37EC41EA">
        <w:tblPrEx>
          <w:tblCellMar>
            <w:top w:w="0" w:type="dxa"/>
            <w:left w:w="108" w:type="dxa"/>
            <w:bottom w:w="0" w:type="dxa"/>
            <w:right w:w="108" w:type="dxa"/>
          </w:tblCellMar>
        </w:tblPrEx>
        <w:trPr>
          <w:trHeight w:val="312" w:hRule="atLeast"/>
        </w:trPr>
        <w:tc>
          <w:tcPr>
            <w:tcW w:w="1418" w:type="dxa"/>
            <w:vMerge w:val="continue"/>
            <w:tcBorders>
              <w:top w:val="nil"/>
              <w:left w:val="single" w:color="auto" w:sz="4" w:space="0"/>
              <w:bottom w:val="single" w:color="auto" w:sz="4" w:space="0"/>
              <w:right w:val="single" w:color="auto" w:sz="4" w:space="0"/>
            </w:tcBorders>
            <w:vAlign w:val="center"/>
          </w:tcPr>
          <w:p w14:paraId="25228360">
            <w:pPr>
              <w:widowControl/>
              <w:jc w:val="left"/>
              <w:rPr>
                <w:rFonts w:ascii="宋体" w:hAnsi="宋体" w:eastAsia="宋体" w:cs="宋体"/>
                <w:color w:val="000000"/>
                <w:kern w:val="0"/>
                <w:sz w:val="20"/>
                <w:szCs w:val="20"/>
              </w:rPr>
            </w:pPr>
          </w:p>
        </w:tc>
        <w:tc>
          <w:tcPr>
            <w:tcW w:w="1134" w:type="dxa"/>
            <w:vMerge w:val="continue"/>
            <w:tcBorders>
              <w:top w:val="nil"/>
              <w:left w:val="single" w:color="auto" w:sz="4" w:space="0"/>
              <w:bottom w:val="single" w:color="auto" w:sz="4" w:space="0"/>
              <w:right w:val="single" w:color="auto" w:sz="4" w:space="0"/>
            </w:tcBorders>
            <w:vAlign w:val="center"/>
          </w:tcPr>
          <w:p w14:paraId="5A5436EC">
            <w:pPr>
              <w:widowControl/>
              <w:jc w:val="left"/>
              <w:rPr>
                <w:rFonts w:ascii="宋体" w:hAnsi="宋体" w:eastAsia="宋体" w:cs="宋体"/>
                <w:color w:val="000000"/>
                <w:kern w:val="0"/>
                <w:sz w:val="20"/>
                <w:szCs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14:paraId="1B58D27A">
            <w:pPr>
              <w:widowControl/>
              <w:jc w:val="left"/>
              <w:rPr>
                <w:rFonts w:ascii="宋体" w:hAnsi="宋体" w:eastAsia="宋体" w:cs="宋体"/>
                <w:color w:val="000000"/>
                <w:kern w:val="0"/>
                <w:sz w:val="20"/>
                <w:szCs w:val="20"/>
              </w:rPr>
            </w:pPr>
          </w:p>
        </w:tc>
        <w:tc>
          <w:tcPr>
            <w:tcW w:w="1134" w:type="dxa"/>
            <w:gridSpan w:val="2"/>
            <w:vMerge w:val="continue"/>
            <w:tcBorders>
              <w:top w:val="nil"/>
              <w:left w:val="single" w:color="auto" w:sz="4" w:space="0"/>
              <w:bottom w:val="single" w:color="auto" w:sz="4" w:space="0"/>
              <w:right w:val="single" w:color="auto" w:sz="4" w:space="0"/>
            </w:tcBorders>
            <w:vAlign w:val="center"/>
          </w:tcPr>
          <w:p w14:paraId="6DDEB6D4">
            <w:pPr>
              <w:widowControl/>
              <w:jc w:val="left"/>
              <w:rPr>
                <w:rFonts w:ascii="宋体" w:hAnsi="宋体" w:eastAsia="宋体" w:cs="宋体"/>
                <w:color w:val="000000"/>
                <w:kern w:val="0"/>
                <w:sz w:val="20"/>
                <w:szCs w:val="20"/>
              </w:rPr>
            </w:pPr>
          </w:p>
        </w:tc>
        <w:tc>
          <w:tcPr>
            <w:tcW w:w="850" w:type="dxa"/>
            <w:vMerge w:val="restart"/>
            <w:tcBorders>
              <w:top w:val="nil"/>
              <w:left w:val="single" w:color="auto" w:sz="4" w:space="0"/>
              <w:bottom w:val="single" w:color="auto" w:sz="4" w:space="0"/>
              <w:right w:val="single" w:color="auto" w:sz="4" w:space="0"/>
            </w:tcBorders>
            <w:shd w:val="clear" w:color="auto" w:fill="auto"/>
            <w:vAlign w:val="center"/>
          </w:tcPr>
          <w:p w14:paraId="28444BA7">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指标值</w:t>
            </w:r>
          </w:p>
        </w:tc>
        <w:tc>
          <w:tcPr>
            <w:tcW w:w="1276" w:type="dxa"/>
            <w:vMerge w:val="restart"/>
            <w:tcBorders>
              <w:top w:val="nil"/>
              <w:left w:val="single" w:color="auto" w:sz="4" w:space="0"/>
              <w:bottom w:val="single" w:color="auto" w:sz="4" w:space="0"/>
              <w:right w:val="single" w:color="auto" w:sz="4" w:space="0"/>
            </w:tcBorders>
            <w:shd w:val="clear" w:color="auto" w:fill="auto"/>
            <w:vAlign w:val="center"/>
          </w:tcPr>
          <w:p w14:paraId="3C0FC5A2">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完成值</w:t>
            </w:r>
          </w:p>
        </w:tc>
        <w:tc>
          <w:tcPr>
            <w:tcW w:w="1023" w:type="dxa"/>
            <w:gridSpan w:val="2"/>
            <w:vMerge w:val="continue"/>
            <w:tcBorders>
              <w:top w:val="nil"/>
              <w:left w:val="single" w:color="auto" w:sz="4" w:space="0"/>
              <w:bottom w:val="single" w:color="auto" w:sz="4" w:space="0"/>
              <w:right w:val="single" w:color="auto" w:sz="4" w:space="0"/>
            </w:tcBorders>
            <w:vAlign w:val="center"/>
          </w:tcPr>
          <w:p w14:paraId="0D320671">
            <w:pPr>
              <w:widowControl/>
              <w:jc w:val="left"/>
              <w:rPr>
                <w:rFonts w:ascii="宋体" w:hAnsi="宋体" w:eastAsia="宋体" w:cs="宋体"/>
                <w:color w:val="000000"/>
                <w:kern w:val="0"/>
                <w:sz w:val="20"/>
                <w:szCs w:val="20"/>
              </w:rPr>
            </w:pPr>
          </w:p>
        </w:tc>
        <w:tc>
          <w:tcPr>
            <w:tcW w:w="977" w:type="dxa"/>
            <w:vMerge w:val="continue"/>
            <w:tcBorders>
              <w:top w:val="nil"/>
              <w:left w:val="single" w:color="auto" w:sz="4" w:space="0"/>
              <w:bottom w:val="single" w:color="auto" w:sz="4" w:space="0"/>
              <w:right w:val="single" w:color="auto" w:sz="4" w:space="0"/>
            </w:tcBorders>
            <w:vAlign w:val="center"/>
          </w:tcPr>
          <w:p w14:paraId="240FA8C5">
            <w:pPr>
              <w:widowControl/>
              <w:jc w:val="left"/>
              <w:rPr>
                <w:rFonts w:ascii="宋体" w:hAnsi="宋体" w:eastAsia="宋体" w:cs="宋体"/>
                <w:color w:val="000000"/>
                <w:kern w:val="0"/>
                <w:sz w:val="20"/>
                <w:szCs w:val="20"/>
              </w:rPr>
            </w:pPr>
          </w:p>
        </w:tc>
        <w:tc>
          <w:tcPr>
            <w:tcW w:w="1545" w:type="dxa"/>
            <w:vMerge w:val="continue"/>
            <w:tcBorders>
              <w:top w:val="nil"/>
              <w:left w:val="single" w:color="auto" w:sz="4" w:space="0"/>
              <w:bottom w:val="single" w:color="auto" w:sz="4" w:space="0"/>
              <w:right w:val="single" w:color="auto" w:sz="4" w:space="0"/>
            </w:tcBorders>
            <w:vAlign w:val="center"/>
          </w:tcPr>
          <w:p w14:paraId="4F61BBC1">
            <w:pPr>
              <w:widowControl/>
              <w:jc w:val="left"/>
              <w:rPr>
                <w:rFonts w:ascii="宋体" w:hAnsi="宋体" w:eastAsia="宋体" w:cs="宋体"/>
                <w:color w:val="000000"/>
                <w:kern w:val="0"/>
                <w:sz w:val="20"/>
                <w:szCs w:val="20"/>
              </w:rPr>
            </w:pPr>
          </w:p>
        </w:tc>
      </w:tr>
      <w:tr w14:paraId="502F65DE">
        <w:tblPrEx>
          <w:tblCellMar>
            <w:top w:w="0" w:type="dxa"/>
            <w:left w:w="108" w:type="dxa"/>
            <w:bottom w:w="0" w:type="dxa"/>
            <w:right w:w="108" w:type="dxa"/>
          </w:tblCellMar>
        </w:tblPrEx>
        <w:trPr>
          <w:trHeight w:val="356" w:hRule="atLeast"/>
        </w:trPr>
        <w:tc>
          <w:tcPr>
            <w:tcW w:w="1418" w:type="dxa"/>
            <w:vMerge w:val="continue"/>
            <w:tcBorders>
              <w:top w:val="nil"/>
              <w:left w:val="single" w:color="auto" w:sz="4" w:space="0"/>
              <w:bottom w:val="single" w:color="auto" w:sz="4" w:space="0"/>
              <w:right w:val="single" w:color="auto" w:sz="4" w:space="0"/>
            </w:tcBorders>
            <w:vAlign w:val="center"/>
          </w:tcPr>
          <w:p w14:paraId="3253C2A1">
            <w:pPr>
              <w:widowControl/>
              <w:jc w:val="left"/>
              <w:rPr>
                <w:rFonts w:ascii="宋体" w:hAnsi="宋体" w:eastAsia="宋体" w:cs="宋体"/>
                <w:color w:val="000000"/>
                <w:kern w:val="0"/>
                <w:sz w:val="20"/>
                <w:szCs w:val="20"/>
              </w:rPr>
            </w:pPr>
          </w:p>
        </w:tc>
        <w:tc>
          <w:tcPr>
            <w:tcW w:w="1134" w:type="dxa"/>
            <w:vMerge w:val="continue"/>
            <w:tcBorders>
              <w:top w:val="nil"/>
              <w:left w:val="single" w:color="auto" w:sz="4" w:space="0"/>
              <w:bottom w:val="single" w:color="auto" w:sz="4" w:space="0"/>
              <w:right w:val="single" w:color="auto" w:sz="4" w:space="0"/>
            </w:tcBorders>
            <w:vAlign w:val="center"/>
          </w:tcPr>
          <w:p w14:paraId="6B221A53">
            <w:pPr>
              <w:widowControl/>
              <w:jc w:val="left"/>
              <w:rPr>
                <w:rFonts w:ascii="宋体" w:hAnsi="宋体" w:eastAsia="宋体" w:cs="宋体"/>
                <w:color w:val="000000"/>
                <w:kern w:val="0"/>
                <w:sz w:val="20"/>
                <w:szCs w:val="20"/>
              </w:rPr>
            </w:pPr>
          </w:p>
        </w:tc>
        <w:tc>
          <w:tcPr>
            <w:tcW w:w="567" w:type="dxa"/>
            <w:gridSpan w:val="2"/>
            <w:vMerge w:val="continue"/>
            <w:tcBorders>
              <w:top w:val="nil"/>
              <w:left w:val="single" w:color="auto" w:sz="4" w:space="0"/>
              <w:bottom w:val="single" w:color="auto" w:sz="4" w:space="0"/>
              <w:right w:val="single" w:color="auto" w:sz="4" w:space="0"/>
            </w:tcBorders>
            <w:vAlign w:val="center"/>
          </w:tcPr>
          <w:p w14:paraId="38B5BF48">
            <w:pPr>
              <w:widowControl/>
              <w:jc w:val="left"/>
              <w:rPr>
                <w:rFonts w:ascii="宋体" w:hAnsi="宋体" w:eastAsia="宋体" w:cs="宋体"/>
                <w:color w:val="000000"/>
                <w:kern w:val="0"/>
                <w:sz w:val="20"/>
                <w:szCs w:val="20"/>
              </w:rPr>
            </w:pPr>
          </w:p>
        </w:tc>
        <w:tc>
          <w:tcPr>
            <w:tcW w:w="1134" w:type="dxa"/>
            <w:gridSpan w:val="2"/>
            <w:vMerge w:val="continue"/>
            <w:tcBorders>
              <w:top w:val="nil"/>
              <w:left w:val="single" w:color="auto" w:sz="4" w:space="0"/>
              <w:bottom w:val="single" w:color="auto" w:sz="4" w:space="0"/>
              <w:right w:val="single" w:color="auto" w:sz="4" w:space="0"/>
            </w:tcBorders>
            <w:vAlign w:val="center"/>
          </w:tcPr>
          <w:p w14:paraId="5DC84D18">
            <w:pPr>
              <w:widowControl/>
              <w:jc w:val="left"/>
              <w:rPr>
                <w:rFonts w:ascii="宋体" w:hAnsi="宋体" w:eastAsia="宋体" w:cs="宋体"/>
                <w:color w:val="000000"/>
                <w:kern w:val="0"/>
                <w:sz w:val="20"/>
                <w:szCs w:val="20"/>
              </w:rPr>
            </w:pPr>
          </w:p>
        </w:tc>
        <w:tc>
          <w:tcPr>
            <w:tcW w:w="850" w:type="dxa"/>
            <w:vMerge w:val="continue"/>
            <w:tcBorders>
              <w:top w:val="nil"/>
              <w:left w:val="single" w:color="auto" w:sz="4" w:space="0"/>
              <w:bottom w:val="single" w:color="auto" w:sz="4" w:space="0"/>
              <w:right w:val="single" w:color="auto" w:sz="4" w:space="0"/>
            </w:tcBorders>
            <w:vAlign w:val="center"/>
          </w:tcPr>
          <w:p w14:paraId="7F69E62A">
            <w:pPr>
              <w:widowControl/>
              <w:jc w:val="left"/>
              <w:rPr>
                <w:rFonts w:ascii="宋体" w:hAnsi="宋体" w:eastAsia="宋体" w:cs="宋体"/>
                <w:color w:val="000000"/>
                <w:kern w:val="0"/>
                <w:sz w:val="20"/>
                <w:szCs w:val="20"/>
              </w:rPr>
            </w:pPr>
          </w:p>
        </w:tc>
        <w:tc>
          <w:tcPr>
            <w:tcW w:w="1276" w:type="dxa"/>
            <w:vMerge w:val="continue"/>
            <w:tcBorders>
              <w:top w:val="nil"/>
              <w:left w:val="single" w:color="auto" w:sz="4" w:space="0"/>
              <w:bottom w:val="single" w:color="auto" w:sz="4" w:space="0"/>
              <w:right w:val="single" w:color="auto" w:sz="4" w:space="0"/>
            </w:tcBorders>
            <w:vAlign w:val="center"/>
          </w:tcPr>
          <w:p w14:paraId="3B65C830">
            <w:pPr>
              <w:widowControl/>
              <w:jc w:val="left"/>
              <w:rPr>
                <w:rFonts w:ascii="宋体" w:hAnsi="宋体" w:eastAsia="宋体" w:cs="宋体"/>
                <w:color w:val="000000"/>
                <w:kern w:val="0"/>
                <w:sz w:val="20"/>
                <w:szCs w:val="20"/>
              </w:rPr>
            </w:pPr>
          </w:p>
        </w:tc>
        <w:tc>
          <w:tcPr>
            <w:tcW w:w="1023" w:type="dxa"/>
            <w:gridSpan w:val="2"/>
            <w:vMerge w:val="continue"/>
            <w:tcBorders>
              <w:top w:val="nil"/>
              <w:left w:val="single" w:color="auto" w:sz="4" w:space="0"/>
              <w:bottom w:val="single" w:color="auto" w:sz="4" w:space="0"/>
              <w:right w:val="single" w:color="auto" w:sz="4" w:space="0"/>
            </w:tcBorders>
            <w:vAlign w:val="center"/>
          </w:tcPr>
          <w:p w14:paraId="16C55F8F">
            <w:pPr>
              <w:widowControl/>
              <w:jc w:val="left"/>
              <w:rPr>
                <w:rFonts w:ascii="宋体" w:hAnsi="宋体" w:eastAsia="宋体" w:cs="宋体"/>
                <w:color w:val="000000"/>
                <w:kern w:val="0"/>
                <w:sz w:val="20"/>
                <w:szCs w:val="20"/>
              </w:rPr>
            </w:pPr>
          </w:p>
        </w:tc>
        <w:tc>
          <w:tcPr>
            <w:tcW w:w="977" w:type="dxa"/>
            <w:vMerge w:val="continue"/>
            <w:tcBorders>
              <w:top w:val="nil"/>
              <w:left w:val="single" w:color="auto" w:sz="4" w:space="0"/>
              <w:bottom w:val="single" w:color="auto" w:sz="4" w:space="0"/>
              <w:right w:val="single" w:color="auto" w:sz="4" w:space="0"/>
            </w:tcBorders>
            <w:vAlign w:val="center"/>
          </w:tcPr>
          <w:p w14:paraId="0D66646D">
            <w:pPr>
              <w:widowControl/>
              <w:jc w:val="left"/>
              <w:rPr>
                <w:rFonts w:ascii="宋体" w:hAnsi="宋体" w:eastAsia="宋体" w:cs="宋体"/>
                <w:color w:val="000000"/>
                <w:kern w:val="0"/>
                <w:sz w:val="20"/>
                <w:szCs w:val="20"/>
              </w:rPr>
            </w:pPr>
          </w:p>
        </w:tc>
        <w:tc>
          <w:tcPr>
            <w:tcW w:w="1545" w:type="dxa"/>
            <w:vMerge w:val="continue"/>
            <w:tcBorders>
              <w:top w:val="nil"/>
              <w:left w:val="single" w:color="auto" w:sz="4" w:space="0"/>
              <w:bottom w:val="single" w:color="auto" w:sz="4" w:space="0"/>
              <w:right w:val="single" w:color="auto" w:sz="4" w:space="0"/>
            </w:tcBorders>
            <w:vAlign w:val="center"/>
          </w:tcPr>
          <w:p w14:paraId="1441A16B">
            <w:pPr>
              <w:widowControl/>
              <w:jc w:val="left"/>
              <w:rPr>
                <w:rFonts w:ascii="宋体" w:hAnsi="宋体" w:eastAsia="宋体" w:cs="宋体"/>
                <w:color w:val="000000"/>
                <w:kern w:val="0"/>
                <w:sz w:val="20"/>
                <w:szCs w:val="20"/>
              </w:rPr>
            </w:pPr>
          </w:p>
        </w:tc>
      </w:tr>
      <w:tr w14:paraId="6092962C">
        <w:tblPrEx>
          <w:tblCellMar>
            <w:top w:w="0" w:type="dxa"/>
            <w:left w:w="108" w:type="dxa"/>
            <w:bottom w:w="0" w:type="dxa"/>
            <w:right w:w="108" w:type="dxa"/>
          </w:tblCellMar>
        </w:tblPrEx>
        <w:trPr>
          <w:trHeight w:val="1048" w:hRule="atLeast"/>
        </w:trPr>
        <w:tc>
          <w:tcPr>
            <w:tcW w:w="1418" w:type="dxa"/>
            <w:vMerge w:val="continue"/>
            <w:tcBorders>
              <w:top w:val="nil"/>
              <w:left w:val="single" w:color="auto" w:sz="4" w:space="0"/>
              <w:bottom w:val="single" w:color="auto" w:sz="4" w:space="0"/>
              <w:right w:val="single" w:color="auto" w:sz="4" w:space="0"/>
            </w:tcBorders>
            <w:vAlign w:val="center"/>
          </w:tcPr>
          <w:p w14:paraId="3FB1F366">
            <w:pPr>
              <w:widowControl/>
              <w:jc w:val="left"/>
              <w:rPr>
                <w:rFonts w:ascii="宋体" w:hAnsi="宋体" w:eastAsia="宋体" w:cs="宋体"/>
                <w:color w:val="000000"/>
                <w:kern w:val="0"/>
                <w:sz w:val="20"/>
                <w:szCs w:val="20"/>
              </w:rPr>
            </w:pPr>
          </w:p>
        </w:tc>
        <w:tc>
          <w:tcPr>
            <w:tcW w:w="1134" w:type="dxa"/>
            <w:vMerge w:val="restart"/>
            <w:tcBorders>
              <w:top w:val="nil"/>
              <w:left w:val="single" w:color="auto" w:sz="4" w:space="0"/>
              <w:bottom w:val="nil"/>
              <w:right w:val="single" w:color="auto" w:sz="4" w:space="0"/>
            </w:tcBorders>
            <w:shd w:val="clear" w:color="auto" w:fill="auto"/>
            <w:vAlign w:val="center"/>
          </w:tcPr>
          <w:p w14:paraId="738DA907">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产出指标</w:t>
            </w:r>
          </w:p>
        </w:tc>
        <w:tc>
          <w:tcPr>
            <w:tcW w:w="567" w:type="dxa"/>
            <w:gridSpan w:val="2"/>
            <w:vMerge w:val="restart"/>
            <w:tcBorders>
              <w:top w:val="nil"/>
              <w:left w:val="single" w:color="auto" w:sz="4" w:space="0"/>
              <w:bottom w:val="nil"/>
              <w:right w:val="single" w:color="auto" w:sz="4" w:space="0"/>
            </w:tcBorders>
            <w:shd w:val="clear" w:color="auto" w:fill="auto"/>
            <w:vAlign w:val="center"/>
          </w:tcPr>
          <w:p w14:paraId="59E02AA2">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职责履行</w:t>
            </w:r>
          </w:p>
        </w:tc>
        <w:tc>
          <w:tcPr>
            <w:tcW w:w="1134" w:type="dxa"/>
            <w:gridSpan w:val="2"/>
            <w:tcBorders>
              <w:top w:val="nil"/>
              <w:left w:val="nil"/>
              <w:bottom w:val="single" w:color="auto" w:sz="4" w:space="0"/>
              <w:right w:val="single" w:color="auto" w:sz="4" w:space="0"/>
            </w:tcBorders>
            <w:shd w:val="clear" w:color="auto" w:fill="auto"/>
            <w:vAlign w:val="center"/>
          </w:tcPr>
          <w:p w14:paraId="11A07F87">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数量指标</w:t>
            </w:r>
          </w:p>
        </w:tc>
        <w:tc>
          <w:tcPr>
            <w:tcW w:w="850" w:type="dxa"/>
            <w:tcBorders>
              <w:top w:val="nil"/>
              <w:left w:val="nil"/>
              <w:bottom w:val="single" w:color="auto" w:sz="4" w:space="0"/>
              <w:right w:val="single" w:color="auto" w:sz="4" w:space="0"/>
            </w:tcBorders>
            <w:shd w:val="clear" w:color="auto" w:fill="auto"/>
            <w:vAlign w:val="center"/>
          </w:tcPr>
          <w:p w14:paraId="11EA438C">
            <w:pPr>
              <w:widowControl/>
              <w:jc w:val="center"/>
              <w:rPr>
                <w:rFonts w:ascii="宋体" w:hAnsi="宋体" w:cs="宋体"/>
                <w:b/>
                <w:bCs/>
                <w:kern w:val="0"/>
                <w:sz w:val="20"/>
                <w:szCs w:val="20"/>
              </w:rPr>
            </w:pPr>
            <w:r>
              <w:rPr>
                <w:rFonts w:hint="eastAsia" w:ascii="宋体" w:hAnsi="宋体" w:eastAsia="宋体" w:cs="宋体"/>
                <w:kern w:val="0"/>
                <w:sz w:val="20"/>
                <w:szCs w:val="20"/>
              </w:rPr>
              <w:t>审计项目数量</w:t>
            </w:r>
            <w:r>
              <w:rPr>
                <w:rFonts w:hint="eastAsia"/>
              </w:rPr>
              <w:t>≥35个</w:t>
            </w:r>
          </w:p>
        </w:tc>
        <w:tc>
          <w:tcPr>
            <w:tcW w:w="1276" w:type="dxa"/>
            <w:tcBorders>
              <w:top w:val="nil"/>
              <w:left w:val="nil"/>
              <w:bottom w:val="single" w:color="auto" w:sz="4" w:space="0"/>
              <w:right w:val="single" w:color="auto" w:sz="4" w:space="0"/>
            </w:tcBorders>
            <w:shd w:val="clear" w:color="auto" w:fill="auto"/>
            <w:vAlign w:val="center"/>
          </w:tcPr>
          <w:p w14:paraId="6E7F2CAF">
            <w:pPr>
              <w:widowControl/>
              <w:jc w:val="center"/>
              <w:rPr>
                <w:rFonts w:ascii="宋体" w:hAnsi="宋体" w:eastAsia="宋体" w:cs="宋体"/>
                <w:kern w:val="0"/>
                <w:sz w:val="20"/>
                <w:szCs w:val="20"/>
              </w:rPr>
            </w:pPr>
            <w:r>
              <w:rPr>
                <w:rFonts w:hint="eastAsia" w:ascii="宋体" w:hAnsi="宋体" w:eastAsia="宋体" w:cs="宋体"/>
                <w:kern w:val="0"/>
                <w:sz w:val="20"/>
                <w:szCs w:val="20"/>
              </w:rPr>
              <w:t>35个</w:t>
            </w:r>
          </w:p>
        </w:tc>
        <w:tc>
          <w:tcPr>
            <w:tcW w:w="1023" w:type="dxa"/>
            <w:gridSpan w:val="2"/>
            <w:tcBorders>
              <w:top w:val="nil"/>
              <w:left w:val="nil"/>
              <w:bottom w:val="single" w:color="auto" w:sz="4" w:space="0"/>
              <w:right w:val="single" w:color="auto" w:sz="4" w:space="0"/>
            </w:tcBorders>
            <w:shd w:val="clear" w:color="auto" w:fill="auto"/>
            <w:vAlign w:val="center"/>
          </w:tcPr>
          <w:p w14:paraId="39B167EA">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15</w:t>
            </w:r>
          </w:p>
        </w:tc>
        <w:tc>
          <w:tcPr>
            <w:tcW w:w="977" w:type="dxa"/>
            <w:tcBorders>
              <w:top w:val="nil"/>
              <w:left w:val="nil"/>
              <w:bottom w:val="single" w:color="auto" w:sz="4" w:space="0"/>
              <w:right w:val="single" w:color="auto" w:sz="4" w:space="0"/>
            </w:tcBorders>
            <w:shd w:val="clear" w:color="auto" w:fill="auto"/>
            <w:vAlign w:val="center"/>
          </w:tcPr>
          <w:p w14:paraId="2A3BC81C">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15</w:t>
            </w:r>
          </w:p>
        </w:tc>
        <w:tc>
          <w:tcPr>
            <w:tcW w:w="1545" w:type="dxa"/>
            <w:tcBorders>
              <w:top w:val="nil"/>
              <w:left w:val="nil"/>
              <w:bottom w:val="single" w:color="auto" w:sz="4" w:space="0"/>
              <w:right w:val="single" w:color="auto" w:sz="4" w:space="0"/>
            </w:tcBorders>
            <w:shd w:val="clear" w:color="auto" w:fill="auto"/>
            <w:vAlign w:val="center"/>
          </w:tcPr>
          <w:p w14:paraId="607E607D">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14:paraId="55991177">
        <w:tblPrEx>
          <w:tblCellMar>
            <w:top w:w="0" w:type="dxa"/>
            <w:left w:w="108" w:type="dxa"/>
            <w:bottom w:w="0" w:type="dxa"/>
            <w:right w:w="108" w:type="dxa"/>
          </w:tblCellMar>
        </w:tblPrEx>
        <w:trPr>
          <w:trHeight w:val="277" w:hRule="atLeast"/>
        </w:trPr>
        <w:tc>
          <w:tcPr>
            <w:tcW w:w="1418" w:type="dxa"/>
            <w:vMerge w:val="continue"/>
            <w:tcBorders>
              <w:top w:val="nil"/>
              <w:left w:val="single" w:color="auto" w:sz="4" w:space="0"/>
              <w:bottom w:val="single" w:color="auto" w:sz="4" w:space="0"/>
              <w:right w:val="single" w:color="auto" w:sz="4" w:space="0"/>
            </w:tcBorders>
            <w:vAlign w:val="center"/>
          </w:tcPr>
          <w:p w14:paraId="35C67B80">
            <w:pPr>
              <w:widowControl/>
              <w:jc w:val="left"/>
              <w:rPr>
                <w:rFonts w:ascii="宋体" w:hAnsi="宋体" w:eastAsia="宋体" w:cs="宋体"/>
                <w:color w:val="000000"/>
                <w:kern w:val="0"/>
                <w:sz w:val="20"/>
                <w:szCs w:val="20"/>
              </w:rPr>
            </w:pPr>
          </w:p>
        </w:tc>
        <w:tc>
          <w:tcPr>
            <w:tcW w:w="1134" w:type="dxa"/>
            <w:vMerge w:val="continue"/>
            <w:tcBorders>
              <w:top w:val="nil"/>
              <w:left w:val="single" w:color="auto" w:sz="4" w:space="0"/>
              <w:bottom w:val="nil"/>
              <w:right w:val="single" w:color="auto" w:sz="4" w:space="0"/>
            </w:tcBorders>
            <w:vAlign w:val="center"/>
          </w:tcPr>
          <w:p w14:paraId="6FA9FDC1">
            <w:pPr>
              <w:widowControl/>
              <w:jc w:val="left"/>
              <w:rPr>
                <w:rFonts w:ascii="宋体" w:hAnsi="宋体" w:eastAsia="宋体" w:cs="宋体"/>
                <w:color w:val="000000"/>
                <w:kern w:val="0"/>
                <w:sz w:val="20"/>
                <w:szCs w:val="20"/>
              </w:rPr>
            </w:pPr>
          </w:p>
        </w:tc>
        <w:tc>
          <w:tcPr>
            <w:tcW w:w="567" w:type="dxa"/>
            <w:gridSpan w:val="2"/>
            <w:vMerge w:val="continue"/>
            <w:tcBorders>
              <w:top w:val="nil"/>
              <w:left w:val="single" w:color="auto" w:sz="4" w:space="0"/>
              <w:bottom w:val="nil"/>
              <w:right w:val="single" w:color="auto" w:sz="4" w:space="0"/>
            </w:tcBorders>
            <w:vAlign w:val="center"/>
          </w:tcPr>
          <w:p w14:paraId="56B9012C">
            <w:pPr>
              <w:widowControl/>
              <w:jc w:val="left"/>
              <w:rPr>
                <w:rFonts w:ascii="宋体" w:hAnsi="宋体" w:eastAsia="宋体" w:cs="宋体"/>
                <w:color w:val="000000"/>
                <w:kern w:val="0"/>
                <w:sz w:val="20"/>
                <w:szCs w:val="20"/>
              </w:rPr>
            </w:pPr>
          </w:p>
        </w:tc>
        <w:tc>
          <w:tcPr>
            <w:tcW w:w="1134" w:type="dxa"/>
            <w:gridSpan w:val="2"/>
            <w:tcBorders>
              <w:top w:val="nil"/>
              <w:left w:val="nil"/>
              <w:bottom w:val="single" w:color="auto" w:sz="4" w:space="0"/>
              <w:right w:val="single" w:color="auto" w:sz="4" w:space="0"/>
            </w:tcBorders>
            <w:shd w:val="clear" w:color="auto" w:fill="auto"/>
            <w:vAlign w:val="center"/>
          </w:tcPr>
          <w:p w14:paraId="0156AEC1">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质量指标</w:t>
            </w:r>
          </w:p>
        </w:tc>
        <w:tc>
          <w:tcPr>
            <w:tcW w:w="850" w:type="dxa"/>
            <w:tcBorders>
              <w:top w:val="nil"/>
              <w:left w:val="nil"/>
              <w:bottom w:val="single" w:color="auto" w:sz="4" w:space="0"/>
              <w:right w:val="single" w:color="auto" w:sz="4" w:space="0"/>
            </w:tcBorders>
            <w:shd w:val="clear" w:color="auto" w:fill="auto"/>
            <w:vAlign w:val="center"/>
          </w:tcPr>
          <w:p w14:paraId="08C665AE">
            <w:pPr>
              <w:widowControl/>
              <w:jc w:val="center"/>
              <w:rPr>
                <w:rFonts w:ascii="宋体" w:hAnsi="宋体" w:eastAsia="宋体" w:cs="宋体"/>
                <w:kern w:val="0"/>
                <w:sz w:val="20"/>
                <w:szCs w:val="20"/>
              </w:rPr>
            </w:pPr>
            <w:r>
              <w:rPr>
                <w:rFonts w:hint="eastAsia" w:ascii="宋体" w:hAnsi="宋体" w:eastAsia="宋体" w:cs="宋体"/>
                <w:kern w:val="0"/>
                <w:sz w:val="20"/>
                <w:szCs w:val="20"/>
              </w:rPr>
              <w:t>优秀审计项目</w:t>
            </w:r>
            <w:r>
              <w:rPr>
                <w:rFonts w:hint="eastAsia"/>
              </w:rPr>
              <w:t>≥1个</w:t>
            </w:r>
          </w:p>
        </w:tc>
        <w:tc>
          <w:tcPr>
            <w:tcW w:w="1276" w:type="dxa"/>
            <w:tcBorders>
              <w:top w:val="nil"/>
              <w:left w:val="nil"/>
              <w:bottom w:val="single" w:color="auto" w:sz="4" w:space="0"/>
              <w:right w:val="single" w:color="auto" w:sz="4" w:space="0"/>
            </w:tcBorders>
            <w:shd w:val="clear" w:color="auto" w:fill="auto"/>
            <w:vAlign w:val="center"/>
          </w:tcPr>
          <w:p w14:paraId="4C6AB286">
            <w:pPr>
              <w:widowControl/>
              <w:jc w:val="center"/>
              <w:rPr>
                <w:rFonts w:ascii="宋体" w:hAnsi="宋体" w:eastAsia="宋体" w:cs="宋体"/>
                <w:kern w:val="0"/>
                <w:sz w:val="20"/>
                <w:szCs w:val="20"/>
              </w:rPr>
            </w:pPr>
            <w:r>
              <w:rPr>
                <w:rFonts w:hint="eastAsia" w:ascii="宋体" w:hAnsi="宋体" w:eastAsia="宋体" w:cs="宋体"/>
                <w:kern w:val="0"/>
                <w:sz w:val="20"/>
                <w:szCs w:val="20"/>
              </w:rPr>
              <w:t>3个</w:t>
            </w:r>
          </w:p>
        </w:tc>
        <w:tc>
          <w:tcPr>
            <w:tcW w:w="1023" w:type="dxa"/>
            <w:gridSpan w:val="2"/>
            <w:tcBorders>
              <w:top w:val="nil"/>
              <w:left w:val="nil"/>
              <w:bottom w:val="single" w:color="auto" w:sz="4" w:space="0"/>
              <w:right w:val="single" w:color="auto" w:sz="4" w:space="0"/>
            </w:tcBorders>
            <w:shd w:val="clear" w:color="auto" w:fill="auto"/>
            <w:vAlign w:val="center"/>
          </w:tcPr>
          <w:p w14:paraId="6E58CC2F">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15</w:t>
            </w:r>
          </w:p>
        </w:tc>
        <w:tc>
          <w:tcPr>
            <w:tcW w:w="977" w:type="dxa"/>
            <w:tcBorders>
              <w:top w:val="nil"/>
              <w:left w:val="nil"/>
              <w:bottom w:val="single" w:color="auto" w:sz="4" w:space="0"/>
              <w:right w:val="single" w:color="auto" w:sz="4" w:space="0"/>
            </w:tcBorders>
            <w:shd w:val="clear" w:color="auto" w:fill="auto"/>
            <w:vAlign w:val="center"/>
          </w:tcPr>
          <w:p w14:paraId="4F4D5975">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15</w:t>
            </w:r>
          </w:p>
        </w:tc>
        <w:tc>
          <w:tcPr>
            <w:tcW w:w="1545" w:type="dxa"/>
            <w:tcBorders>
              <w:top w:val="nil"/>
              <w:left w:val="nil"/>
              <w:bottom w:val="single" w:color="auto" w:sz="4" w:space="0"/>
              <w:right w:val="single" w:color="auto" w:sz="4" w:space="0"/>
            </w:tcBorders>
            <w:shd w:val="clear" w:color="auto" w:fill="auto"/>
            <w:vAlign w:val="center"/>
          </w:tcPr>
          <w:p w14:paraId="5B716C28">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14:paraId="47C63D04">
        <w:tblPrEx>
          <w:tblCellMar>
            <w:top w:w="0" w:type="dxa"/>
            <w:left w:w="108" w:type="dxa"/>
            <w:bottom w:w="0" w:type="dxa"/>
            <w:right w:w="108" w:type="dxa"/>
          </w:tblCellMar>
        </w:tblPrEx>
        <w:trPr>
          <w:trHeight w:val="283" w:hRule="atLeast"/>
        </w:trPr>
        <w:tc>
          <w:tcPr>
            <w:tcW w:w="1418" w:type="dxa"/>
            <w:vMerge w:val="continue"/>
            <w:tcBorders>
              <w:top w:val="nil"/>
              <w:left w:val="single" w:color="auto" w:sz="4" w:space="0"/>
              <w:bottom w:val="single" w:color="auto" w:sz="4" w:space="0"/>
              <w:right w:val="single" w:color="auto" w:sz="4" w:space="0"/>
            </w:tcBorders>
            <w:vAlign w:val="center"/>
          </w:tcPr>
          <w:p w14:paraId="69F74BE5">
            <w:pPr>
              <w:widowControl/>
              <w:jc w:val="left"/>
              <w:rPr>
                <w:rFonts w:ascii="宋体" w:hAnsi="宋体" w:eastAsia="宋体" w:cs="宋体"/>
                <w:color w:val="000000"/>
                <w:kern w:val="0"/>
                <w:sz w:val="20"/>
                <w:szCs w:val="20"/>
              </w:rPr>
            </w:pPr>
          </w:p>
        </w:tc>
        <w:tc>
          <w:tcPr>
            <w:tcW w:w="1134" w:type="dxa"/>
            <w:vMerge w:val="continue"/>
            <w:tcBorders>
              <w:top w:val="nil"/>
              <w:left w:val="single" w:color="auto" w:sz="4" w:space="0"/>
              <w:bottom w:val="nil"/>
              <w:right w:val="single" w:color="auto" w:sz="4" w:space="0"/>
            </w:tcBorders>
            <w:vAlign w:val="center"/>
          </w:tcPr>
          <w:p w14:paraId="397FEA09">
            <w:pPr>
              <w:widowControl/>
              <w:jc w:val="left"/>
              <w:rPr>
                <w:rFonts w:ascii="宋体" w:hAnsi="宋体" w:eastAsia="宋体" w:cs="宋体"/>
                <w:color w:val="000000"/>
                <w:kern w:val="0"/>
                <w:sz w:val="20"/>
                <w:szCs w:val="20"/>
              </w:rPr>
            </w:pPr>
          </w:p>
        </w:tc>
        <w:tc>
          <w:tcPr>
            <w:tcW w:w="567" w:type="dxa"/>
            <w:gridSpan w:val="2"/>
            <w:vMerge w:val="continue"/>
            <w:tcBorders>
              <w:top w:val="nil"/>
              <w:left w:val="single" w:color="auto" w:sz="4" w:space="0"/>
              <w:bottom w:val="nil"/>
              <w:right w:val="single" w:color="auto" w:sz="4" w:space="0"/>
            </w:tcBorders>
            <w:vAlign w:val="center"/>
          </w:tcPr>
          <w:p w14:paraId="326F42EA">
            <w:pPr>
              <w:widowControl/>
              <w:jc w:val="left"/>
              <w:rPr>
                <w:rFonts w:ascii="宋体" w:hAnsi="宋体" w:eastAsia="宋体" w:cs="宋体"/>
                <w:color w:val="000000"/>
                <w:kern w:val="0"/>
                <w:sz w:val="20"/>
                <w:szCs w:val="20"/>
              </w:rPr>
            </w:pPr>
          </w:p>
        </w:tc>
        <w:tc>
          <w:tcPr>
            <w:tcW w:w="1134" w:type="dxa"/>
            <w:gridSpan w:val="2"/>
            <w:tcBorders>
              <w:top w:val="nil"/>
              <w:left w:val="nil"/>
              <w:bottom w:val="single" w:color="auto" w:sz="4" w:space="0"/>
              <w:right w:val="single" w:color="auto" w:sz="4" w:space="0"/>
            </w:tcBorders>
            <w:shd w:val="clear" w:color="auto" w:fill="auto"/>
            <w:vAlign w:val="center"/>
          </w:tcPr>
          <w:p w14:paraId="1DC66DAE">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时效指标</w:t>
            </w:r>
          </w:p>
        </w:tc>
        <w:tc>
          <w:tcPr>
            <w:tcW w:w="850" w:type="dxa"/>
            <w:tcBorders>
              <w:top w:val="nil"/>
              <w:left w:val="nil"/>
              <w:bottom w:val="single" w:color="auto" w:sz="4" w:space="0"/>
              <w:right w:val="single" w:color="auto" w:sz="4" w:space="0"/>
            </w:tcBorders>
            <w:shd w:val="clear" w:color="auto" w:fill="auto"/>
            <w:vAlign w:val="center"/>
          </w:tcPr>
          <w:p w14:paraId="5645C3A1">
            <w:r>
              <w:rPr>
                <w:rFonts w:hint="eastAsia"/>
              </w:rPr>
              <w:t>完成时间</w:t>
            </w:r>
          </w:p>
        </w:tc>
        <w:tc>
          <w:tcPr>
            <w:tcW w:w="1276" w:type="dxa"/>
            <w:tcBorders>
              <w:top w:val="nil"/>
              <w:left w:val="nil"/>
              <w:bottom w:val="single" w:color="auto" w:sz="4" w:space="0"/>
              <w:right w:val="single" w:color="auto" w:sz="4" w:space="0"/>
            </w:tcBorders>
            <w:shd w:val="clear" w:color="auto" w:fill="auto"/>
            <w:vAlign w:val="center"/>
          </w:tcPr>
          <w:p w14:paraId="37ED6AEC">
            <w:r>
              <w:rPr>
                <w:rFonts w:hint="eastAsia"/>
              </w:rPr>
              <w:t>2023年12月31日前</w:t>
            </w:r>
          </w:p>
        </w:tc>
        <w:tc>
          <w:tcPr>
            <w:tcW w:w="1023" w:type="dxa"/>
            <w:gridSpan w:val="2"/>
            <w:tcBorders>
              <w:top w:val="nil"/>
              <w:left w:val="nil"/>
              <w:bottom w:val="single" w:color="auto" w:sz="4" w:space="0"/>
              <w:right w:val="single" w:color="auto" w:sz="4" w:space="0"/>
            </w:tcBorders>
            <w:shd w:val="clear" w:color="auto" w:fill="auto"/>
            <w:vAlign w:val="center"/>
          </w:tcPr>
          <w:p w14:paraId="551F736D">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15</w:t>
            </w:r>
          </w:p>
        </w:tc>
        <w:tc>
          <w:tcPr>
            <w:tcW w:w="977" w:type="dxa"/>
            <w:tcBorders>
              <w:top w:val="nil"/>
              <w:left w:val="nil"/>
              <w:bottom w:val="single" w:color="auto" w:sz="4" w:space="0"/>
              <w:right w:val="single" w:color="auto" w:sz="4" w:space="0"/>
            </w:tcBorders>
            <w:shd w:val="clear" w:color="auto" w:fill="auto"/>
            <w:vAlign w:val="center"/>
          </w:tcPr>
          <w:p w14:paraId="073D7C63">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15</w:t>
            </w:r>
          </w:p>
        </w:tc>
        <w:tc>
          <w:tcPr>
            <w:tcW w:w="1545" w:type="dxa"/>
            <w:tcBorders>
              <w:top w:val="nil"/>
              <w:left w:val="nil"/>
              <w:bottom w:val="single" w:color="auto" w:sz="4" w:space="0"/>
              <w:right w:val="single" w:color="auto" w:sz="4" w:space="0"/>
            </w:tcBorders>
            <w:shd w:val="clear" w:color="auto" w:fill="auto"/>
            <w:vAlign w:val="center"/>
          </w:tcPr>
          <w:p w14:paraId="48BB79C1">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14:paraId="1A49CFE8">
        <w:tblPrEx>
          <w:tblCellMar>
            <w:top w:w="0" w:type="dxa"/>
            <w:left w:w="108" w:type="dxa"/>
            <w:bottom w:w="0" w:type="dxa"/>
            <w:right w:w="108" w:type="dxa"/>
          </w:tblCellMar>
        </w:tblPrEx>
        <w:trPr>
          <w:trHeight w:val="221" w:hRule="atLeast"/>
        </w:trPr>
        <w:tc>
          <w:tcPr>
            <w:tcW w:w="1418" w:type="dxa"/>
            <w:vMerge w:val="continue"/>
            <w:tcBorders>
              <w:top w:val="nil"/>
              <w:left w:val="single" w:color="auto" w:sz="4" w:space="0"/>
              <w:bottom w:val="single" w:color="auto" w:sz="4" w:space="0"/>
              <w:right w:val="single" w:color="auto" w:sz="4" w:space="0"/>
            </w:tcBorders>
            <w:vAlign w:val="center"/>
          </w:tcPr>
          <w:p w14:paraId="1A08193C">
            <w:pPr>
              <w:widowControl/>
              <w:jc w:val="left"/>
              <w:rPr>
                <w:rFonts w:ascii="宋体" w:hAnsi="宋体" w:eastAsia="宋体" w:cs="宋体"/>
                <w:color w:val="000000"/>
                <w:kern w:val="0"/>
                <w:sz w:val="20"/>
                <w:szCs w:val="20"/>
              </w:rPr>
            </w:pPr>
          </w:p>
        </w:tc>
        <w:tc>
          <w:tcPr>
            <w:tcW w:w="1134" w:type="dxa"/>
            <w:vMerge w:val="continue"/>
            <w:tcBorders>
              <w:top w:val="nil"/>
              <w:left w:val="single" w:color="auto" w:sz="4" w:space="0"/>
              <w:bottom w:val="nil"/>
              <w:right w:val="single" w:color="auto" w:sz="4" w:space="0"/>
            </w:tcBorders>
            <w:vAlign w:val="center"/>
          </w:tcPr>
          <w:p w14:paraId="76AF4087">
            <w:pPr>
              <w:widowControl/>
              <w:jc w:val="left"/>
              <w:rPr>
                <w:rFonts w:ascii="宋体" w:hAnsi="宋体" w:eastAsia="宋体" w:cs="宋体"/>
                <w:color w:val="000000"/>
                <w:kern w:val="0"/>
                <w:sz w:val="20"/>
                <w:szCs w:val="20"/>
              </w:rPr>
            </w:pPr>
          </w:p>
        </w:tc>
        <w:tc>
          <w:tcPr>
            <w:tcW w:w="567" w:type="dxa"/>
            <w:gridSpan w:val="2"/>
            <w:vMerge w:val="continue"/>
            <w:tcBorders>
              <w:top w:val="nil"/>
              <w:left w:val="single" w:color="auto" w:sz="4" w:space="0"/>
              <w:bottom w:val="nil"/>
              <w:right w:val="single" w:color="auto" w:sz="4" w:space="0"/>
            </w:tcBorders>
            <w:vAlign w:val="center"/>
          </w:tcPr>
          <w:p w14:paraId="504A360B">
            <w:pPr>
              <w:widowControl/>
              <w:jc w:val="left"/>
              <w:rPr>
                <w:rFonts w:ascii="宋体" w:hAnsi="宋体" w:eastAsia="宋体" w:cs="宋体"/>
                <w:color w:val="000000"/>
                <w:kern w:val="0"/>
                <w:sz w:val="20"/>
                <w:szCs w:val="20"/>
              </w:rPr>
            </w:pPr>
          </w:p>
        </w:tc>
        <w:tc>
          <w:tcPr>
            <w:tcW w:w="1134" w:type="dxa"/>
            <w:gridSpan w:val="2"/>
            <w:tcBorders>
              <w:top w:val="nil"/>
              <w:left w:val="nil"/>
              <w:bottom w:val="single" w:color="auto" w:sz="4" w:space="0"/>
              <w:right w:val="single" w:color="auto" w:sz="4" w:space="0"/>
            </w:tcBorders>
            <w:shd w:val="clear" w:color="auto" w:fill="auto"/>
            <w:vAlign w:val="center"/>
          </w:tcPr>
          <w:p w14:paraId="3507BA61">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成本指标</w:t>
            </w:r>
          </w:p>
        </w:tc>
        <w:tc>
          <w:tcPr>
            <w:tcW w:w="850" w:type="dxa"/>
            <w:tcBorders>
              <w:top w:val="nil"/>
              <w:left w:val="nil"/>
              <w:bottom w:val="single" w:color="auto" w:sz="4" w:space="0"/>
              <w:right w:val="single" w:color="auto" w:sz="4" w:space="0"/>
            </w:tcBorders>
            <w:shd w:val="clear" w:color="auto" w:fill="auto"/>
            <w:vAlign w:val="center"/>
          </w:tcPr>
          <w:p w14:paraId="2B93555D">
            <w:pPr>
              <w:widowControl/>
              <w:jc w:val="center"/>
              <w:rPr>
                <w:rFonts w:ascii="宋体" w:hAnsi="宋体" w:eastAsia="宋体" w:cs="宋体"/>
                <w:kern w:val="0"/>
                <w:sz w:val="20"/>
                <w:szCs w:val="20"/>
              </w:rPr>
            </w:pPr>
            <w:r>
              <w:rPr>
                <w:rFonts w:hint="eastAsia" w:ascii="宋体" w:hAnsi="宋体" w:eastAsia="宋体" w:cs="宋体"/>
                <w:kern w:val="0"/>
                <w:sz w:val="20"/>
                <w:szCs w:val="20"/>
              </w:rPr>
              <w:t>经费开支控制在预算内</w:t>
            </w:r>
          </w:p>
        </w:tc>
        <w:tc>
          <w:tcPr>
            <w:tcW w:w="1276" w:type="dxa"/>
            <w:tcBorders>
              <w:top w:val="nil"/>
              <w:left w:val="nil"/>
              <w:bottom w:val="single" w:color="auto" w:sz="4" w:space="0"/>
              <w:right w:val="single" w:color="auto" w:sz="4" w:space="0"/>
            </w:tcBorders>
            <w:shd w:val="clear" w:color="auto" w:fill="auto"/>
            <w:vAlign w:val="center"/>
          </w:tcPr>
          <w:p w14:paraId="6F4D0286">
            <w:pPr>
              <w:widowControl/>
              <w:jc w:val="center"/>
              <w:rPr>
                <w:rFonts w:ascii="宋体" w:hAnsi="宋体" w:eastAsia="宋体" w:cs="宋体"/>
                <w:kern w:val="0"/>
                <w:sz w:val="15"/>
                <w:szCs w:val="15"/>
              </w:rPr>
            </w:pPr>
            <w:r>
              <w:rPr>
                <w:rFonts w:hint="eastAsia" w:ascii="宋体" w:hAnsi="宋体" w:eastAsia="宋体" w:cs="宋体"/>
                <w:kern w:val="0"/>
                <w:sz w:val="18"/>
                <w:szCs w:val="18"/>
              </w:rPr>
              <w:t>经费控制在预算内</w:t>
            </w:r>
          </w:p>
        </w:tc>
        <w:tc>
          <w:tcPr>
            <w:tcW w:w="1023" w:type="dxa"/>
            <w:gridSpan w:val="2"/>
            <w:tcBorders>
              <w:top w:val="nil"/>
              <w:left w:val="nil"/>
              <w:bottom w:val="single" w:color="auto" w:sz="4" w:space="0"/>
              <w:right w:val="single" w:color="auto" w:sz="4" w:space="0"/>
            </w:tcBorders>
            <w:shd w:val="clear" w:color="auto" w:fill="auto"/>
            <w:vAlign w:val="center"/>
          </w:tcPr>
          <w:p w14:paraId="102B0D0A">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13</w:t>
            </w:r>
          </w:p>
        </w:tc>
        <w:tc>
          <w:tcPr>
            <w:tcW w:w="977" w:type="dxa"/>
            <w:tcBorders>
              <w:top w:val="nil"/>
              <w:left w:val="nil"/>
              <w:bottom w:val="single" w:color="auto" w:sz="4" w:space="0"/>
              <w:right w:val="single" w:color="auto" w:sz="4" w:space="0"/>
            </w:tcBorders>
            <w:shd w:val="clear" w:color="auto" w:fill="auto"/>
            <w:vAlign w:val="center"/>
          </w:tcPr>
          <w:p w14:paraId="2346B3F4">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13</w:t>
            </w:r>
          </w:p>
        </w:tc>
        <w:tc>
          <w:tcPr>
            <w:tcW w:w="1545" w:type="dxa"/>
            <w:tcBorders>
              <w:top w:val="nil"/>
              <w:left w:val="nil"/>
              <w:bottom w:val="single" w:color="auto" w:sz="4" w:space="0"/>
              <w:right w:val="single" w:color="auto" w:sz="4" w:space="0"/>
            </w:tcBorders>
            <w:shd w:val="clear" w:color="auto" w:fill="auto"/>
            <w:vAlign w:val="center"/>
          </w:tcPr>
          <w:p w14:paraId="5BA2E7EC">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14:paraId="756B9F0D">
        <w:tblPrEx>
          <w:tblCellMar>
            <w:top w:w="0" w:type="dxa"/>
            <w:left w:w="108" w:type="dxa"/>
            <w:bottom w:w="0" w:type="dxa"/>
            <w:right w:w="108" w:type="dxa"/>
          </w:tblCellMar>
        </w:tblPrEx>
        <w:trPr>
          <w:trHeight w:val="685" w:hRule="atLeast"/>
        </w:trPr>
        <w:tc>
          <w:tcPr>
            <w:tcW w:w="1418" w:type="dxa"/>
            <w:vMerge w:val="continue"/>
            <w:tcBorders>
              <w:top w:val="nil"/>
              <w:left w:val="single" w:color="auto" w:sz="4" w:space="0"/>
              <w:bottom w:val="single" w:color="auto" w:sz="4" w:space="0"/>
              <w:right w:val="single" w:color="auto" w:sz="4" w:space="0"/>
            </w:tcBorders>
            <w:vAlign w:val="center"/>
          </w:tcPr>
          <w:p w14:paraId="3237E711">
            <w:pPr>
              <w:widowControl/>
              <w:jc w:val="left"/>
              <w:rPr>
                <w:rFonts w:ascii="宋体" w:hAnsi="宋体" w:eastAsia="宋体" w:cs="宋体"/>
                <w:color w:val="000000"/>
                <w:kern w:val="0"/>
                <w:sz w:val="20"/>
                <w:szCs w:val="20"/>
              </w:rPr>
            </w:pP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1F8F103">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效益指标</w:t>
            </w:r>
          </w:p>
        </w:tc>
        <w:tc>
          <w:tcPr>
            <w:tcW w:w="567"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555BEF8">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履职效益</w:t>
            </w:r>
          </w:p>
        </w:tc>
        <w:tc>
          <w:tcPr>
            <w:tcW w:w="1134" w:type="dxa"/>
            <w:gridSpan w:val="2"/>
            <w:tcBorders>
              <w:top w:val="nil"/>
              <w:left w:val="nil"/>
              <w:bottom w:val="single" w:color="auto" w:sz="4" w:space="0"/>
              <w:right w:val="single" w:color="auto" w:sz="4" w:space="0"/>
            </w:tcBorders>
            <w:shd w:val="clear" w:color="auto" w:fill="auto"/>
            <w:vAlign w:val="center"/>
          </w:tcPr>
          <w:p w14:paraId="7A8A3269">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经济效益</w:t>
            </w:r>
          </w:p>
        </w:tc>
        <w:tc>
          <w:tcPr>
            <w:tcW w:w="850" w:type="dxa"/>
            <w:tcBorders>
              <w:top w:val="nil"/>
              <w:left w:val="nil"/>
              <w:bottom w:val="single" w:color="auto" w:sz="4" w:space="0"/>
              <w:right w:val="single" w:color="auto" w:sz="4" w:space="0"/>
            </w:tcBorders>
            <w:shd w:val="clear" w:color="auto" w:fill="auto"/>
            <w:vAlign w:val="center"/>
          </w:tcPr>
          <w:p w14:paraId="478F0A5B">
            <w:pPr>
              <w:widowControl/>
              <w:jc w:val="center"/>
              <w:rPr>
                <w:rFonts w:ascii="宋体" w:hAnsi="宋体" w:eastAsia="宋体" w:cs="宋体"/>
                <w:kern w:val="0"/>
                <w:sz w:val="20"/>
                <w:szCs w:val="20"/>
              </w:rPr>
            </w:pPr>
            <w:r>
              <w:rPr>
                <w:rFonts w:hint="eastAsia" w:ascii="宋体" w:hAnsi="宋体" w:eastAsia="宋体" w:cs="宋体"/>
                <w:kern w:val="0"/>
                <w:sz w:val="20"/>
                <w:szCs w:val="20"/>
              </w:rPr>
              <w:t>核减资金额</w:t>
            </w:r>
          </w:p>
        </w:tc>
        <w:tc>
          <w:tcPr>
            <w:tcW w:w="1276" w:type="dxa"/>
            <w:tcBorders>
              <w:top w:val="nil"/>
              <w:left w:val="nil"/>
              <w:bottom w:val="single" w:color="auto" w:sz="4" w:space="0"/>
              <w:right w:val="single" w:color="auto" w:sz="4" w:space="0"/>
            </w:tcBorders>
            <w:shd w:val="clear" w:color="auto" w:fill="auto"/>
            <w:vAlign w:val="center"/>
          </w:tcPr>
          <w:p w14:paraId="4FC3A3B2">
            <w:pPr>
              <w:widowControl/>
              <w:jc w:val="center"/>
              <w:rPr>
                <w:rFonts w:ascii="宋体" w:hAnsi="宋体" w:eastAsia="宋体" w:cs="宋体"/>
                <w:kern w:val="0"/>
                <w:sz w:val="20"/>
                <w:szCs w:val="20"/>
              </w:rPr>
            </w:pPr>
            <w:r>
              <w:rPr>
                <w:rFonts w:hint="eastAsia" w:ascii="仿宋_GB2312" w:hAnsi="仿宋" w:eastAsia="仿宋_GB2312" w:cs="仿宋"/>
                <w:sz w:val="18"/>
                <w:szCs w:val="18"/>
              </w:rPr>
              <w:t>3231.76</w:t>
            </w:r>
            <w:r>
              <w:rPr>
                <w:rFonts w:hint="eastAsia" w:ascii="宋体" w:hAnsi="宋体" w:eastAsia="宋体" w:cs="宋体"/>
                <w:kern w:val="0"/>
                <w:sz w:val="18"/>
                <w:szCs w:val="18"/>
              </w:rPr>
              <w:t>万元</w:t>
            </w:r>
          </w:p>
        </w:tc>
        <w:tc>
          <w:tcPr>
            <w:tcW w:w="1023" w:type="dxa"/>
            <w:gridSpan w:val="2"/>
            <w:tcBorders>
              <w:top w:val="nil"/>
              <w:left w:val="nil"/>
              <w:bottom w:val="single" w:color="auto" w:sz="4" w:space="0"/>
              <w:right w:val="single" w:color="auto" w:sz="4" w:space="0"/>
            </w:tcBorders>
            <w:shd w:val="clear" w:color="auto" w:fill="auto"/>
            <w:vAlign w:val="center"/>
          </w:tcPr>
          <w:p w14:paraId="4D490B23">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15</w:t>
            </w:r>
          </w:p>
        </w:tc>
        <w:tc>
          <w:tcPr>
            <w:tcW w:w="977" w:type="dxa"/>
            <w:tcBorders>
              <w:top w:val="nil"/>
              <w:left w:val="nil"/>
              <w:bottom w:val="single" w:color="auto" w:sz="4" w:space="0"/>
              <w:right w:val="single" w:color="auto" w:sz="4" w:space="0"/>
            </w:tcBorders>
            <w:shd w:val="clear" w:color="auto" w:fill="auto"/>
            <w:vAlign w:val="center"/>
          </w:tcPr>
          <w:p w14:paraId="58B8732B">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15</w:t>
            </w:r>
          </w:p>
        </w:tc>
        <w:tc>
          <w:tcPr>
            <w:tcW w:w="1545" w:type="dxa"/>
            <w:tcBorders>
              <w:top w:val="nil"/>
              <w:left w:val="nil"/>
              <w:bottom w:val="single" w:color="auto" w:sz="4" w:space="0"/>
              <w:right w:val="single" w:color="auto" w:sz="4" w:space="0"/>
            </w:tcBorders>
            <w:shd w:val="clear" w:color="auto" w:fill="auto"/>
            <w:vAlign w:val="center"/>
          </w:tcPr>
          <w:p w14:paraId="3C407B9B">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14:paraId="1B1395D4">
        <w:tblPrEx>
          <w:tblCellMar>
            <w:top w:w="0" w:type="dxa"/>
            <w:left w:w="108" w:type="dxa"/>
            <w:bottom w:w="0" w:type="dxa"/>
            <w:right w:w="108" w:type="dxa"/>
          </w:tblCellMar>
        </w:tblPrEx>
        <w:trPr>
          <w:trHeight w:val="255" w:hRule="atLeast"/>
        </w:trPr>
        <w:tc>
          <w:tcPr>
            <w:tcW w:w="1418" w:type="dxa"/>
            <w:vMerge w:val="continue"/>
            <w:tcBorders>
              <w:top w:val="nil"/>
              <w:left w:val="single" w:color="auto" w:sz="4" w:space="0"/>
              <w:bottom w:val="single" w:color="auto" w:sz="4" w:space="0"/>
              <w:right w:val="single" w:color="auto" w:sz="4" w:space="0"/>
            </w:tcBorders>
            <w:vAlign w:val="center"/>
          </w:tcPr>
          <w:p w14:paraId="3714EAC3">
            <w:pPr>
              <w:widowControl/>
              <w:jc w:val="left"/>
              <w:rPr>
                <w:rFonts w:ascii="宋体" w:hAnsi="宋体" w:eastAsia="宋体" w:cs="宋体"/>
                <w:color w:val="000000"/>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3B60E865">
            <w:pPr>
              <w:widowControl/>
              <w:jc w:val="left"/>
              <w:rPr>
                <w:rFonts w:ascii="宋体" w:hAnsi="宋体" w:eastAsia="宋体" w:cs="宋体"/>
                <w:color w:val="000000"/>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338F0EC3">
            <w:pPr>
              <w:widowControl/>
              <w:jc w:val="left"/>
              <w:rPr>
                <w:rFonts w:ascii="宋体" w:hAnsi="宋体" w:eastAsia="宋体" w:cs="宋体"/>
                <w:color w:val="000000"/>
                <w:kern w:val="0"/>
                <w:sz w:val="20"/>
                <w:szCs w:val="20"/>
              </w:rPr>
            </w:pPr>
          </w:p>
        </w:tc>
        <w:tc>
          <w:tcPr>
            <w:tcW w:w="1134" w:type="dxa"/>
            <w:gridSpan w:val="2"/>
            <w:tcBorders>
              <w:top w:val="nil"/>
              <w:left w:val="nil"/>
              <w:bottom w:val="single" w:color="auto" w:sz="4" w:space="0"/>
              <w:right w:val="single" w:color="auto" w:sz="4" w:space="0"/>
            </w:tcBorders>
            <w:shd w:val="clear" w:color="auto" w:fill="auto"/>
            <w:vAlign w:val="center"/>
          </w:tcPr>
          <w:p w14:paraId="683AD603">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社会效益</w:t>
            </w:r>
          </w:p>
        </w:tc>
        <w:tc>
          <w:tcPr>
            <w:tcW w:w="850" w:type="dxa"/>
            <w:tcBorders>
              <w:top w:val="nil"/>
              <w:left w:val="nil"/>
              <w:bottom w:val="single" w:color="auto" w:sz="4" w:space="0"/>
              <w:right w:val="single" w:color="auto" w:sz="4" w:space="0"/>
            </w:tcBorders>
            <w:shd w:val="clear" w:color="auto" w:fill="auto"/>
            <w:vAlign w:val="center"/>
          </w:tcPr>
          <w:p w14:paraId="6EA6D16D">
            <w:pPr>
              <w:widowControl/>
              <w:jc w:val="center"/>
              <w:rPr>
                <w:rFonts w:ascii="宋体" w:hAnsi="宋体" w:eastAsia="宋体" w:cs="宋体"/>
                <w:color w:val="FF0000"/>
                <w:kern w:val="0"/>
                <w:sz w:val="20"/>
                <w:szCs w:val="20"/>
              </w:rPr>
            </w:pPr>
            <w:r>
              <w:rPr>
                <w:rFonts w:hint="eastAsia"/>
              </w:rPr>
              <w:t>长效管理机制健全性</w:t>
            </w:r>
          </w:p>
        </w:tc>
        <w:tc>
          <w:tcPr>
            <w:tcW w:w="1276" w:type="dxa"/>
            <w:tcBorders>
              <w:top w:val="nil"/>
              <w:left w:val="nil"/>
              <w:bottom w:val="single" w:color="auto" w:sz="4" w:space="0"/>
              <w:right w:val="single" w:color="auto" w:sz="4" w:space="0"/>
            </w:tcBorders>
            <w:shd w:val="clear" w:color="auto" w:fill="auto"/>
            <w:vAlign w:val="center"/>
          </w:tcPr>
          <w:p w14:paraId="6999B8B6">
            <w:pPr>
              <w:widowControl/>
              <w:jc w:val="center"/>
              <w:rPr>
                <w:rFonts w:ascii="宋体" w:hAnsi="宋体" w:eastAsia="宋体" w:cs="宋体"/>
                <w:color w:val="FF0000"/>
                <w:kern w:val="0"/>
                <w:sz w:val="15"/>
                <w:szCs w:val="15"/>
              </w:rPr>
            </w:pPr>
            <w:r>
              <w:rPr>
                <w:rFonts w:hint="eastAsia" w:ascii="宋体" w:hAnsi="宋体" w:eastAsia="宋体" w:cs="宋体"/>
                <w:kern w:val="0"/>
                <w:sz w:val="22"/>
              </w:rPr>
              <w:t>健全</w:t>
            </w:r>
          </w:p>
        </w:tc>
        <w:tc>
          <w:tcPr>
            <w:tcW w:w="1023" w:type="dxa"/>
            <w:gridSpan w:val="2"/>
            <w:tcBorders>
              <w:top w:val="nil"/>
              <w:left w:val="nil"/>
              <w:bottom w:val="single" w:color="auto" w:sz="4" w:space="0"/>
              <w:right w:val="single" w:color="auto" w:sz="4" w:space="0"/>
            </w:tcBorders>
            <w:shd w:val="clear" w:color="auto" w:fill="auto"/>
            <w:vAlign w:val="center"/>
          </w:tcPr>
          <w:p w14:paraId="64C99A80">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15</w:t>
            </w:r>
          </w:p>
        </w:tc>
        <w:tc>
          <w:tcPr>
            <w:tcW w:w="977" w:type="dxa"/>
            <w:tcBorders>
              <w:top w:val="nil"/>
              <w:left w:val="nil"/>
              <w:bottom w:val="single" w:color="auto" w:sz="4" w:space="0"/>
              <w:right w:val="single" w:color="auto" w:sz="4" w:space="0"/>
            </w:tcBorders>
            <w:shd w:val="clear" w:color="auto" w:fill="auto"/>
            <w:vAlign w:val="center"/>
          </w:tcPr>
          <w:p w14:paraId="6811FEBE">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15</w:t>
            </w:r>
          </w:p>
        </w:tc>
        <w:tc>
          <w:tcPr>
            <w:tcW w:w="1545" w:type="dxa"/>
            <w:tcBorders>
              <w:top w:val="nil"/>
              <w:left w:val="nil"/>
              <w:bottom w:val="single" w:color="auto" w:sz="4" w:space="0"/>
              <w:right w:val="single" w:color="auto" w:sz="4" w:space="0"/>
            </w:tcBorders>
            <w:shd w:val="clear" w:color="auto" w:fill="auto"/>
            <w:vAlign w:val="center"/>
          </w:tcPr>
          <w:p w14:paraId="3E1CFEB6">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14:paraId="0BBE2B69">
        <w:tblPrEx>
          <w:tblCellMar>
            <w:top w:w="0" w:type="dxa"/>
            <w:left w:w="108" w:type="dxa"/>
            <w:bottom w:w="0" w:type="dxa"/>
            <w:right w:w="108" w:type="dxa"/>
          </w:tblCellMar>
        </w:tblPrEx>
        <w:trPr>
          <w:trHeight w:val="287" w:hRule="atLeast"/>
        </w:trPr>
        <w:tc>
          <w:tcPr>
            <w:tcW w:w="1418" w:type="dxa"/>
            <w:vMerge w:val="continue"/>
            <w:tcBorders>
              <w:top w:val="nil"/>
              <w:left w:val="single" w:color="auto" w:sz="4" w:space="0"/>
              <w:bottom w:val="single" w:color="auto" w:sz="4" w:space="0"/>
              <w:right w:val="single" w:color="auto" w:sz="4" w:space="0"/>
            </w:tcBorders>
            <w:vAlign w:val="center"/>
          </w:tcPr>
          <w:p w14:paraId="259C8417">
            <w:pPr>
              <w:widowControl/>
              <w:jc w:val="left"/>
              <w:rPr>
                <w:rFonts w:ascii="宋体" w:hAnsi="宋体" w:eastAsia="宋体" w:cs="宋体"/>
                <w:color w:val="000000"/>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1B193074">
            <w:pPr>
              <w:widowControl/>
              <w:jc w:val="left"/>
              <w:rPr>
                <w:rFonts w:ascii="宋体" w:hAnsi="宋体" w:eastAsia="宋体" w:cs="宋体"/>
                <w:color w:val="000000"/>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6639B737">
            <w:pPr>
              <w:widowControl/>
              <w:jc w:val="left"/>
              <w:rPr>
                <w:rFonts w:ascii="宋体" w:hAnsi="宋体" w:eastAsia="宋体" w:cs="宋体"/>
                <w:color w:val="000000"/>
                <w:kern w:val="0"/>
                <w:sz w:val="20"/>
                <w:szCs w:val="20"/>
              </w:rPr>
            </w:pPr>
          </w:p>
        </w:tc>
        <w:tc>
          <w:tcPr>
            <w:tcW w:w="1134" w:type="dxa"/>
            <w:gridSpan w:val="2"/>
            <w:tcBorders>
              <w:top w:val="nil"/>
              <w:left w:val="nil"/>
              <w:bottom w:val="single" w:color="auto" w:sz="4" w:space="0"/>
              <w:right w:val="single" w:color="auto" w:sz="4" w:space="0"/>
            </w:tcBorders>
            <w:shd w:val="clear" w:color="auto" w:fill="auto"/>
            <w:vAlign w:val="center"/>
          </w:tcPr>
          <w:p w14:paraId="4A565699">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生态效益</w:t>
            </w:r>
          </w:p>
        </w:tc>
        <w:tc>
          <w:tcPr>
            <w:tcW w:w="850" w:type="dxa"/>
            <w:tcBorders>
              <w:top w:val="nil"/>
              <w:left w:val="nil"/>
              <w:bottom w:val="single" w:color="auto" w:sz="4" w:space="0"/>
              <w:right w:val="single" w:color="auto" w:sz="4" w:space="0"/>
            </w:tcBorders>
            <w:shd w:val="clear" w:color="auto" w:fill="auto"/>
            <w:vAlign w:val="center"/>
          </w:tcPr>
          <w:p w14:paraId="6909AD05">
            <w:pPr>
              <w:widowControl/>
              <w:jc w:val="center"/>
              <w:rPr>
                <w:rFonts w:ascii="宋体" w:hAnsi="宋体" w:eastAsia="宋体" w:cs="宋体"/>
                <w:color w:val="FF0000"/>
                <w:kern w:val="0"/>
                <w:sz w:val="20"/>
                <w:szCs w:val="20"/>
              </w:rPr>
            </w:pPr>
            <w:r>
              <w:rPr>
                <w:rFonts w:hint="eastAsia"/>
              </w:rPr>
              <w:t>不适用</w:t>
            </w:r>
          </w:p>
        </w:tc>
        <w:tc>
          <w:tcPr>
            <w:tcW w:w="1276" w:type="dxa"/>
            <w:tcBorders>
              <w:top w:val="nil"/>
              <w:left w:val="nil"/>
              <w:bottom w:val="single" w:color="auto" w:sz="4" w:space="0"/>
              <w:right w:val="single" w:color="auto" w:sz="4" w:space="0"/>
            </w:tcBorders>
            <w:shd w:val="clear" w:color="auto" w:fill="auto"/>
            <w:vAlign w:val="center"/>
          </w:tcPr>
          <w:p w14:paraId="4057EB34">
            <w:pPr>
              <w:widowControl/>
              <w:jc w:val="center"/>
              <w:rPr>
                <w:rFonts w:ascii="宋体" w:hAnsi="宋体" w:eastAsia="宋体" w:cs="宋体"/>
                <w:color w:val="FF0000"/>
                <w:kern w:val="0"/>
                <w:sz w:val="15"/>
                <w:szCs w:val="15"/>
              </w:rPr>
            </w:pPr>
          </w:p>
        </w:tc>
        <w:tc>
          <w:tcPr>
            <w:tcW w:w="1023" w:type="dxa"/>
            <w:gridSpan w:val="2"/>
            <w:tcBorders>
              <w:top w:val="nil"/>
              <w:left w:val="nil"/>
              <w:bottom w:val="single" w:color="auto" w:sz="4" w:space="0"/>
              <w:right w:val="single" w:color="auto" w:sz="4" w:space="0"/>
            </w:tcBorders>
            <w:shd w:val="clear" w:color="auto" w:fill="auto"/>
            <w:vAlign w:val="center"/>
          </w:tcPr>
          <w:p w14:paraId="67EE65E4">
            <w:pPr>
              <w:widowControl/>
              <w:jc w:val="center"/>
              <w:rPr>
                <w:rFonts w:ascii="宋体" w:hAnsi="宋体" w:eastAsia="宋体" w:cs="宋体"/>
                <w:color w:val="000000"/>
                <w:kern w:val="0"/>
                <w:sz w:val="20"/>
                <w:szCs w:val="20"/>
              </w:rPr>
            </w:pPr>
          </w:p>
        </w:tc>
        <w:tc>
          <w:tcPr>
            <w:tcW w:w="977" w:type="dxa"/>
            <w:tcBorders>
              <w:top w:val="nil"/>
              <w:left w:val="nil"/>
              <w:bottom w:val="single" w:color="auto" w:sz="4" w:space="0"/>
              <w:right w:val="single" w:color="auto" w:sz="4" w:space="0"/>
            </w:tcBorders>
            <w:shd w:val="clear" w:color="auto" w:fill="auto"/>
            <w:vAlign w:val="center"/>
          </w:tcPr>
          <w:p w14:paraId="33C7D7EA">
            <w:pPr>
              <w:widowControl/>
              <w:jc w:val="center"/>
              <w:rPr>
                <w:rFonts w:ascii="宋体" w:hAnsi="宋体" w:eastAsia="宋体" w:cs="宋体"/>
                <w:color w:val="000000"/>
                <w:kern w:val="0"/>
                <w:sz w:val="20"/>
                <w:szCs w:val="20"/>
              </w:rPr>
            </w:pPr>
          </w:p>
        </w:tc>
        <w:tc>
          <w:tcPr>
            <w:tcW w:w="1545" w:type="dxa"/>
            <w:tcBorders>
              <w:top w:val="nil"/>
              <w:left w:val="nil"/>
              <w:bottom w:val="single" w:color="auto" w:sz="4" w:space="0"/>
              <w:right w:val="single" w:color="auto" w:sz="4" w:space="0"/>
            </w:tcBorders>
            <w:shd w:val="clear" w:color="auto" w:fill="auto"/>
            <w:vAlign w:val="center"/>
          </w:tcPr>
          <w:p w14:paraId="3058E38D">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14:paraId="2DEBD497">
        <w:tblPrEx>
          <w:tblCellMar>
            <w:top w:w="0" w:type="dxa"/>
            <w:left w:w="108" w:type="dxa"/>
            <w:bottom w:w="0" w:type="dxa"/>
            <w:right w:w="108" w:type="dxa"/>
          </w:tblCellMar>
        </w:tblPrEx>
        <w:trPr>
          <w:trHeight w:val="337" w:hRule="atLeast"/>
        </w:trPr>
        <w:tc>
          <w:tcPr>
            <w:tcW w:w="1418" w:type="dxa"/>
            <w:vMerge w:val="continue"/>
            <w:tcBorders>
              <w:top w:val="nil"/>
              <w:left w:val="single" w:color="auto" w:sz="4" w:space="0"/>
              <w:bottom w:val="single" w:color="auto" w:sz="4" w:space="0"/>
              <w:right w:val="single" w:color="auto" w:sz="4" w:space="0"/>
            </w:tcBorders>
            <w:vAlign w:val="center"/>
          </w:tcPr>
          <w:p w14:paraId="4F631237">
            <w:pPr>
              <w:widowControl/>
              <w:jc w:val="left"/>
              <w:rPr>
                <w:rFonts w:ascii="宋体" w:hAnsi="宋体" w:eastAsia="宋体" w:cs="宋体"/>
                <w:color w:val="000000"/>
                <w:kern w:val="0"/>
                <w:sz w:val="20"/>
                <w:szCs w:val="20"/>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246BADAA">
            <w:pPr>
              <w:widowControl/>
              <w:jc w:val="left"/>
              <w:rPr>
                <w:rFonts w:ascii="宋体" w:hAnsi="宋体" w:eastAsia="宋体" w:cs="宋体"/>
                <w:color w:val="000000"/>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28D5B6B7">
            <w:pPr>
              <w:widowControl/>
              <w:jc w:val="left"/>
              <w:rPr>
                <w:rFonts w:ascii="宋体" w:hAnsi="宋体" w:eastAsia="宋体" w:cs="宋体"/>
                <w:color w:val="000000"/>
                <w:kern w:val="0"/>
                <w:sz w:val="20"/>
                <w:szCs w:val="20"/>
              </w:rPr>
            </w:pPr>
          </w:p>
        </w:tc>
        <w:tc>
          <w:tcPr>
            <w:tcW w:w="1134" w:type="dxa"/>
            <w:gridSpan w:val="2"/>
            <w:tcBorders>
              <w:top w:val="nil"/>
              <w:left w:val="nil"/>
              <w:bottom w:val="single" w:color="auto" w:sz="4" w:space="0"/>
              <w:right w:val="single" w:color="auto" w:sz="4" w:space="0"/>
            </w:tcBorders>
            <w:shd w:val="clear" w:color="auto" w:fill="auto"/>
            <w:vAlign w:val="center"/>
          </w:tcPr>
          <w:p w14:paraId="006C05A0">
            <w:pPr>
              <w:widowControl/>
              <w:rPr>
                <w:rFonts w:ascii="宋体" w:hAnsi="宋体" w:eastAsia="宋体" w:cs="宋体"/>
                <w:kern w:val="0"/>
                <w:sz w:val="20"/>
                <w:szCs w:val="20"/>
              </w:rPr>
            </w:pPr>
            <w:r>
              <w:rPr>
                <w:rFonts w:hint="eastAsia" w:ascii="宋体" w:hAnsi="宋体" w:eastAsia="宋体" w:cs="宋体"/>
                <w:kern w:val="0"/>
                <w:sz w:val="20"/>
                <w:szCs w:val="20"/>
              </w:rPr>
              <w:t>可持续影响指标</w:t>
            </w:r>
          </w:p>
        </w:tc>
        <w:tc>
          <w:tcPr>
            <w:tcW w:w="850" w:type="dxa"/>
            <w:tcBorders>
              <w:top w:val="nil"/>
              <w:left w:val="nil"/>
              <w:bottom w:val="single" w:color="auto" w:sz="4" w:space="0"/>
              <w:right w:val="single" w:color="auto" w:sz="4" w:space="0"/>
            </w:tcBorders>
            <w:shd w:val="clear" w:color="auto" w:fill="auto"/>
            <w:vAlign w:val="center"/>
          </w:tcPr>
          <w:p w14:paraId="0886E347">
            <w:pPr>
              <w:widowControl/>
              <w:rPr>
                <w:rFonts w:ascii="宋体" w:hAnsi="宋体" w:eastAsia="宋体" w:cs="宋体"/>
                <w:color w:val="FF0000"/>
                <w:kern w:val="0"/>
                <w:sz w:val="20"/>
                <w:szCs w:val="20"/>
              </w:rPr>
            </w:pPr>
            <w:r>
              <w:rPr>
                <w:rFonts w:hint="eastAsia"/>
              </w:rPr>
              <w:t>不适用</w:t>
            </w:r>
          </w:p>
        </w:tc>
        <w:tc>
          <w:tcPr>
            <w:tcW w:w="1276" w:type="dxa"/>
            <w:tcBorders>
              <w:top w:val="nil"/>
              <w:left w:val="nil"/>
              <w:bottom w:val="single" w:color="auto" w:sz="4" w:space="0"/>
              <w:right w:val="single" w:color="auto" w:sz="4" w:space="0"/>
            </w:tcBorders>
            <w:shd w:val="clear" w:color="auto" w:fill="auto"/>
            <w:vAlign w:val="center"/>
          </w:tcPr>
          <w:p w14:paraId="3C2EE791">
            <w:pPr>
              <w:widowControl/>
              <w:rPr>
                <w:rFonts w:ascii="宋体" w:hAnsi="宋体" w:eastAsia="宋体" w:cs="宋体"/>
                <w:color w:val="FF0000"/>
                <w:kern w:val="0"/>
                <w:sz w:val="20"/>
                <w:szCs w:val="20"/>
              </w:rPr>
            </w:pPr>
          </w:p>
        </w:tc>
        <w:tc>
          <w:tcPr>
            <w:tcW w:w="1023" w:type="dxa"/>
            <w:gridSpan w:val="2"/>
            <w:tcBorders>
              <w:top w:val="nil"/>
              <w:left w:val="nil"/>
              <w:bottom w:val="single" w:color="auto" w:sz="4" w:space="0"/>
              <w:right w:val="single" w:color="auto" w:sz="4" w:space="0"/>
            </w:tcBorders>
            <w:shd w:val="clear" w:color="auto" w:fill="auto"/>
            <w:vAlign w:val="center"/>
          </w:tcPr>
          <w:p w14:paraId="268CB20C">
            <w:pPr>
              <w:widowControl/>
              <w:jc w:val="center"/>
              <w:rPr>
                <w:rFonts w:ascii="宋体" w:hAnsi="宋体" w:eastAsia="宋体" w:cs="宋体"/>
                <w:kern w:val="0"/>
                <w:sz w:val="20"/>
                <w:szCs w:val="20"/>
              </w:rPr>
            </w:pPr>
          </w:p>
        </w:tc>
        <w:tc>
          <w:tcPr>
            <w:tcW w:w="977" w:type="dxa"/>
            <w:tcBorders>
              <w:top w:val="nil"/>
              <w:left w:val="nil"/>
              <w:bottom w:val="single" w:color="auto" w:sz="4" w:space="0"/>
              <w:right w:val="single" w:color="auto" w:sz="4" w:space="0"/>
            </w:tcBorders>
            <w:shd w:val="clear" w:color="auto" w:fill="auto"/>
            <w:vAlign w:val="center"/>
          </w:tcPr>
          <w:p w14:paraId="1F8708AA">
            <w:pPr>
              <w:widowControl/>
              <w:jc w:val="center"/>
              <w:rPr>
                <w:rFonts w:ascii="宋体" w:hAnsi="宋体" w:eastAsia="宋体" w:cs="宋体"/>
                <w:kern w:val="0"/>
                <w:sz w:val="20"/>
                <w:szCs w:val="20"/>
              </w:rPr>
            </w:pPr>
          </w:p>
        </w:tc>
        <w:tc>
          <w:tcPr>
            <w:tcW w:w="1545" w:type="dxa"/>
            <w:tcBorders>
              <w:top w:val="nil"/>
              <w:left w:val="nil"/>
              <w:bottom w:val="single" w:color="auto" w:sz="4" w:space="0"/>
              <w:right w:val="single" w:color="auto" w:sz="4" w:space="0"/>
            </w:tcBorders>
            <w:shd w:val="clear" w:color="auto" w:fill="auto"/>
            <w:vAlign w:val="center"/>
          </w:tcPr>
          <w:p w14:paraId="70C9C255">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r>
      <w:tr w14:paraId="66529917">
        <w:tblPrEx>
          <w:tblCellMar>
            <w:top w:w="0" w:type="dxa"/>
            <w:left w:w="108" w:type="dxa"/>
            <w:bottom w:w="0" w:type="dxa"/>
            <w:right w:w="108" w:type="dxa"/>
          </w:tblCellMar>
        </w:tblPrEx>
        <w:trPr>
          <w:trHeight w:val="384" w:hRule="atLeast"/>
        </w:trPr>
        <w:tc>
          <w:tcPr>
            <w:tcW w:w="1418" w:type="dxa"/>
            <w:vMerge w:val="continue"/>
            <w:tcBorders>
              <w:top w:val="nil"/>
              <w:left w:val="single" w:color="auto" w:sz="4" w:space="0"/>
              <w:bottom w:val="single" w:color="auto" w:sz="4" w:space="0"/>
              <w:right w:val="single" w:color="auto" w:sz="4" w:space="0"/>
            </w:tcBorders>
            <w:vAlign w:val="center"/>
          </w:tcPr>
          <w:p w14:paraId="199590B8">
            <w:pPr>
              <w:widowControl/>
              <w:jc w:val="left"/>
              <w:rPr>
                <w:rFonts w:ascii="宋体" w:hAnsi="宋体" w:eastAsia="宋体" w:cs="宋体"/>
                <w:color w:val="000000"/>
                <w:kern w:val="0"/>
                <w:sz w:val="20"/>
                <w:szCs w:val="20"/>
              </w:rPr>
            </w:pPr>
          </w:p>
        </w:tc>
        <w:tc>
          <w:tcPr>
            <w:tcW w:w="1134" w:type="dxa"/>
            <w:tcBorders>
              <w:top w:val="nil"/>
              <w:left w:val="nil"/>
              <w:bottom w:val="single" w:color="auto" w:sz="4" w:space="0"/>
              <w:right w:val="single" w:color="auto" w:sz="4" w:space="0"/>
            </w:tcBorders>
            <w:shd w:val="clear" w:color="auto" w:fill="auto"/>
            <w:vAlign w:val="center"/>
          </w:tcPr>
          <w:p w14:paraId="1E1DE7F6">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满意度指标</w:t>
            </w:r>
          </w:p>
        </w:tc>
        <w:tc>
          <w:tcPr>
            <w:tcW w:w="567" w:type="dxa"/>
            <w:gridSpan w:val="2"/>
            <w:tcBorders>
              <w:top w:val="nil"/>
              <w:left w:val="nil"/>
              <w:bottom w:val="nil"/>
              <w:right w:val="nil"/>
            </w:tcBorders>
            <w:shd w:val="clear" w:color="auto" w:fill="auto"/>
            <w:noWrap/>
            <w:vAlign w:val="center"/>
          </w:tcPr>
          <w:p w14:paraId="50C6B2F9">
            <w:pPr>
              <w:widowControl/>
              <w:jc w:val="center"/>
              <w:rPr>
                <w:rFonts w:ascii="宋体" w:hAnsi="宋体" w:eastAsia="宋体" w:cs="宋体"/>
                <w:kern w:val="0"/>
                <w:sz w:val="20"/>
                <w:szCs w:val="20"/>
              </w:rPr>
            </w:pPr>
            <w:r>
              <w:rPr>
                <w:rFonts w:hint="eastAsia" w:ascii="宋体" w:hAnsi="宋体" w:eastAsia="宋体" w:cs="宋体"/>
                <w:kern w:val="0"/>
                <w:sz w:val="20"/>
                <w:szCs w:val="20"/>
              </w:rPr>
              <w:t>结果效益</w:t>
            </w:r>
          </w:p>
        </w:tc>
        <w:tc>
          <w:tcPr>
            <w:tcW w:w="1134" w:type="dxa"/>
            <w:gridSpan w:val="2"/>
            <w:tcBorders>
              <w:top w:val="nil"/>
              <w:left w:val="single" w:color="auto" w:sz="4" w:space="0"/>
              <w:bottom w:val="single" w:color="auto" w:sz="4" w:space="0"/>
              <w:right w:val="single" w:color="auto" w:sz="4" w:space="0"/>
            </w:tcBorders>
            <w:shd w:val="clear" w:color="auto" w:fill="auto"/>
            <w:vAlign w:val="center"/>
          </w:tcPr>
          <w:p w14:paraId="1655DA21">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服务对象满意度指标</w:t>
            </w:r>
          </w:p>
        </w:tc>
        <w:tc>
          <w:tcPr>
            <w:tcW w:w="850" w:type="dxa"/>
            <w:tcBorders>
              <w:top w:val="nil"/>
              <w:left w:val="nil"/>
              <w:bottom w:val="single" w:color="auto" w:sz="4" w:space="0"/>
              <w:right w:val="single" w:color="auto" w:sz="4" w:space="0"/>
            </w:tcBorders>
            <w:shd w:val="clear" w:color="auto" w:fill="auto"/>
            <w:vAlign w:val="center"/>
          </w:tcPr>
          <w:p w14:paraId="144C8643">
            <w:pPr>
              <w:widowControl/>
              <w:jc w:val="center"/>
              <w:rPr>
                <w:rFonts w:ascii="宋体" w:hAnsi="宋体" w:cs="宋体"/>
                <w:color w:val="FF0000"/>
                <w:kern w:val="0"/>
                <w:sz w:val="20"/>
                <w:szCs w:val="20"/>
              </w:rPr>
            </w:pPr>
            <w:r>
              <w:rPr>
                <w:rFonts w:hint="eastAsia" w:ascii="宋体" w:hAnsi="宋体" w:eastAsia="宋体" w:cs="宋体"/>
                <w:color w:val="000000"/>
                <w:kern w:val="0"/>
                <w:sz w:val="20"/>
                <w:szCs w:val="20"/>
              </w:rPr>
              <w:t>满意度</w:t>
            </w:r>
            <w:r>
              <w:rPr>
                <w:rFonts w:hint="eastAsia"/>
              </w:rPr>
              <w:t>≥100%</w:t>
            </w:r>
          </w:p>
        </w:tc>
        <w:tc>
          <w:tcPr>
            <w:tcW w:w="1276" w:type="dxa"/>
            <w:tcBorders>
              <w:top w:val="nil"/>
              <w:left w:val="nil"/>
              <w:bottom w:val="single" w:color="auto" w:sz="4" w:space="0"/>
              <w:right w:val="single" w:color="auto" w:sz="4" w:space="0"/>
            </w:tcBorders>
            <w:shd w:val="clear" w:color="auto" w:fill="auto"/>
            <w:vAlign w:val="center"/>
          </w:tcPr>
          <w:p w14:paraId="401D9869">
            <w:pPr>
              <w:widowControl/>
              <w:jc w:val="center"/>
              <w:rPr>
                <w:rFonts w:ascii="宋体" w:hAnsi="宋体" w:eastAsia="宋体" w:cs="宋体"/>
                <w:color w:val="FF0000"/>
                <w:kern w:val="0"/>
                <w:sz w:val="20"/>
                <w:szCs w:val="20"/>
              </w:rPr>
            </w:pPr>
            <w:r>
              <w:rPr>
                <w:rFonts w:hint="eastAsia" w:ascii="宋体" w:hAnsi="宋体" w:eastAsia="宋体" w:cs="宋体"/>
                <w:kern w:val="0"/>
                <w:sz w:val="20"/>
                <w:szCs w:val="20"/>
              </w:rPr>
              <w:t>100%</w:t>
            </w:r>
          </w:p>
        </w:tc>
        <w:tc>
          <w:tcPr>
            <w:tcW w:w="1023" w:type="dxa"/>
            <w:gridSpan w:val="2"/>
            <w:tcBorders>
              <w:top w:val="nil"/>
              <w:left w:val="nil"/>
              <w:bottom w:val="single" w:color="auto" w:sz="4" w:space="0"/>
              <w:right w:val="single" w:color="auto" w:sz="4" w:space="0"/>
            </w:tcBorders>
            <w:shd w:val="clear" w:color="auto" w:fill="auto"/>
            <w:vAlign w:val="center"/>
          </w:tcPr>
          <w:p w14:paraId="4322C0E4">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12</w:t>
            </w:r>
          </w:p>
        </w:tc>
        <w:tc>
          <w:tcPr>
            <w:tcW w:w="977" w:type="dxa"/>
            <w:tcBorders>
              <w:top w:val="nil"/>
              <w:left w:val="nil"/>
              <w:bottom w:val="single" w:color="auto" w:sz="4" w:space="0"/>
              <w:right w:val="single" w:color="auto" w:sz="4" w:space="0"/>
            </w:tcBorders>
            <w:shd w:val="clear" w:color="auto" w:fill="auto"/>
            <w:vAlign w:val="center"/>
          </w:tcPr>
          <w:p w14:paraId="1724D5AD">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12</w:t>
            </w:r>
          </w:p>
        </w:tc>
        <w:tc>
          <w:tcPr>
            <w:tcW w:w="1545" w:type="dxa"/>
            <w:tcBorders>
              <w:top w:val="nil"/>
              <w:left w:val="nil"/>
              <w:bottom w:val="single" w:color="auto" w:sz="4" w:space="0"/>
              <w:right w:val="single" w:color="auto" w:sz="4" w:space="0"/>
            </w:tcBorders>
            <w:shd w:val="clear" w:color="auto" w:fill="auto"/>
            <w:vAlign w:val="center"/>
          </w:tcPr>
          <w:p w14:paraId="3A10DE79">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r>
      <w:tr w14:paraId="1E0B7F74">
        <w:tblPrEx>
          <w:tblCellMar>
            <w:top w:w="0" w:type="dxa"/>
            <w:left w:w="108" w:type="dxa"/>
            <w:bottom w:w="0" w:type="dxa"/>
            <w:right w:w="108" w:type="dxa"/>
          </w:tblCellMar>
        </w:tblPrEx>
        <w:trPr>
          <w:trHeight w:val="688" w:hRule="atLeast"/>
        </w:trPr>
        <w:tc>
          <w:tcPr>
            <w:tcW w:w="1418" w:type="dxa"/>
            <w:tcBorders>
              <w:top w:val="nil"/>
              <w:left w:val="single" w:color="auto" w:sz="4" w:space="0"/>
              <w:bottom w:val="single" w:color="auto" w:sz="4" w:space="0"/>
              <w:right w:val="single" w:color="auto" w:sz="4" w:space="0"/>
            </w:tcBorders>
            <w:shd w:val="clear" w:color="auto" w:fill="auto"/>
            <w:noWrap/>
            <w:vAlign w:val="center"/>
          </w:tcPr>
          <w:p w14:paraId="12B8C5AA">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134" w:type="dxa"/>
            <w:tcBorders>
              <w:top w:val="nil"/>
              <w:left w:val="nil"/>
              <w:bottom w:val="single" w:color="auto" w:sz="4" w:space="0"/>
              <w:right w:val="single" w:color="auto" w:sz="4" w:space="0"/>
            </w:tcBorders>
            <w:shd w:val="clear" w:color="auto" w:fill="auto"/>
            <w:noWrap/>
            <w:vAlign w:val="center"/>
          </w:tcPr>
          <w:p w14:paraId="61FB540B">
            <w:pPr>
              <w:widowControl/>
              <w:jc w:val="center"/>
              <w:rPr>
                <w:rFonts w:ascii="宋体" w:hAnsi="宋体" w:eastAsia="宋体" w:cs="宋体"/>
                <w:kern w:val="0"/>
                <w:sz w:val="20"/>
                <w:szCs w:val="20"/>
              </w:rPr>
            </w:pPr>
            <w:r>
              <w:rPr>
                <w:rFonts w:hint="eastAsia" w:ascii="宋体" w:hAnsi="宋体" w:eastAsia="宋体" w:cs="宋体"/>
                <w:kern w:val="0"/>
                <w:sz w:val="20"/>
                <w:szCs w:val="20"/>
              </w:rPr>
              <w:t>合计</w:t>
            </w:r>
          </w:p>
        </w:tc>
        <w:tc>
          <w:tcPr>
            <w:tcW w:w="567" w:type="dxa"/>
            <w:gridSpan w:val="2"/>
            <w:tcBorders>
              <w:top w:val="single" w:color="auto" w:sz="4" w:space="0"/>
              <w:left w:val="nil"/>
              <w:bottom w:val="single" w:color="auto" w:sz="4" w:space="0"/>
              <w:right w:val="single" w:color="auto" w:sz="4" w:space="0"/>
            </w:tcBorders>
            <w:shd w:val="clear" w:color="auto" w:fill="auto"/>
            <w:noWrap/>
            <w:vAlign w:val="center"/>
          </w:tcPr>
          <w:p w14:paraId="4EC056DA">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134" w:type="dxa"/>
            <w:gridSpan w:val="2"/>
            <w:tcBorders>
              <w:top w:val="nil"/>
              <w:left w:val="nil"/>
              <w:bottom w:val="single" w:color="auto" w:sz="4" w:space="0"/>
              <w:right w:val="single" w:color="auto" w:sz="4" w:space="0"/>
            </w:tcBorders>
            <w:shd w:val="clear" w:color="auto" w:fill="auto"/>
            <w:noWrap/>
            <w:vAlign w:val="center"/>
          </w:tcPr>
          <w:p w14:paraId="1C71A534">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850" w:type="dxa"/>
            <w:tcBorders>
              <w:top w:val="nil"/>
              <w:left w:val="nil"/>
              <w:bottom w:val="single" w:color="auto" w:sz="4" w:space="0"/>
              <w:right w:val="single" w:color="auto" w:sz="4" w:space="0"/>
            </w:tcBorders>
            <w:shd w:val="clear" w:color="auto" w:fill="auto"/>
            <w:noWrap/>
            <w:vAlign w:val="center"/>
          </w:tcPr>
          <w:p w14:paraId="27A956FF">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76" w:type="dxa"/>
            <w:tcBorders>
              <w:top w:val="nil"/>
              <w:left w:val="nil"/>
              <w:bottom w:val="single" w:color="auto" w:sz="4" w:space="0"/>
              <w:right w:val="single" w:color="auto" w:sz="4" w:space="0"/>
            </w:tcBorders>
            <w:shd w:val="clear" w:color="auto" w:fill="auto"/>
            <w:noWrap/>
            <w:vAlign w:val="center"/>
          </w:tcPr>
          <w:p w14:paraId="6C61CBDA">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023" w:type="dxa"/>
            <w:gridSpan w:val="2"/>
            <w:tcBorders>
              <w:top w:val="nil"/>
              <w:left w:val="nil"/>
              <w:bottom w:val="single" w:color="auto" w:sz="4" w:space="0"/>
              <w:right w:val="single" w:color="auto" w:sz="4" w:space="0"/>
            </w:tcBorders>
            <w:shd w:val="clear" w:color="auto" w:fill="auto"/>
            <w:noWrap/>
            <w:vAlign w:val="center"/>
          </w:tcPr>
          <w:p w14:paraId="629C0463">
            <w:pPr>
              <w:widowControl/>
              <w:jc w:val="center"/>
              <w:rPr>
                <w:rFonts w:ascii="宋体" w:hAnsi="宋体" w:eastAsia="宋体" w:cs="宋体"/>
                <w:kern w:val="0"/>
                <w:sz w:val="20"/>
                <w:szCs w:val="20"/>
              </w:rPr>
            </w:pPr>
            <w:r>
              <w:rPr>
                <w:rFonts w:hint="eastAsia" w:ascii="宋体" w:hAnsi="宋体" w:eastAsia="宋体" w:cs="宋体"/>
                <w:kern w:val="0"/>
                <w:sz w:val="20"/>
                <w:szCs w:val="20"/>
              </w:rPr>
              <w:t>100</w:t>
            </w:r>
          </w:p>
        </w:tc>
        <w:tc>
          <w:tcPr>
            <w:tcW w:w="977" w:type="dxa"/>
            <w:tcBorders>
              <w:top w:val="nil"/>
              <w:left w:val="nil"/>
              <w:bottom w:val="single" w:color="auto" w:sz="4" w:space="0"/>
              <w:right w:val="single" w:color="auto" w:sz="4" w:space="0"/>
            </w:tcBorders>
            <w:shd w:val="clear" w:color="auto" w:fill="auto"/>
            <w:noWrap/>
            <w:vAlign w:val="center"/>
          </w:tcPr>
          <w:p w14:paraId="2AF86E78">
            <w:pPr>
              <w:widowControl/>
              <w:jc w:val="center"/>
              <w:rPr>
                <w:rFonts w:ascii="宋体" w:hAnsi="宋体" w:eastAsia="宋体" w:cs="宋体"/>
                <w:color w:val="FF0000"/>
                <w:kern w:val="0"/>
                <w:sz w:val="20"/>
                <w:szCs w:val="20"/>
              </w:rPr>
            </w:pPr>
            <w:r>
              <w:rPr>
                <w:rFonts w:hint="eastAsia" w:ascii="宋体" w:hAnsi="宋体" w:eastAsia="宋体" w:cs="宋体"/>
                <w:kern w:val="0"/>
                <w:sz w:val="20"/>
                <w:szCs w:val="20"/>
              </w:rPr>
              <w:t>100</w:t>
            </w:r>
          </w:p>
        </w:tc>
        <w:tc>
          <w:tcPr>
            <w:tcW w:w="1545" w:type="dxa"/>
            <w:tcBorders>
              <w:top w:val="nil"/>
              <w:left w:val="nil"/>
              <w:bottom w:val="single" w:color="auto" w:sz="4" w:space="0"/>
              <w:right w:val="single" w:color="auto" w:sz="4" w:space="0"/>
            </w:tcBorders>
            <w:shd w:val="clear" w:color="auto" w:fill="auto"/>
            <w:noWrap/>
            <w:vAlign w:val="center"/>
          </w:tcPr>
          <w:p w14:paraId="60AF18C7">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r>
      <w:tr w14:paraId="05DB7F45">
        <w:tblPrEx>
          <w:tblCellMar>
            <w:top w:w="0" w:type="dxa"/>
            <w:left w:w="108" w:type="dxa"/>
            <w:bottom w:w="0" w:type="dxa"/>
            <w:right w:w="108" w:type="dxa"/>
          </w:tblCellMar>
        </w:tblPrEx>
        <w:trPr>
          <w:gridAfter w:val="1"/>
          <w:wAfter w:w="1545" w:type="dxa"/>
          <w:trHeight w:val="337" w:hRule="atLeast"/>
        </w:trPr>
        <w:tc>
          <w:tcPr>
            <w:tcW w:w="8379" w:type="dxa"/>
            <w:gridSpan w:val="11"/>
            <w:tcBorders>
              <w:top w:val="nil"/>
              <w:left w:val="nil"/>
              <w:bottom w:val="nil"/>
              <w:right w:val="nil"/>
            </w:tcBorders>
            <w:shd w:val="clear" w:color="auto" w:fill="auto"/>
            <w:vAlign w:val="center"/>
          </w:tcPr>
          <w:p w14:paraId="76B366D5">
            <w:pPr>
              <w:widowControl/>
              <w:jc w:val="left"/>
              <w:rPr>
                <w:rFonts w:ascii="宋体" w:hAnsi="宋体" w:eastAsia="宋体" w:cs="宋体"/>
                <w:kern w:val="0"/>
                <w:sz w:val="20"/>
                <w:szCs w:val="20"/>
              </w:rPr>
            </w:pPr>
            <w:r>
              <w:rPr>
                <w:rFonts w:hint="eastAsia" w:ascii="宋体" w:hAnsi="宋体" w:eastAsia="宋体" w:cs="宋体"/>
                <w:kern w:val="0"/>
                <w:sz w:val="20"/>
                <w:szCs w:val="20"/>
              </w:rPr>
              <w:t xml:space="preserve">填表人：严树喜  填表日期： 2024 年 4月9日 联系电话：15874576177 单位负责人签字：杨昌伟  </w:t>
            </w:r>
          </w:p>
        </w:tc>
      </w:tr>
    </w:tbl>
    <w:p w14:paraId="1CE9BEF9">
      <w:pPr>
        <w:widowControl/>
        <w:spacing w:line="578" w:lineRule="exact"/>
        <w:jc w:val="left"/>
        <w:rPr>
          <w:rFonts w:ascii="宋体" w:hAnsi="宋体" w:eastAsia="宋体" w:cs="宋体"/>
          <w:b/>
          <w:kern w:val="0"/>
          <w:sz w:val="32"/>
          <w:szCs w:val="32"/>
        </w:rPr>
      </w:pPr>
    </w:p>
    <w:p w14:paraId="715B21D8">
      <w:pPr>
        <w:widowControl/>
        <w:spacing w:line="578" w:lineRule="exact"/>
        <w:jc w:val="left"/>
        <w:rPr>
          <w:rFonts w:ascii="宋体" w:hAnsi="宋体" w:eastAsia="宋体" w:cs="宋体"/>
          <w:b/>
          <w:kern w:val="0"/>
          <w:sz w:val="32"/>
          <w:szCs w:val="32"/>
        </w:rPr>
      </w:pPr>
    </w:p>
    <w:p w14:paraId="75476EF9">
      <w:pPr>
        <w:rPr>
          <w:rFonts w:ascii="仿宋" w:hAnsi="仿宋" w:eastAsia="仿宋"/>
          <w:sz w:val="32"/>
          <w:szCs w:val="32"/>
        </w:rPr>
      </w:pPr>
    </w:p>
    <w:p w14:paraId="4E9F0B33">
      <w:pPr>
        <w:pStyle w:val="2"/>
        <w:rPr>
          <w:rFonts w:ascii="仿宋" w:hAnsi="仿宋" w:eastAsia="仿宋"/>
          <w:sz w:val="32"/>
          <w:szCs w:val="32"/>
        </w:rPr>
      </w:pPr>
    </w:p>
    <w:p w14:paraId="23B0728B">
      <w:pPr>
        <w:rPr>
          <w:rFonts w:ascii="仿宋" w:hAnsi="仿宋" w:eastAsia="仿宋"/>
          <w:sz w:val="32"/>
          <w:szCs w:val="32"/>
        </w:rPr>
      </w:pPr>
    </w:p>
    <w:p w14:paraId="6284CA11">
      <w:pPr>
        <w:pStyle w:val="2"/>
        <w:rPr>
          <w:rFonts w:ascii="仿宋" w:hAnsi="仿宋" w:eastAsia="仿宋"/>
          <w:sz w:val="32"/>
          <w:szCs w:val="32"/>
        </w:rPr>
      </w:pPr>
    </w:p>
    <w:p w14:paraId="17584DAD">
      <w:pPr>
        <w:rPr>
          <w:rFonts w:ascii="仿宋" w:hAnsi="仿宋" w:eastAsia="仿宋"/>
          <w:sz w:val="32"/>
          <w:szCs w:val="32"/>
        </w:rPr>
      </w:pPr>
    </w:p>
    <w:p w14:paraId="0B0AB06D">
      <w:pPr>
        <w:pStyle w:val="2"/>
        <w:rPr>
          <w:rFonts w:ascii="仿宋" w:hAnsi="仿宋" w:eastAsia="仿宋"/>
          <w:sz w:val="32"/>
          <w:szCs w:val="32"/>
        </w:rPr>
      </w:pPr>
    </w:p>
    <w:p w14:paraId="65B3EB4B">
      <w:pPr>
        <w:rPr>
          <w:rFonts w:ascii="仿宋" w:hAnsi="仿宋" w:eastAsia="仿宋"/>
          <w:sz w:val="32"/>
          <w:szCs w:val="32"/>
        </w:rPr>
      </w:pPr>
    </w:p>
    <w:p w14:paraId="0CD3BEB0">
      <w:pPr>
        <w:pStyle w:val="2"/>
        <w:rPr>
          <w:rFonts w:ascii="仿宋" w:hAnsi="仿宋" w:eastAsia="仿宋"/>
          <w:sz w:val="32"/>
          <w:szCs w:val="32"/>
        </w:rPr>
      </w:pPr>
    </w:p>
    <w:p w14:paraId="30ACE57C">
      <w:pPr>
        <w:rPr>
          <w:rFonts w:ascii="仿宋" w:hAnsi="仿宋" w:eastAsia="仿宋"/>
          <w:sz w:val="32"/>
          <w:szCs w:val="32"/>
        </w:rPr>
      </w:pPr>
    </w:p>
    <w:p w14:paraId="1ADF395B">
      <w:pPr>
        <w:pStyle w:val="2"/>
        <w:rPr>
          <w:rFonts w:ascii="仿宋" w:hAnsi="仿宋" w:eastAsia="仿宋"/>
          <w:sz w:val="32"/>
          <w:szCs w:val="32"/>
        </w:rPr>
      </w:pPr>
    </w:p>
    <w:p w14:paraId="7715BF77">
      <w:pPr>
        <w:rPr>
          <w:rFonts w:ascii="仿宋" w:hAnsi="仿宋" w:eastAsia="仿宋"/>
          <w:sz w:val="32"/>
          <w:szCs w:val="32"/>
        </w:rPr>
      </w:pPr>
    </w:p>
    <w:p w14:paraId="58D36C1C">
      <w:pPr>
        <w:jc w:val="center"/>
        <w:rPr>
          <w:rFonts w:ascii="仿宋" w:hAnsi="仿宋" w:eastAsia="仿宋"/>
          <w:b/>
          <w:bCs/>
          <w:sz w:val="44"/>
          <w:szCs w:val="44"/>
        </w:rPr>
      </w:pPr>
      <w:r>
        <w:rPr>
          <w:rFonts w:hint="eastAsia" w:ascii="仿宋" w:hAnsi="仿宋" w:eastAsia="仿宋"/>
          <w:b/>
          <w:bCs/>
          <w:sz w:val="44"/>
          <w:szCs w:val="44"/>
        </w:rPr>
        <w:t>部门整体支出绩效评价基础数据表</w:t>
      </w:r>
    </w:p>
    <w:p w14:paraId="7FB39A88">
      <w:pPr>
        <w:rPr>
          <w:rFonts w:ascii="仿宋" w:hAnsi="仿宋" w:eastAsia="仿宋"/>
        </w:rPr>
      </w:pPr>
      <w:r>
        <w:rPr>
          <w:rFonts w:hint="eastAsia" w:ascii="仿宋" w:hAnsi="仿宋" w:eastAsia="仿宋"/>
        </w:rPr>
        <w:t>填报单位：辰溪县审计局</w:t>
      </w:r>
    </w:p>
    <w:tbl>
      <w:tblPr>
        <w:tblStyle w:val="6"/>
        <w:tblW w:w="103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597"/>
        <w:gridCol w:w="2181"/>
        <w:gridCol w:w="2292"/>
        <w:gridCol w:w="2244"/>
      </w:tblGrid>
      <w:tr w14:paraId="69CDFF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2" w:hRule="atLeast"/>
          <w:jc w:val="center"/>
        </w:trPr>
        <w:tc>
          <w:tcPr>
            <w:tcW w:w="3597" w:type="dxa"/>
            <w:vMerge w:val="restart"/>
            <w:vAlign w:val="center"/>
          </w:tcPr>
          <w:p w14:paraId="29B2C96B">
            <w:pPr>
              <w:spacing w:line="440" w:lineRule="exact"/>
              <w:jc w:val="center"/>
              <w:rPr>
                <w:rFonts w:ascii="仿宋" w:hAnsi="仿宋" w:eastAsia="仿宋"/>
              </w:rPr>
            </w:pPr>
            <w:r>
              <w:rPr>
                <w:rFonts w:hint="eastAsia" w:ascii="仿宋" w:hAnsi="仿宋" w:eastAsia="仿宋"/>
              </w:rPr>
              <w:t>财政供养人员情况</w:t>
            </w:r>
          </w:p>
        </w:tc>
        <w:tc>
          <w:tcPr>
            <w:tcW w:w="2181" w:type="dxa"/>
            <w:tcBorders>
              <w:left w:val="nil"/>
            </w:tcBorders>
            <w:vAlign w:val="center"/>
          </w:tcPr>
          <w:p w14:paraId="304FFDCC">
            <w:pPr>
              <w:spacing w:line="440" w:lineRule="exact"/>
              <w:jc w:val="center"/>
              <w:rPr>
                <w:rFonts w:ascii="仿宋" w:hAnsi="仿宋" w:eastAsia="仿宋"/>
              </w:rPr>
            </w:pPr>
            <w:r>
              <w:rPr>
                <w:rFonts w:hint="eastAsia" w:ascii="仿宋" w:hAnsi="仿宋" w:eastAsia="仿宋"/>
              </w:rPr>
              <w:t>编制数</w:t>
            </w:r>
          </w:p>
        </w:tc>
        <w:tc>
          <w:tcPr>
            <w:tcW w:w="2292" w:type="dxa"/>
            <w:tcBorders>
              <w:left w:val="nil"/>
            </w:tcBorders>
            <w:vAlign w:val="center"/>
          </w:tcPr>
          <w:p w14:paraId="62050C64">
            <w:pPr>
              <w:spacing w:line="440" w:lineRule="exact"/>
              <w:jc w:val="center"/>
              <w:rPr>
                <w:rFonts w:ascii="仿宋" w:hAnsi="仿宋" w:eastAsia="仿宋"/>
              </w:rPr>
            </w:pPr>
            <w:r>
              <w:rPr>
                <w:rFonts w:ascii="仿宋" w:hAnsi="仿宋" w:eastAsia="仿宋"/>
              </w:rPr>
              <w:t>202</w:t>
            </w:r>
            <w:r>
              <w:rPr>
                <w:rFonts w:hint="eastAsia" w:ascii="仿宋" w:hAnsi="仿宋" w:eastAsia="仿宋"/>
              </w:rPr>
              <w:t>3年实际在职人数</w:t>
            </w:r>
          </w:p>
        </w:tc>
        <w:tc>
          <w:tcPr>
            <w:tcW w:w="2244" w:type="dxa"/>
            <w:tcBorders>
              <w:left w:val="nil"/>
            </w:tcBorders>
            <w:vAlign w:val="center"/>
          </w:tcPr>
          <w:p w14:paraId="72F058FE">
            <w:pPr>
              <w:spacing w:line="440" w:lineRule="exact"/>
              <w:jc w:val="center"/>
              <w:rPr>
                <w:rFonts w:ascii="仿宋" w:hAnsi="仿宋" w:eastAsia="仿宋"/>
              </w:rPr>
            </w:pPr>
            <w:r>
              <w:rPr>
                <w:rFonts w:hint="eastAsia" w:ascii="仿宋" w:hAnsi="仿宋" w:eastAsia="仿宋"/>
              </w:rPr>
              <w:t>控制率</w:t>
            </w:r>
          </w:p>
        </w:tc>
      </w:tr>
      <w:tr w14:paraId="477CB8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9" w:hRule="atLeast"/>
          <w:jc w:val="center"/>
        </w:trPr>
        <w:tc>
          <w:tcPr>
            <w:tcW w:w="3597" w:type="dxa"/>
            <w:vMerge w:val="continue"/>
            <w:vAlign w:val="center"/>
          </w:tcPr>
          <w:p w14:paraId="1C4E8FD0">
            <w:pPr>
              <w:widowControl/>
              <w:spacing w:line="440" w:lineRule="exact"/>
              <w:jc w:val="left"/>
              <w:rPr>
                <w:rFonts w:ascii="仿宋" w:hAnsi="仿宋" w:eastAsia="仿宋"/>
              </w:rPr>
            </w:pPr>
          </w:p>
        </w:tc>
        <w:tc>
          <w:tcPr>
            <w:tcW w:w="2181" w:type="dxa"/>
            <w:tcBorders>
              <w:left w:val="nil"/>
            </w:tcBorders>
            <w:vAlign w:val="center"/>
          </w:tcPr>
          <w:p w14:paraId="3C682348">
            <w:pPr>
              <w:spacing w:line="440" w:lineRule="exact"/>
              <w:jc w:val="center"/>
              <w:rPr>
                <w:rFonts w:ascii="仿宋" w:hAnsi="仿宋" w:eastAsia="仿宋"/>
              </w:rPr>
            </w:pPr>
            <w:r>
              <w:rPr>
                <w:rFonts w:hint="eastAsia" w:ascii="仿宋" w:hAnsi="仿宋" w:eastAsia="仿宋"/>
              </w:rPr>
              <w:t>44</w:t>
            </w:r>
          </w:p>
        </w:tc>
        <w:tc>
          <w:tcPr>
            <w:tcW w:w="2292" w:type="dxa"/>
            <w:tcBorders>
              <w:left w:val="nil"/>
            </w:tcBorders>
            <w:vAlign w:val="center"/>
          </w:tcPr>
          <w:p w14:paraId="2EBEB095">
            <w:pPr>
              <w:spacing w:line="440" w:lineRule="exact"/>
              <w:jc w:val="center"/>
              <w:rPr>
                <w:rFonts w:ascii="仿宋" w:hAnsi="仿宋" w:eastAsia="仿宋"/>
              </w:rPr>
            </w:pPr>
            <w:r>
              <w:rPr>
                <w:rFonts w:hint="eastAsia" w:ascii="仿宋" w:hAnsi="仿宋" w:eastAsia="仿宋"/>
              </w:rPr>
              <w:t>31</w:t>
            </w:r>
          </w:p>
        </w:tc>
        <w:tc>
          <w:tcPr>
            <w:tcW w:w="2244" w:type="dxa"/>
            <w:tcBorders>
              <w:left w:val="nil"/>
            </w:tcBorders>
            <w:vAlign w:val="center"/>
          </w:tcPr>
          <w:p w14:paraId="7BC4FB3C">
            <w:pPr>
              <w:spacing w:line="440" w:lineRule="exact"/>
              <w:jc w:val="center"/>
              <w:rPr>
                <w:rFonts w:ascii="仿宋" w:hAnsi="仿宋" w:eastAsia="仿宋"/>
              </w:rPr>
            </w:pPr>
            <w:r>
              <w:rPr>
                <w:rFonts w:hint="eastAsia" w:ascii="仿宋" w:hAnsi="仿宋" w:eastAsia="仿宋"/>
              </w:rPr>
              <w:t>70.45%</w:t>
            </w:r>
          </w:p>
        </w:tc>
      </w:tr>
      <w:tr w14:paraId="7D9F39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14:paraId="39CBF084">
            <w:pPr>
              <w:spacing w:line="440" w:lineRule="exact"/>
              <w:jc w:val="center"/>
              <w:rPr>
                <w:rFonts w:ascii="仿宋" w:hAnsi="仿宋" w:eastAsia="仿宋"/>
              </w:rPr>
            </w:pPr>
            <w:r>
              <w:rPr>
                <w:rFonts w:hint="eastAsia" w:ascii="仿宋" w:hAnsi="仿宋" w:eastAsia="仿宋"/>
              </w:rPr>
              <w:t>经费控制情况</w:t>
            </w:r>
          </w:p>
        </w:tc>
        <w:tc>
          <w:tcPr>
            <w:tcW w:w="2181" w:type="dxa"/>
            <w:tcBorders>
              <w:left w:val="nil"/>
            </w:tcBorders>
            <w:vAlign w:val="center"/>
          </w:tcPr>
          <w:p w14:paraId="0279B415">
            <w:pPr>
              <w:spacing w:line="440" w:lineRule="exact"/>
              <w:jc w:val="center"/>
              <w:rPr>
                <w:rFonts w:ascii="仿宋" w:hAnsi="仿宋" w:eastAsia="仿宋"/>
              </w:rPr>
            </w:pPr>
            <w:r>
              <w:rPr>
                <w:rFonts w:ascii="仿宋" w:hAnsi="仿宋" w:eastAsia="仿宋"/>
              </w:rPr>
              <w:t>20</w:t>
            </w:r>
            <w:r>
              <w:rPr>
                <w:rFonts w:hint="eastAsia" w:ascii="仿宋" w:hAnsi="仿宋" w:eastAsia="仿宋"/>
              </w:rPr>
              <w:t>22年决算数</w:t>
            </w:r>
          </w:p>
        </w:tc>
        <w:tc>
          <w:tcPr>
            <w:tcW w:w="2292" w:type="dxa"/>
            <w:tcBorders>
              <w:left w:val="nil"/>
            </w:tcBorders>
            <w:vAlign w:val="center"/>
          </w:tcPr>
          <w:p w14:paraId="13BD4FA8">
            <w:pPr>
              <w:spacing w:line="440" w:lineRule="exact"/>
              <w:jc w:val="center"/>
              <w:rPr>
                <w:rFonts w:ascii="仿宋" w:hAnsi="仿宋" w:eastAsia="仿宋"/>
              </w:rPr>
            </w:pPr>
            <w:r>
              <w:rPr>
                <w:rFonts w:ascii="仿宋" w:hAnsi="仿宋" w:eastAsia="仿宋"/>
              </w:rPr>
              <w:t>20</w:t>
            </w:r>
            <w:r>
              <w:rPr>
                <w:rFonts w:hint="eastAsia" w:ascii="仿宋" w:hAnsi="仿宋" w:eastAsia="仿宋"/>
              </w:rPr>
              <w:t>23年预算数</w:t>
            </w:r>
          </w:p>
        </w:tc>
        <w:tc>
          <w:tcPr>
            <w:tcW w:w="2244" w:type="dxa"/>
            <w:tcBorders>
              <w:left w:val="nil"/>
            </w:tcBorders>
            <w:vAlign w:val="center"/>
          </w:tcPr>
          <w:p w14:paraId="6EFE5A8F">
            <w:pPr>
              <w:spacing w:line="440" w:lineRule="exact"/>
              <w:jc w:val="center"/>
              <w:rPr>
                <w:rFonts w:ascii="仿宋" w:hAnsi="仿宋" w:eastAsia="仿宋"/>
              </w:rPr>
            </w:pPr>
            <w:r>
              <w:rPr>
                <w:rFonts w:ascii="仿宋" w:hAnsi="仿宋" w:eastAsia="仿宋"/>
              </w:rPr>
              <w:t>20</w:t>
            </w:r>
            <w:r>
              <w:rPr>
                <w:rFonts w:hint="eastAsia" w:ascii="仿宋" w:hAnsi="仿宋" w:eastAsia="仿宋"/>
              </w:rPr>
              <w:t>23年决算数</w:t>
            </w:r>
          </w:p>
        </w:tc>
      </w:tr>
      <w:tr w14:paraId="0F2FE5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29" w:hRule="atLeast"/>
          <w:jc w:val="center"/>
        </w:trPr>
        <w:tc>
          <w:tcPr>
            <w:tcW w:w="3597" w:type="dxa"/>
            <w:vAlign w:val="center"/>
          </w:tcPr>
          <w:p w14:paraId="06FD4969">
            <w:pPr>
              <w:spacing w:line="440" w:lineRule="exact"/>
              <w:jc w:val="center"/>
              <w:rPr>
                <w:rFonts w:ascii="仿宋" w:hAnsi="仿宋" w:eastAsia="仿宋"/>
              </w:rPr>
            </w:pPr>
            <w:r>
              <w:rPr>
                <w:rFonts w:hint="eastAsia" w:ascii="仿宋" w:hAnsi="仿宋" w:eastAsia="仿宋"/>
              </w:rPr>
              <w:t>三公经费</w:t>
            </w:r>
          </w:p>
        </w:tc>
        <w:tc>
          <w:tcPr>
            <w:tcW w:w="2181" w:type="dxa"/>
            <w:tcBorders>
              <w:left w:val="nil"/>
            </w:tcBorders>
          </w:tcPr>
          <w:p w14:paraId="0623DA07">
            <w:pPr>
              <w:spacing w:line="440" w:lineRule="exact"/>
              <w:jc w:val="center"/>
              <w:rPr>
                <w:rFonts w:ascii="仿宋" w:hAnsi="仿宋" w:eastAsia="仿宋"/>
              </w:rPr>
            </w:pPr>
            <w:r>
              <w:rPr>
                <w:rFonts w:hint="eastAsia" w:ascii="仿宋" w:hAnsi="仿宋" w:eastAsia="仿宋"/>
              </w:rPr>
              <w:t>0.58</w:t>
            </w:r>
          </w:p>
        </w:tc>
        <w:tc>
          <w:tcPr>
            <w:tcW w:w="2292" w:type="dxa"/>
            <w:tcBorders>
              <w:left w:val="nil"/>
            </w:tcBorders>
          </w:tcPr>
          <w:p w14:paraId="56024940">
            <w:pPr>
              <w:spacing w:line="440" w:lineRule="exact"/>
              <w:jc w:val="center"/>
              <w:rPr>
                <w:rFonts w:ascii="仿宋" w:hAnsi="仿宋" w:eastAsia="仿宋"/>
              </w:rPr>
            </w:pPr>
            <w:r>
              <w:rPr>
                <w:rFonts w:hint="eastAsia" w:ascii="仿宋" w:hAnsi="仿宋" w:eastAsia="仿宋"/>
              </w:rPr>
              <w:t>9</w:t>
            </w:r>
          </w:p>
        </w:tc>
        <w:tc>
          <w:tcPr>
            <w:tcW w:w="2244" w:type="dxa"/>
            <w:tcBorders>
              <w:left w:val="nil"/>
            </w:tcBorders>
          </w:tcPr>
          <w:p w14:paraId="6C5A8047">
            <w:pPr>
              <w:spacing w:line="440" w:lineRule="exact"/>
              <w:jc w:val="center"/>
              <w:rPr>
                <w:rFonts w:ascii="仿宋" w:hAnsi="仿宋" w:eastAsia="仿宋"/>
              </w:rPr>
            </w:pPr>
            <w:r>
              <w:rPr>
                <w:rFonts w:hint="eastAsia" w:ascii="仿宋" w:hAnsi="仿宋" w:eastAsia="仿宋"/>
              </w:rPr>
              <w:t>0.84</w:t>
            </w:r>
          </w:p>
        </w:tc>
      </w:tr>
      <w:tr w14:paraId="5E57D7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9" w:hRule="atLeast"/>
          <w:jc w:val="center"/>
        </w:trPr>
        <w:tc>
          <w:tcPr>
            <w:tcW w:w="3597" w:type="dxa"/>
            <w:vAlign w:val="center"/>
          </w:tcPr>
          <w:p w14:paraId="65941CEB">
            <w:pPr>
              <w:spacing w:line="440" w:lineRule="exact"/>
              <w:jc w:val="center"/>
              <w:rPr>
                <w:rFonts w:ascii="仿宋" w:hAnsi="仿宋" w:eastAsia="仿宋"/>
              </w:rPr>
            </w:pPr>
            <w:r>
              <w:rPr>
                <w:rFonts w:ascii="仿宋" w:hAnsi="仿宋" w:eastAsia="仿宋"/>
              </w:rPr>
              <w:t>1</w:t>
            </w:r>
            <w:r>
              <w:rPr>
                <w:rFonts w:hint="eastAsia" w:ascii="仿宋" w:hAnsi="仿宋" w:eastAsia="仿宋"/>
              </w:rPr>
              <w:t>、公务用车购置和维护经费</w:t>
            </w:r>
          </w:p>
        </w:tc>
        <w:tc>
          <w:tcPr>
            <w:tcW w:w="2181" w:type="dxa"/>
            <w:tcBorders>
              <w:left w:val="nil"/>
            </w:tcBorders>
          </w:tcPr>
          <w:p w14:paraId="44C16DDA">
            <w:pPr>
              <w:spacing w:line="440" w:lineRule="exact"/>
              <w:jc w:val="center"/>
              <w:rPr>
                <w:rFonts w:ascii="仿宋" w:hAnsi="仿宋" w:eastAsia="仿宋"/>
              </w:rPr>
            </w:pPr>
            <w:r>
              <w:rPr>
                <w:rFonts w:hint="eastAsia" w:ascii="仿宋" w:hAnsi="仿宋" w:eastAsia="仿宋"/>
              </w:rPr>
              <w:t>0</w:t>
            </w:r>
          </w:p>
        </w:tc>
        <w:tc>
          <w:tcPr>
            <w:tcW w:w="2292" w:type="dxa"/>
            <w:tcBorders>
              <w:left w:val="nil"/>
            </w:tcBorders>
          </w:tcPr>
          <w:p w14:paraId="6A7F5942">
            <w:pPr>
              <w:spacing w:line="440" w:lineRule="exact"/>
              <w:jc w:val="center"/>
              <w:rPr>
                <w:rFonts w:ascii="仿宋" w:hAnsi="仿宋" w:eastAsia="仿宋"/>
              </w:rPr>
            </w:pPr>
            <w:r>
              <w:rPr>
                <w:rFonts w:hint="eastAsia" w:ascii="仿宋" w:hAnsi="仿宋" w:eastAsia="仿宋"/>
              </w:rPr>
              <w:t>0</w:t>
            </w:r>
          </w:p>
        </w:tc>
        <w:tc>
          <w:tcPr>
            <w:tcW w:w="2244" w:type="dxa"/>
            <w:tcBorders>
              <w:left w:val="nil"/>
            </w:tcBorders>
          </w:tcPr>
          <w:p w14:paraId="1787B164">
            <w:pPr>
              <w:spacing w:line="440" w:lineRule="exact"/>
              <w:jc w:val="center"/>
              <w:rPr>
                <w:rFonts w:ascii="仿宋" w:hAnsi="仿宋" w:eastAsia="仿宋"/>
              </w:rPr>
            </w:pPr>
            <w:r>
              <w:rPr>
                <w:rFonts w:hint="eastAsia" w:ascii="仿宋" w:hAnsi="仿宋" w:eastAsia="仿宋"/>
              </w:rPr>
              <w:t>0</w:t>
            </w:r>
          </w:p>
        </w:tc>
      </w:tr>
      <w:tr w14:paraId="6E589A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0" w:hRule="atLeast"/>
          <w:jc w:val="center"/>
        </w:trPr>
        <w:tc>
          <w:tcPr>
            <w:tcW w:w="3597" w:type="dxa"/>
            <w:vAlign w:val="center"/>
          </w:tcPr>
          <w:p w14:paraId="1995F4D7">
            <w:pPr>
              <w:spacing w:line="440" w:lineRule="exact"/>
              <w:jc w:val="center"/>
              <w:rPr>
                <w:rFonts w:ascii="仿宋" w:hAnsi="仿宋" w:eastAsia="仿宋"/>
              </w:rPr>
            </w:pPr>
            <w:r>
              <w:rPr>
                <w:rFonts w:hint="eastAsia" w:ascii="仿宋" w:hAnsi="仿宋" w:eastAsia="仿宋"/>
              </w:rPr>
              <w:t>其中：公车购置</w:t>
            </w:r>
          </w:p>
        </w:tc>
        <w:tc>
          <w:tcPr>
            <w:tcW w:w="2181" w:type="dxa"/>
            <w:tcBorders>
              <w:left w:val="nil"/>
            </w:tcBorders>
          </w:tcPr>
          <w:p w14:paraId="41419EC5">
            <w:pPr>
              <w:spacing w:line="440" w:lineRule="exact"/>
              <w:jc w:val="center"/>
              <w:rPr>
                <w:rFonts w:ascii="仿宋" w:hAnsi="仿宋" w:eastAsia="仿宋"/>
              </w:rPr>
            </w:pPr>
            <w:r>
              <w:rPr>
                <w:rFonts w:hint="eastAsia" w:ascii="仿宋" w:hAnsi="仿宋" w:eastAsia="仿宋"/>
              </w:rPr>
              <w:t>0</w:t>
            </w:r>
          </w:p>
        </w:tc>
        <w:tc>
          <w:tcPr>
            <w:tcW w:w="2292" w:type="dxa"/>
            <w:tcBorders>
              <w:left w:val="nil"/>
            </w:tcBorders>
          </w:tcPr>
          <w:p w14:paraId="125176A9">
            <w:pPr>
              <w:spacing w:line="440" w:lineRule="exact"/>
              <w:jc w:val="center"/>
              <w:rPr>
                <w:rFonts w:ascii="仿宋" w:hAnsi="仿宋" w:eastAsia="仿宋"/>
              </w:rPr>
            </w:pPr>
            <w:r>
              <w:rPr>
                <w:rFonts w:hint="eastAsia" w:ascii="仿宋" w:hAnsi="仿宋" w:eastAsia="仿宋"/>
              </w:rPr>
              <w:t>0</w:t>
            </w:r>
          </w:p>
        </w:tc>
        <w:tc>
          <w:tcPr>
            <w:tcW w:w="2244" w:type="dxa"/>
            <w:tcBorders>
              <w:left w:val="nil"/>
            </w:tcBorders>
          </w:tcPr>
          <w:p w14:paraId="57A6A58C">
            <w:pPr>
              <w:spacing w:line="440" w:lineRule="exact"/>
              <w:jc w:val="center"/>
              <w:rPr>
                <w:rFonts w:ascii="仿宋" w:hAnsi="仿宋" w:eastAsia="仿宋"/>
              </w:rPr>
            </w:pPr>
            <w:r>
              <w:rPr>
                <w:rFonts w:hint="eastAsia" w:ascii="仿宋" w:hAnsi="仿宋" w:eastAsia="仿宋"/>
              </w:rPr>
              <w:t>0</w:t>
            </w:r>
          </w:p>
        </w:tc>
      </w:tr>
      <w:tr w14:paraId="3E6E5F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14:paraId="79A5B0CE">
            <w:pPr>
              <w:spacing w:line="440" w:lineRule="exact"/>
              <w:jc w:val="center"/>
              <w:rPr>
                <w:rFonts w:ascii="仿宋" w:hAnsi="仿宋" w:eastAsia="仿宋"/>
              </w:rPr>
            </w:pPr>
            <w:r>
              <w:rPr>
                <w:rFonts w:hint="eastAsia" w:ascii="仿宋" w:hAnsi="仿宋" w:eastAsia="仿宋"/>
              </w:rPr>
              <w:t>公车运行维护</w:t>
            </w:r>
          </w:p>
        </w:tc>
        <w:tc>
          <w:tcPr>
            <w:tcW w:w="2181" w:type="dxa"/>
            <w:tcBorders>
              <w:left w:val="nil"/>
            </w:tcBorders>
          </w:tcPr>
          <w:p w14:paraId="7003DC35">
            <w:pPr>
              <w:spacing w:line="440" w:lineRule="exact"/>
              <w:jc w:val="center"/>
              <w:rPr>
                <w:rFonts w:ascii="仿宋" w:hAnsi="仿宋" w:eastAsia="仿宋"/>
              </w:rPr>
            </w:pPr>
            <w:r>
              <w:rPr>
                <w:rFonts w:hint="eastAsia" w:ascii="仿宋" w:hAnsi="仿宋" w:eastAsia="仿宋"/>
              </w:rPr>
              <w:t>0</w:t>
            </w:r>
          </w:p>
        </w:tc>
        <w:tc>
          <w:tcPr>
            <w:tcW w:w="2292" w:type="dxa"/>
            <w:tcBorders>
              <w:left w:val="nil"/>
            </w:tcBorders>
          </w:tcPr>
          <w:p w14:paraId="15F2A6D9">
            <w:pPr>
              <w:spacing w:line="440" w:lineRule="exact"/>
              <w:jc w:val="center"/>
              <w:rPr>
                <w:rFonts w:ascii="仿宋" w:hAnsi="仿宋" w:eastAsia="仿宋"/>
              </w:rPr>
            </w:pPr>
            <w:r>
              <w:rPr>
                <w:rFonts w:hint="eastAsia" w:ascii="仿宋" w:hAnsi="仿宋" w:eastAsia="仿宋"/>
              </w:rPr>
              <w:t>4.3</w:t>
            </w:r>
          </w:p>
        </w:tc>
        <w:tc>
          <w:tcPr>
            <w:tcW w:w="2244" w:type="dxa"/>
            <w:tcBorders>
              <w:left w:val="nil"/>
            </w:tcBorders>
          </w:tcPr>
          <w:p w14:paraId="2CDE0425">
            <w:pPr>
              <w:spacing w:line="440" w:lineRule="exact"/>
              <w:jc w:val="center"/>
              <w:rPr>
                <w:rFonts w:ascii="仿宋" w:hAnsi="仿宋" w:eastAsia="仿宋"/>
              </w:rPr>
            </w:pPr>
            <w:r>
              <w:rPr>
                <w:rFonts w:hint="eastAsia" w:ascii="仿宋" w:hAnsi="仿宋" w:eastAsia="仿宋"/>
              </w:rPr>
              <w:t>0</w:t>
            </w:r>
          </w:p>
        </w:tc>
      </w:tr>
      <w:tr w14:paraId="537DD8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14:paraId="3872C3E0">
            <w:pPr>
              <w:spacing w:line="440" w:lineRule="exact"/>
              <w:jc w:val="center"/>
              <w:rPr>
                <w:rFonts w:ascii="仿宋" w:hAnsi="仿宋" w:eastAsia="仿宋"/>
              </w:rPr>
            </w:pPr>
            <w:r>
              <w:rPr>
                <w:rFonts w:ascii="仿宋" w:hAnsi="仿宋" w:eastAsia="仿宋"/>
              </w:rPr>
              <w:t>2</w:t>
            </w:r>
            <w:r>
              <w:rPr>
                <w:rFonts w:hint="eastAsia" w:ascii="仿宋" w:hAnsi="仿宋" w:eastAsia="仿宋"/>
              </w:rPr>
              <w:t>、出国经费</w:t>
            </w:r>
          </w:p>
        </w:tc>
        <w:tc>
          <w:tcPr>
            <w:tcW w:w="2181" w:type="dxa"/>
            <w:tcBorders>
              <w:left w:val="nil"/>
            </w:tcBorders>
          </w:tcPr>
          <w:p w14:paraId="2AE93046">
            <w:pPr>
              <w:spacing w:line="440" w:lineRule="exact"/>
              <w:jc w:val="center"/>
              <w:rPr>
                <w:rFonts w:ascii="仿宋" w:hAnsi="仿宋" w:eastAsia="仿宋"/>
              </w:rPr>
            </w:pPr>
            <w:r>
              <w:rPr>
                <w:rFonts w:hint="eastAsia" w:ascii="仿宋" w:hAnsi="仿宋" w:eastAsia="仿宋"/>
              </w:rPr>
              <w:t>0</w:t>
            </w:r>
          </w:p>
        </w:tc>
        <w:tc>
          <w:tcPr>
            <w:tcW w:w="2292" w:type="dxa"/>
            <w:tcBorders>
              <w:left w:val="nil"/>
            </w:tcBorders>
          </w:tcPr>
          <w:p w14:paraId="374D9AD2">
            <w:pPr>
              <w:spacing w:line="440" w:lineRule="exact"/>
              <w:jc w:val="center"/>
              <w:rPr>
                <w:rFonts w:ascii="仿宋" w:hAnsi="仿宋" w:eastAsia="仿宋"/>
              </w:rPr>
            </w:pPr>
            <w:r>
              <w:rPr>
                <w:rFonts w:hint="eastAsia" w:ascii="仿宋" w:hAnsi="仿宋" w:eastAsia="仿宋"/>
              </w:rPr>
              <w:t>0</w:t>
            </w:r>
          </w:p>
        </w:tc>
        <w:tc>
          <w:tcPr>
            <w:tcW w:w="2244" w:type="dxa"/>
            <w:tcBorders>
              <w:left w:val="nil"/>
            </w:tcBorders>
          </w:tcPr>
          <w:p w14:paraId="528EA91F">
            <w:pPr>
              <w:spacing w:line="440" w:lineRule="exact"/>
              <w:jc w:val="center"/>
              <w:rPr>
                <w:rFonts w:ascii="仿宋" w:hAnsi="仿宋" w:eastAsia="仿宋"/>
              </w:rPr>
            </w:pPr>
            <w:r>
              <w:rPr>
                <w:rFonts w:hint="eastAsia" w:ascii="仿宋" w:hAnsi="仿宋" w:eastAsia="仿宋"/>
              </w:rPr>
              <w:t>0</w:t>
            </w:r>
          </w:p>
        </w:tc>
      </w:tr>
      <w:tr w14:paraId="359039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14:paraId="6F14E0B7">
            <w:pPr>
              <w:spacing w:line="440" w:lineRule="exact"/>
              <w:jc w:val="center"/>
              <w:rPr>
                <w:rFonts w:ascii="仿宋" w:hAnsi="仿宋" w:eastAsia="仿宋"/>
              </w:rPr>
            </w:pPr>
            <w:r>
              <w:rPr>
                <w:rFonts w:ascii="仿宋" w:hAnsi="仿宋" w:eastAsia="仿宋"/>
              </w:rPr>
              <w:t>3</w:t>
            </w:r>
            <w:r>
              <w:rPr>
                <w:rFonts w:hint="eastAsia" w:ascii="仿宋" w:hAnsi="仿宋" w:eastAsia="仿宋"/>
              </w:rPr>
              <w:t>、公务接待</w:t>
            </w:r>
          </w:p>
        </w:tc>
        <w:tc>
          <w:tcPr>
            <w:tcW w:w="2181" w:type="dxa"/>
            <w:tcBorders>
              <w:left w:val="nil"/>
            </w:tcBorders>
          </w:tcPr>
          <w:p w14:paraId="70F3FEC6">
            <w:pPr>
              <w:spacing w:line="440" w:lineRule="exact"/>
              <w:jc w:val="center"/>
              <w:rPr>
                <w:rFonts w:ascii="仿宋" w:hAnsi="仿宋" w:eastAsia="仿宋"/>
              </w:rPr>
            </w:pPr>
            <w:r>
              <w:rPr>
                <w:rFonts w:hint="eastAsia" w:ascii="仿宋" w:hAnsi="仿宋" w:eastAsia="仿宋"/>
              </w:rPr>
              <w:t>0.58</w:t>
            </w:r>
          </w:p>
        </w:tc>
        <w:tc>
          <w:tcPr>
            <w:tcW w:w="2292" w:type="dxa"/>
            <w:tcBorders>
              <w:left w:val="nil"/>
            </w:tcBorders>
          </w:tcPr>
          <w:p w14:paraId="04812557">
            <w:pPr>
              <w:spacing w:line="440" w:lineRule="exact"/>
              <w:jc w:val="center"/>
              <w:rPr>
                <w:rFonts w:ascii="仿宋" w:hAnsi="仿宋" w:eastAsia="仿宋"/>
              </w:rPr>
            </w:pPr>
            <w:r>
              <w:rPr>
                <w:rFonts w:hint="eastAsia" w:ascii="仿宋" w:hAnsi="仿宋" w:eastAsia="仿宋"/>
              </w:rPr>
              <w:t>4.7</w:t>
            </w:r>
          </w:p>
        </w:tc>
        <w:tc>
          <w:tcPr>
            <w:tcW w:w="2244" w:type="dxa"/>
            <w:tcBorders>
              <w:left w:val="nil"/>
            </w:tcBorders>
          </w:tcPr>
          <w:p w14:paraId="5609A7A6">
            <w:pPr>
              <w:spacing w:line="440" w:lineRule="exact"/>
              <w:jc w:val="center"/>
              <w:rPr>
                <w:rFonts w:ascii="仿宋" w:hAnsi="仿宋" w:eastAsia="仿宋"/>
              </w:rPr>
            </w:pPr>
            <w:r>
              <w:rPr>
                <w:rFonts w:hint="eastAsia" w:ascii="仿宋" w:hAnsi="仿宋" w:eastAsia="仿宋"/>
              </w:rPr>
              <w:t>0.84</w:t>
            </w:r>
          </w:p>
        </w:tc>
      </w:tr>
      <w:tr w14:paraId="16D714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14:paraId="6F1854F0">
            <w:pPr>
              <w:spacing w:line="440" w:lineRule="exact"/>
              <w:jc w:val="center"/>
              <w:rPr>
                <w:rFonts w:ascii="仿宋" w:hAnsi="仿宋" w:eastAsia="仿宋"/>
              </w:rPr>
            </w:pPr>
            <w:r>
              <w:rPr>
                <w:rFonts w:hint="eastAsia" w:ascii="仿宋" w:hAnsi="仿宋" w:eastAsia="仿宋"/>
              </w:rPr>
              <w:t>项目支出：</w:t>
            </w:r>
          </w:p>
        </w:tc>
        <w:tc>
          <w:tcPr>
            <w:tcW w:w="2181" w:type="dxa"/>
            <w:tcBorders>
              <w:left w:val="nil"/>
            </w:tcBorders>
          </w:tcPr>
          <w:p w14:paraId="71411DC9">
            <w:pPr>
              <w:spacing w:line="440" w:lineRule="exact"/>
              <w:jc w:val="center"/>
              <w:rPr>
                <w:rFonts w:ascii="仿宋" w:hAnsi="仿宋" w:eastAsia="仿宋"/>
              </w:rPr>
            </w:pPr>
            <w:r>
              <w:rPr>
                <w:rFonts w:hint="eastAsia" w:ascii="仿宋" w:hAnsi="仿宋" w:eastAsia="仿宋"/>
              </w:rPr>
              <w:t>0</w:t>
            </w:r>
          </w:p>
        </w:tc>
        <w:tc>
          <w:tcPr>
            <w:tcW w:w="2292" w:type="dxa"/>
            <w:tcBorders>
              <w:left w:val="nil"/>
            </w:tcBorders>
          </w:tcPr>
          <w:p w14:paraId="620509AD">
            <w:pPr>
              <w:spacing w:line="440" w:lineRule="exact"/>
              <w:jc w:val="center"/>
              <w:rPr>
                <w:rFonts w:ascii="仿宋" w:hAnsi="仿宋" w:eastAsia="仿宋"/>
              </w:rPr>
            </w:pPr>
            <w:r>
              <w:rPr>
                <w:rFonts w:hint="eastAsia" w:ascii="仿宋" w:hAnsi="仿宋" w:eastAsia="仿宋"/>
              </w:rPr>
              <w:t>0</w:t>
            </w:r>
          </w:p>
        </w:tc>
        <w:tc>
          <w:tcPr>
            <w:tcW w:w="2244" w:type="dxa"/>
            <w:tcBorders>
              <w:left w:val="nil"/>
            </w:tcBorders>
          </w:tcPr>
          <w:p w14:paraId="4039D24A">
            <w:pPr>
              <w:spacing w:line="440" w:lineRule="exact"/>
              <w:jc w:val="center"/>
              <w:rPr>
                <w:rFonts w:ascii="仿宋" w:hAnsi="仿宋" w:eastAsia="仿宋"/>
              </w:rPr>
            </w:pPr>
            <w:r>
              <w:rPr>
                <w:rFonts w:hint="eastAsia" w:ascii="仿宋" w:hAnsi="仿宋" w:eastAsia="仿宋"/>
              </w:rPr>
              <w:t>0</w:t>
            </w:r>
          </w:p>
        </w:tc>
      </w:tr>
      <w:tr w14:paraId="57439F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14:paraId="31140563">
            <w:pPr>
              <w:spacing w:line="440" w:lineRule="exact"/>
              <w:jc w:val="center"/>
              <w:rPr>
                <w:rFonts w:ascii="仿宋" w:hAnsi="仿宋" w:eastAsia="仿宋"/>
              </w:rPr>
            </w:pPr>
            <w:r>
              <w:rPr>
                <w:rFonts w:ascii="仿宋" w:hAnsi="仿宋" w:eastAsia="仿宋"/>
              </w:rPr>
              <w:t>1</w:t>
            </w:r>
            <w:r>
              <w:rPr>
                <w:rFonts w:hint="eastAsia" w:ascii="仿宋" w:hAnsi="仿宋" w:eastAsia="仿宋"/>
              </w:rPr>
              <w:t>、业务工作专项</w:t>
            </w:r>
          </w:p>
        </w:tc>
        <w:tc>
          <w:tcPr>
            <w:tcW w:w="2181" w:type="dxa"/>
            <w:tcBorders>
              <w:left w:val="nil"/>
            </w:tcBorders>
          </w:tcPr>
          <w:p w14:paraId="0548E292">
            <w:pPr>
              <w:spacing w:line="440" w:lineRule="exact"/>
              <w:jc w:val="center"/>
              <w:rPr>
                <w:rFonts w:ascii="仿宋" w:hAnsi="仿宋" w:eastAsia="仿宋"/>
              </w:rPr>
            </w:pPr>
            <w:r>
              <w:rPr>
                <w:rFonts w:hint="eastAsia" w:ascii="仿宋" w:hAnsi="仿宋" w:eastAsia="仿宋"/>
              </w:rPr>
              <w:t>0</w:t>
            </w:r>
          </w:p>
        </w:tc>
        <w:tc>
          <w:tcPr>
            <w:tcW w:w="2292" w:type="dxa"/>
            <w:tcBorders>
              <w:left w:val="nil"/>
            </w:tcBorders>
          </w:tcPr>
          <w:p w14:paraId="5AFDEBB6">
            <w:pPr>
              <w:spacing w:line="440" w:lineRule="exact"/>
              <w:jc w:val="center"/>
              <w:rPr>
                <w:rFonts w:ascii="仿宋" w:hAnsi="仿宋" w:eastAsia="仿宋"/>
              </w:rPr>
            </w:pPr>
            <w:r>
              <w:rPr>
                <w:rFonts w:hint="eastAsia" w:ascii="仿宋" w:hAnsi="仿宋" w:eastAsia="仿宋"/>
              </w:rPr>
              <w:t>0</w:t>
            </w:r>
          </w:p>
        </w:tc>
        <w:tc>
          <w:tcPr>
            <w:tcW w:w="2244" w:type="dxa"/>
            <w:tcBorders>
              <w:left w:val="nil"/>
            </w:tcBorders>
          </w:tcPr>
          <w:p w14:paraId="7963D6C5">
            <w:pPr>
              <w:spacing w:line="440" w:lineRule="exact"/>
              <w:jc w:val="center"/>
              <w:rPr>
                <w:rFonts w:ascii="仿宋" w:hAnsi="仿宋" w:eastAsia="仿宋"/>
              </w:rPr>
            </w:pPr>
            <w:r>
              <w:rPr>
                <w:rFonts w:hint="eastAsia" w:ascii="仿宋" w:hAnsi="仿宋" w:eastAsia="仿宋"/>
              </w:rPr>
              <w:t>0</w:t>
            </w:r>
          </w:p>
        </w:tc>
      </w:tr>
      <w:tr w14:paraId="70204E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14:paraId="1AF7894C">
            <w:pPr>
              <w:spacing w:line="440" w:lineRule="exact"/>
              <w:jc w:val="center"/>
              <w:rPr>
                <w:rFonts w:ascii="仿宋" w:hAnsi="仿宋" w:eastAsia="仿宋"/>
              </w:rPr>
            </w:pPr>
            <w:r>
              <w:rPr>
                <w:rFonts w:ascii="仿宋" w:hAnsi="仿宋" w:eastAsia="仿宋"/>
              </w:rPr>
              <w:t>2</w:t>
            </w:r>
            <w:r>
              <w:rPr>
                <w:rFonts w:hint="eastAsia" w:ascii="仿宋" w:hAnsi="仿宋" w:eastAsia="仿宋"/>
              </w:rPr>
              <w:t>、运行维护专项</w:t>
            </w:r>
          </w:p>
        </w:tc>
        <w:tc>
          <w:tcPr>
            <w:tcW w:w="2181" w:type="dxa"/>
            <w:tcBorders>
              <w:left w:val="nil"/>
            </w:tcBorders>
          </w:tcPr>
          <w:p w14:paraId="233A38D8">
            <w:pPr>
              <w:spacing w:line="440" w:lineRule="exact"/>
              <w:jc w:val="center"/>
              <w:rPr>
                <w:rFonts w:ascii="仿宋" w:hAnsi="仿宋" w:eastAsia="仿宋"/>
              </w:rPr>
            </w:pPr>
            <w:r>
              <w:rPr>
                <w:rFonts w:hint="eastAsia" w:ascii="仿宋" w:hAnsi="仿宋" w:eastAsia="仿宋"/>
              </w:rPr>
              <w:t>0</w:t>
            </w:r>
          </w:p>
        </w:tc>
        <w:tc>
          <w:tcPr>
            <w:tcW w:w="2292" w:type="dxa"/>
            <w:tcBorders>
              <w:left w:val="nil"/>
            </w:tcBorders>
          </w:tcPr>
          <w:p w14:paraId="348915FE">
            <w:pPr>
              <w:spacing w:line="440" w:lineRule="exact"/>
              <w:jc w:val="center"/>
              <w:rPr>
                <w:rFonts w:ascii="仿宋" w:hAnsi="仿宋" w:eastAsia="仿宋"/>
              </w:rPr>
            </w:pPr>
            <w:r>
              <w:rPr>
                <w:rFonts w:hint="eastAsia" w:ascii="仿宋" w:hAnsi="仿宋" w:eastAsia="仿宋"/>
              </w:rPr>
              <w:t>0</w:t>
            </w:r>
          </w:p>
        </w:tc>
        <w:tc>
          <w:tcPr>
            <w:tcW w:w="2244" w:type="dxa"/>
            <w:tcBorders>
              <w:left w:val="nil"/>
            </w:tcBorders>
          </w:tcPr>
          <w:p w14:paraId="6F85E9BC">
            <w:pPr>
              <w:spacing w:line="440" w:lineRule="exact"/>
              <w:jc w:val="center"/>
              <w:rPr>
                <w:rFonts w:ascii="仿宋" w:hAnsi="仿宋" w:eastAsia="仿宋"/>
              </w:rPr>
            </w:pPr>
            <w:r>
              <w:rPr>
                <w:rFonts w:hint="eastAsia" w:ascii="仿宋" w:hAnsi="仿宋" w:eastAsia="仿宋"/>
              </w:rPr>
              <w:t>0</w:t>
            </w:r>
          </w:p>
        </w:tc>
      </w:tr>
      <w:tr w14:paraId="016E41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14:paraId="5A06D45F">
            <w:pPr>
              <w:spacing w:line="440" w:lineRule="exact"/>
              <w:jc w:val="center"/>
              <w:rPr>
                <w:rFonts w:ascii="仿宋" w:hAnsi="仿宋" w:eastAsia="仿宋"/>
              </w:rPr>
            </w:pPr>
            <w:r>
              <w:rPr>
                <w:rFonts w:hint="eastAsia" w:ascii="仿宋" w:hAnsi="仿宋" w:eastAsia="仿宋"/>
              </w:rPr>
              <w:t>…</w:t>
            </w:r>
            <w:r>
              <w:rPr>
                <w:rFonts w:ascii="宋体" w:cs="宋体"/>
              </w:rPr>
              <w:t> </w:t>
            </w:r>
            <w:r>
              <w:rPr>
                <w:rFonts w:hint="eastAsia" w:ascii="仿宋" w:hAnsi="仿宋" w:eastAsia="仿宋"/>
              </w:rPr>
              <w:t>…</w:t>
            </w:r>
          </w:p>
        </w:tc>
        <w:tc>
          <w:tcPr>
            <w:tcW w:w="2181" w:type="dxa"/>
            <w:tcBorders>
              <w:left w:val="nil"/>
            </w:tcBorders>
          </w:tcPr>
          <w:p w14:paraId="7DA196B2">
            <w:pPr>
              <w:spacing w:line="440" w:lineRule="exact"/>
              <w:jc w:val="center"/>
              <w:rPr>
                <w:rFonts w:ascii="仿宋" w:hAnsi="仿宋" w:eastAsia="仿宋"/>
              </w:rPr>
            </w:pPr>
          </w:p>
        </w:tc>
        <w:tc>
          <w:tcPr>
            <w:tcW w:w="2292" w:type="dxa"/>
            <w:tcBorders>
              <w:left w:val="nil"/>
            </w:tcBorders>
          </w:tcPr>
          <w:p w14:paraId="648DE0B7">
            <w:pPr>
              <w:spacing w:line="440" w:lineRule="exact"/>
              <w:jc w:val="center"/>
              <w:rPr>
                <w:rFonts w:ascii="仿宋" w:hAnsi="仿宋" w:eastAsia="仿宋"/>
              </w:rPr>
            </w:pPr>
          </w:p>
        </w:tc>
        <w:tc>
          <w:tcPr>
            <w:tcW w:w="2244" w:type="dxa"/>
            <w:tcBorders>
              <w:left w:val="nil"/>
            </w:tcBorders>
          </w:tcPr>
          <w:p w14:paraId="57422499">
            <w:pPr>
              <w:spacing w:line="440" w:lineRule="exact"/>
              <w:jc w:val="center"/>
              <w:rPr>
                <w:rFonts w:ascii="仿宋" w:hAnsi="仿宋" w:eastAsia="仿宋"/>
              </w:rPr>
            </w:pPr>
          </w:p>
        </w:tc>
      </w:tr>
      <w:tr w14:paraId="00B1BD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14:paraId="492D66DC">
            <w:pPr>
              <w:spacing w:line="440" w:lineRule="exact"/>
              <w:jc w:val="center"/>
              <w:rPr>
                <w:rFonts w:ascii="仿宋" w:hAnsi="仿宋" w:eastAsia="仿宋"/>
              </w:rPr>
            </w:pPr>
            <w:r>
              <w:rPr>
                <w:rFonts w:hint="eastAsia" w:ascii="仿宋" w:hAnsi="仿宋" w:eastAsia="仿宋"/>
              </w:rPr>
              <w:t>公用经费</w:t>
            </w:r>
          </w:p>
        </w:tc>
        <w:tc>
          <w:tcPr>
            <w:tcW w:w="2181" w:type="dxa"/>
            <w:tcBorders>
              <w:left w:val="nil"/>
            </w:tcBorders>
          </w:tcPr>
          <w:p w14:paraId="52377CE7">
            <w:pPr>
              <w:spacing w:line="440" w:lineRule="exact"/>
              <w:jc w:val="center"/>
              <w:rPr>
                <w:rFonts w:ascii="仿宋" w:hAnsi="仿宋" w:eastAsia="仿宋"/>
              </w:rPr>
            </w:pPr>
            <w:r>
              <w:rPr>
                <w:rFonts w:hint="eastAsia" w:ascii="仿宋" w:hAnsi="仿宋" w:eastAsia="仿宋"/>
              </w:rPr>
              <w:t>254.45</w:t>
            </w:r>
          </w:p>
        </w:tc>
        <w:tc>
          <w:tcPr>
            <w:tcW w:w="2292" w:type="dxa"/>
            <w:tcBorders>
              <w:left w:val="nil"/>
            </w:tcBorders>
          </w:tcPr>
          <w:p w14:paraId="551A17C8">
            <w:pPr>
              <w:spacing w:line="440" w:lineRule="exact"/>
              <w:jc w:val="center"/>
              <w:rPr>
                <w:rFonts w:ascii="仿宋" w:hAnsi="仿宋" w:eastAsia="仿宋"/>
              </w:rPr>
            </w:pPr>
            <w:r>
              <w:rPr>
                <w:rFonts w:hint="eastAsia" w:ascii="仿宋" w:hAnsi="仿宋" w:eastAsia="仿宋"/>
              </w:rPr>
              <w:t>329</w:t>
            </w:r>
          </w:p>
        </w:tc>
        <w:tc>
          <w:tcPr>
            <w:tcW w:w="2244" w:type="dxa"/>
            <w:tcBorders>
              <w:left w:val="nil"/>
            </w:tcBorders>
          </w:tcPr>
          <w:p w14:paraId="1519E839">
            <w:pPr>
              <w:spacing w:line="440" w:lineRule="exact"/>
              <w:jc w:val="center"/>
              <w:rPr>
                <w:rFonts w:ascii="仿宋" w:hAnsi="仿宋" w:eastAsia="仿宋"/>
              </w:rPr>
            </w:pPr>
            <w:r>
              <w:rPr>
                <w:rFonts w:hint="eastAsia" w:ascii="仿宋" w:hAnsi="仿宋" w:eastAsia="仿宋"/>
              </w:rPr>
              <w:t>329</w:t>
            </w:r>
          </w:p>
        </w:tc>
      </w:tr>
      <w:tr w14:paraId="187474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7" w:hRule="atLeast"/>
          <w:jc w:val="center"/>
        </w:trPr>
        <w:tc>
          <w:tcPr>
            <w:tcW w:w="3597" w:type="dxa"/>
            <w:vAlign w:val="center"/>
          </w:tcPr>
          <w:p w14:paraId="79245E7E">
            <w:pPr>
              <w:spacing w:line="440" w:lineRule="exact"/>
              <w:jc w:val="center"/>
              <w:rPr>
                <w:rFonts w:ascii="仿宋" w:hAnsi="仿宋" w:eastAsia="仿宋"/>
              </w:rPr>
            </w:pPr>
            <w:r>
              <w:rPr>
                <w:rFonts w:hint="eastAsia" w:ascii="仿宋" w:hAnsi="仿宋" w:eastAsia="仿宋"/>
              </w:rPr>
              <w:t>其中：办公经费</w:t>
            </w:r>
          </w:p>
        </w:tc>
        <w:tc>
          <w:tcPr>
            <w:tcW w:w="2181" w:type="dxa"/>
            <w:tcBorders>
              <w:left w:val="nil"/>
            </w:tcBorders>
          </w:tcPr>
          <w:p w14:paraId="1D97307E">
            <w:pPr>
              <w:spacing w:line="440" w:lineRule="exact"/>
              <w:jc w:val="center"/>
              <w:rPr>
                <w:rFonts w:ascii="仿宋" w:hAnsi="仿宋" w:eastAsia="仿宋"/>
              </w:rPr>
            </w:pPr>
            <w:r>
              <w:rPr>
                <w:rFonts w:hint="eastAsia" w:ascii="仿宋" w:hAnsi="仿宋" w:eastAsia="仿宋"/>
              </w:rPr>
              <w:t>31.79</w:t>
            </w:r>
          </w:p>
        </w:tc>
        <w:tc>
          <w:tcPr>
            <w:tcW w:w="2292" w:type="dxa"/>
            <w:tcBorders>
              <w:left w:val="nil"/>
            </w:tcBorders>
          </w:tcPr>
          <w:p w14:paraId="1D2C59DC">
            <w:pPr>
              <w:spacing w:line="440" w:lineRule="exact"/>
              <w:jc w:val="center"/>
              <w:rPr>
                <w:rFonts w:ascii="仿宋" w:hAnsi="仿宋" w:eastAsia="仿宋"/>
              </w:rPr>
            </w:pPr>
            <w:r>
              <w:rPr>
                <w:rFonts w:hint="eastAsia" w:ascii="仿宋" w:hAnsi="仿宋" w:eastAsia="仿宋"/>
              </w:rPr>
              <w:t>62.8</w:t>
            </w:r>
          </w:p>
        </w:tc>
        <w:tc>
          <w:tcPr>
            <w:tcW w:w="2244" w:type="dxa"/>
            <w:tcBorders>
              <w:left w:val="nil"/>
            </w:tcBorders>
          </w:tcPr>
          <w:p w14:paraId="21700485">
            <w:pPr>
              <w:spacing w:line="440" w:lineRule="exact"/>
              <w:jc w:val="center"/>
              <w:rPr>
                <w:rFonts w:ascii="仿宋" w:hAnsi="仿宋" w:eastAsia="仿宋"/>
              </w:rPr>
            </w:pPr>
            <w:r>
              <w:rPr>
                <w:rFonts w:hint="eastAsia" w:ascii="仿宋" w:hAnsi="仿宋" w:eastAsia="仿宋"/>
              </w:rPr>
              <w:t>20.28</w:t>
            </w:r>
          </w:p>
        </w:tc>
      </w:tr>
      <w:tr w14:paraId="2345D3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6" w:hRule="atLeast"/>
          <w:jc w:val="center"/>
        </w:trPr>
        <w:tc>
          <w:tcPr>
            <w:tcW w:w="3597" w:type="dxa"/>
            <w:vAlign w:val="center"/>
          </w:tcPr>
          <w:p w14:paraId="7B2B6A55">
            <w:pPr>
              <w:spacing w:line="440" w:lineRule="exact"/>
              <w:jc w:val="center"/>
              <w:rPr>
                <w:rFonts w:ascii="仿宋" w:hAnsi="仿宋" w:eastAsia="仿宋"/>
              </w:rPr>
            </w:pPr>
            <w:r>
              <w:rPr>
                <w:rFonts w:hint="eastAsia" w:ascii="仿宋" w:hAnsi="仿宋" w:eastAsia="仿宋"/>
              </w:rPr>
              <w:t>水费、电费、差旅费</w:t>
            </w:r>
          </w:p>
        </w:tc>
        <w:tc>
          <w:tcPr>
            <w:tcW w:w="2181" w:type="dxa"/>
            <w:tcBorders>
              <w:left w:val="nil"/>
            </w:tcBorders>
          </w:tcPr>
          <w:p w14:paraId="115973F0">
            <w:pPr>
              <w:spacing w:line="440" w:lineRule="exact"/>
              <w:jc w:val="center"/>
              <w:rPr>
                <w:rFonts w:ascii="仿宋" w:hAnsi="仿宋" w:eastAsia="仿宋"/>
              </w:rPr>
            </w:pPr>
            <w:r>
              <w:rPr>
                <w:rFonts w:hint="eastAsia" w:ascii="仿宋" w:hAnsi="仿宋" w:eastAsia="仿宋"/>
              </w:rPr>
              <w:t>33.85</w:t>
            </w:r>
          </w:p>
        </w:tc>
        <w:tc>
          <w:tcPr>
            <w:tcW w:w="2292" w:type="dxa"/>
            <w:tcBorders>
              <w:left w:val="nil"/>
            </w:tcBorders>
          </w:tcPr>
          <w:p w14:paraId="5A55ABAB">
            <w:pPr>
              <w:spacing w:line="440" w:lineRule="exact"/>
              <w:jc w:val="center"/>
              <w:rPr>
                <w:rFonts w:ascii="仿宋" w:hAnsi="仿宋" w:eastAsia="仿宋"/>
              </w:rPr>
            </w:pPr>
            <w:r>
              <w:rPr>
                <w:rFonts w:hint="eastAsia" w:ascii="仿宋" w:hAnsi="仿宋" w:eastAsia="仿宋"/>
              </w:rPr>
              <w:t>9.1</w:t>
            </w:r>
          </w:p>
        </w:tc>
        <w:tc>
          <w:tcPr>
            <w:tcW w:w="2244" w:type="dxa"/>
            <w:tcBorders>
              <w:left w:val="nil"/>
            </w:tcBorders>
          </w:tcPr>
          <w:p w14:paraId="77E08F15">
            <w:pPr>
              <w:spacing w:line="440" w:lineRule="exact"/>
              <w:jc w:val="center"/>
              <w:rPr>
                <w:rFonts w:ascii="仿宋" w:hAnsi="仿宋" w:eastAsia="仿宋"/>
              </w:rPr>
            </w:pPr>
            <w:r>
              <w:rPr>
                <w:rFonts w:hint="eastAsia" w:ascii="仿宋" w:hAnsi="仿宋" w:eastAsia="仿宋"/>
              </w:rPr>
              <w:t>64.01</w:t>
            </w:r>
          </w:p>
        </w:tc>
      </w:tr>
      <w:tr w14:paraId="62297D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4" w:hRule="atLeast"/>
          <w:jc w:val="center"/>
        </w:trPr>
        <w:tc>
          <w:tcPr>
            <w:tcW w:w="3597" w:type="dxa"/>
            <w:vAlign w:val="center"/>
          </w:tcPr>
          <w:p w14:paraId="162D23A2">
            <w:pPr>
              <w:spacing w:line="440" w:lineRule="exact"/>
              <w:jc w:val="center"/>
              <w:rPr>
                <w:rFonts w:ascii="仿宋" w:hAnsi="仿宋" w:eastAsia="仿宋"/>
              </w:rPr>
            </w:pPr>
            <w:r>
              <w:rPr>
                <w:rFonts w:hint="eastAsia" w:ascii="仿宋" w:hAnsi="仿宋" w:eastAsia="仿宋"/>
              </w:rPr>
              <w:t>会议费、培训费</w:t>
            </w:r>
          </w:p>
        </w:tc>
        <w:tc>
          <w:tcPr>
            <w:tcW w:w="2181" w:type="dxa"/>
            <w:tcBorders>
              <w:left w:val="nil"/>
            </w:tcBorders>
          </w:tcPr>
          <w:p w14:paraId="4FAB9128">
            <w:pPr>
              <w:spacing w:line="440" w:lineRule="exact"/>
              <w:jc w:val="center"/>
              <w:rPr>
                <w:rFonts w:ascii="仿宋" w:hAnsi="仿宋" w:eastAsia="仿宋"/>
              </w:rPr>
            </w:pPr>
            <w:r>
              <w:rPr>
                <w:rFonts w:hint="eastAsia" w:ascii="仿宋" w:hAnsi="仿宋" w:eastAsia="仿宋"/>
              </w:rPr>
              <w:t>0.39</w:t>
            </w:r>
          </w:p>
        </w:tc>
        <w:tc>
          <w:tcPr>
            <w:tcW w:w="2292" w:type="dxa"/>
            <w:tcBorders>
              <w:left w:val="nil"/>
            </w:tcBorders>
          </w:tcPr>
          <w:p w14:paraId="79771F81">
            <w:pPr>
              <w:spacing w:line="440" w:lineRule="exact"/>
              <w:jc w:val="center"/>
              <w:rPr>
                <w:rFonts w:ascii="仿宋" w:hAnsi="仿宋" w:eastAsia="仿宋"/>
              </w:rPr>
            </w:pPr>
            <w:r>
              <w:rPr>
                <w:rFonts w:hint="eastAsia" w:ascii="仿宋" w:hAnsi="仿宋" w:eastAsia="仿宋"/>
              </w:rPr>
              <w:t>0.2</w:t>
            </w:r>
          </w:p>
        </w:tc>
        <w:tc>
          <w:tcPr>
            <w:tcW w:w="2244" w:type="dxa"/>
            <w:tcBorders>
              <w:left w:val="nil"/>
            </w:tcBorders>
          </w:tcPr>
          <w:p w14:paraId="49B71C55">
            <w:pPr>
              <w:spacing w:line="440" w:lineRule="exact"/>
              <w:jc w:val="center"/>
              <w:rPr>
                <w:rFonts w:ascii="仿宋" w:hAnsi="仿宋" w:eastAsia="仿宋"/>
              </w:rPr>
            </w:pPr>
            <w:r>
              <w:rPr>
                <w:rFonts w:hint="eastAsia" w:ascii="仿宋" w:hAnsi="仿宋" w:eastAsia="仿宋"/>
              </w:rPr>
              <w:t>1.12</w:t>
            </w:r>
          </w:p>
        </w:tc>
      </w:tr>
      <w:tr w14:paraId="1357A4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3597" w:type="dxa"/>
            <w:vAlign w:val="center"/>
          </w:tcPr>
          <w:p w14:paraId="6D19FDF3">
            <w:pPr>
              <w:spacing w:line="440" w:lineRule="exact"/>
              <w:jc w:val="center"/>
              <w:rPr>
                <w:rFonts w:ascii="仿宋" w:hAnsi="仿宋" w:eastAsia="仿宋"/>
              </w:rPr>
            </w:pPr>
            <w:r>
              <w:rPr>
                <w:rFonts w:hint="eastAsia" w:ascii="仿宋" w:hAnsi="仿宋" w:eastAsia="仿宋"/>
              </w:rPr>
              <w:t>政府采购金额</w:t>
            </w:r>
          </w:p>
        </w:tc>
        <w:tc>
          <w:tcPr>
            <w:tcW w:w="2181" w:type="dxa"/>
            <w:tcBorders>
              <w:left w:val="nil"/>
            </w:tcBorders>
            <w:vAlign w:val="center"/>
          </w:tcPr>
          <w:p w14:paraId="1A440C02">
            <w:pPr>
              <w:spacing w:line="440" w:lineRule="exact"/>
              <w:jc w:val="center"/>
              <w:rPr>
                <w:rFonts w:ascii="仿宋" w:hAnsi="仿宋" w:eastAsia="仿宋"/>
              </w:rPr>
            </w:pPr>
            <w:r>
              <w:rPr>
                <w:rFonts w:ascii="仿宋" w:hAnsi="仿宋" w:eastAsia="仿宋"/>
              </w:rPr>
              <w:t>— —</w:t>
            </w:r>
          </w:p>
        </w:tc>
        <w:tc>
          <w:tcPr>
            <w:tcW w:w="2292" w:type="dxa"/>
            <w:tcBorders>
              <w:left w:val="nil"/>
            </w:tcBorders>
          </w:tcPr>
          <w:p w14:paraId="3EEAC0A2">
            <w:pPr>
              <w:spacing w:line="440" w:lineRule="exact"/>
              <w:jc w:val="center"/>
              <w:rPr>
                <w:rFonts w:ascii="仿宋" w:hAnsi="仿宋" w:eastAsia="仿宋"/>
              </w:rPr>
            </w:pPr>
            <w:r>
              <w:rPr>
                <w:rFonts w:ascii="仿宋" w:hAnsi="仿宋" w:eastAsia="仿宋"/>
              </w:rPr>
              <w:t>— —</w:t>
            </w:r>
          </w:p>
        </w:tc>
        <w:tc>
          <w:tcPr>
            <w:tcW w:w="2244" w:type="dxa"/>
            <w:tcBorders>
              <w:left w:val="nil"/>
            </w:tcBorders>
          </w:tcPr>
          <w:p w14:paraId="65E80047">
            <w:pPr>
              <w:spacing w:line="440" w:lineRule="exact"/>
              <w:jc w:val="center"/>
              <w:rPr>
                <w:rFonts w:ascii="仿宋" w:hAnsi="仿宋" w:eastAsia="仿宋"/>
              </w:rPr>
            </w:pPr>
            <w:r>
              <w:rPr>
                <w:rFonts w:ascii="仿宋" w:hAnsi="仿宋" w:eastAsia="仿宋"/>
              </w:rPr>
              <w:t>— —</w:t>
            </w:r>
          </w:p>
        </w:tc>
      </w:tr>
      <w:tr w14:paraId="4A4BBE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 w:hRule="atLeast"/>
          <w:jc w:val="center"/>
        </w:trPr>
        <w:tc>
          <w:tcPr>
            <w:tcW w:w="3597" w:type="dxa"/>
            <w:vAlign w:val="center"/>
          </w:tcPr>
          <w:p w14:paraId="13CC65D4">
            <w:pPr>
              <w:spacing w:line="440" w:lineRule="exact"/>
              <w:jc w:val="center"/>
              <w:rPr>
                <w:rFonts w:ascii="仿宋" w:hAnsi="仿宋" w:eastAsia="仿宋"/>
              </w:rPr>
            </w:pPr>
            <w:r>
              <w:rPr>
                <w:rFonts w:hint="eastAsia" w:ascii="仿宋" w:hAnsi="仿宋" w:eastAsia="仿宋"/>
              </w:rPr>
              <w:t>部门整体支出预算调整</w:t>
            </w:r>
          </w:p>
        </w:tc>
        <w:tc>
          <w:tcPr>
            <w:tcW w:w="2181" w:type="dxa"/>
            <w:tcBorders>
              <w:left w:val="nil"/>
            </w:tcBorders>
            <w:vAlign w:val="center"/>
          </w:tcPr>
          <w:p w14:paraId="2FF93FAC">
            <w:pPr>
              <w:spacing w:line="440" w:lineRule="exact"/>
              <w:jc w:val="center"/>
              <w:rPr>
                <w:rFonts w:ascii="仿宋" w:hAnsi="仿宋" w:eastAsia="仿宋"/>
              </w:rPr>
            </w:pPr>
            <w:r>
              <w:rPr>
                <w:rFonts w:ascii="仿宋" w:hAnsi="仿宋" w:eastAsia="仿宋"/>
              </w:rPr>
              <w:t>— —</w:t>
            </w:r>
          </w:p>
        </w:tc>
        <w:tc>
          <w:tcPr>
            <w:tcW w:w="2292" w:type="dxa"/>
            <w:tcBorders>
              <w:left w:val="nil"/>
            </w:tcBorders>
          </w:tcPr>
          <w:p w14:paraId="3D57E589">
            <w:pPr>
              <w:spacing w:line="440" w:lineRule="exact"/>
              <w:jc w:val="center"/>
              <w:rPr>
                <w:rFonts w:ascii="仿宋" w:hAnsi="仿宋" w:eastAsia="仿宋"/>
              </w:rPr>
            </w:pPr>
            <w:r>
              <w:rPr>
                <w:rFonts w:ascii="仿宋" w:hAnsi="仿宋" w:eastAsia="仿宋"/>
              </w:rPr>
              <w:t>— —</w:t>
            </w:r>
          </w:p>
        </w:tc>
        <w:tc>
          <w:tcPr>
            <w:tcW w:w="2244" w:type="dxa"/>
            <w:tcBorders>
              <w:left w:val="nil"/>
            </w:tcBorders>
          </w:tcPr>
          <w:p w14:paraId="2B2284F8">
            <w:pPr>
              <w:spacing w:line="440" w:lineRule="exact"/>
              <w:jc w:val="center"/>
              <w:rPr>
                <w:rFonts w:ascii="仿宋" w:hAnsi="仿宋" w:eastAsia="仿宋"/>
              </w:rPr>
            </w:pPr>
            <w:r>
              <w:rPr>
                <w:rFonts w:ascii="仿宋" w:hAnsi="仿宋" w:eastAsia="仿宋"/>
              </w:rPr>
              <w:t>— —</w:t>
            </w:r>
          </w:p>
        </w:tc>
      </w:tr>
    </w:tbl>
    <w:p w14:paraId="0877C76E">
      <w:pPr>
        <w:spacing w:line="400" w:lineRule="exact"/>
        <w:rPr>
          <w:rFonts w:ascii="仿宋" w:hAnsi="仿宋" w:eastAsia="仿宋"/>
        </w:rPr>
      </w:pPr>
      <w:r>
        <w:rPr>
          <w:rFonts w:hint="eastAsia" w:ascii="仿宋" w:hAnsi="仿宋" w:eastAsia="仿宋"/>
        </w:rPr>
        <w:t>说明：“项目支出”需要填报除专项资金和基本支出以外的所有项目情况，包括业务工作项目、运行维护项目等；“公用经费”填报基本支出中的一般商品和服务支出。</w:t>
      </w:r>
    </w:p>
    <w:p w14:paraId="418684F1">
      <w:pPr>
        <w:pStyle w:val="2"/>
        <w:rPr>
          <w:rFonts w:ascii="仿宋" w:hAnsi="仿宋" w:eastAsia="仿宋"/>
          <w:sz w:val="32"/>
          <w:szCs w:val="32"/>
        </w:rPr>
      </w:pPr>
    </w:p>
    <w:p w14:paraId="396518B0"/>
    <w:sectPr>
      <w:footerReference r:id="rId3" w:type="default"/>
      <w:pgSz w:w="11906" w:h="16838"/>
      <w:pgMar w:top="1074" w:right="1392" w:bottom="1684" w:left="149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方正小标宋_GBK">
    <w:altName w:val="微软雅黑"/>
    <w:panose1 w:val="00000000000000000000"/>
    <w:charset w:val="86"/>
    <w:family w:val="script"/>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Wingdings 2">
    <w:panose1 w:val="05020102010507070707"/>
    <w:charset w:val="00"/>
    <w:family w:val="auto"/>
    <w:pitch w:val="default"/>
    <w:sig w:usb0="00000000" w:usb1="00000000" w:usb2="00000000" w:usb3="00000000" w:csb0="80000000" w:csb1="00000000"/>
  </w:font>
  <w:font w:name="新宋体">
    <w:panose1 w:val="02010609030101010101"/>
    <w:charset w:val="86"/>
    <w:family w:val="modern"/>
    <w:pitch w:val="default"/>
    <w:sig w:usb0="00000203" w:usb1="288F0000" w:usb2="0000000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E3BEB2">
    <w:pPr>
      <w:pStyle w:val="3"/>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9708C45">
                          <w:pPr>
                            <w:pStyle w:val="3"/>
                          </w:pPr>
                          <w:r>
                            <w:fldChar w:fldCharType="begin"/>
                          </w:r>
                          <w:r>
                            <w:instrText xml:space="preserve"> PAGE  \* MERGEFORMAT </w:instrText>
                          </w:r>
                          <w:r>
                            <w:fldChar w:fldCharType="separate"/>
                          </w:r>
                          <w:r>
                            <w:t>3</w:t>
                          </w:r>
                          <w:r>
                            <w:fldChar w:fldCharType="end"/>
                          </w: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Na8P8XFAQAAkAMAAA4AAAAAAAAAAQAgAAAAHgEAAGRycy9lMm9Eb2MueG1s&#10;UEsFBgAAAAAGAAYAWQEAAFUFAAAAAA==&#10;">
              <v:fill on="f" focussize="0,0"/>
              <v:stroke on="f"/>
              <v:imagedata o:title=""/>
              <o:lock v:ext="edit" aspectratio="f"/>
              <v:textbox inset="0mm,0mm,0mm,0mm" style="mso-fit-shape-to-text:t;">
                <w:txbxContent>
                  <w:p w14:paraId="39708C45">
                    <w:pPr>
                      <w:pStyle w:val="3"/>
                    </w:pPr>
                    <w:r>
                      <w:fldChar w:fldCharType="begin"/>
                    </w:r>
                    <w:r>
                      <w:instrText xml:space="preserve"> PAGE  \* MERGEFORMAT </w:instrText>
                    </w:r>
                    <w:r>
                      <w:fldChar w:fldCharType="separate"/>
                    </w:r>
                    <w:r>
                      <w:t>3</w:t>
                    </w:r>
                    <w:r>
                      <w:fldChar w:fldCharType="end"/>
                    </w:r>
                  </w:p>
                </w:txbxContent>
              </v:textbox>
            </v:shape>
          </w:pict>
        </mc:Fallback>
      </mc:AlternateContent>
    </w:r>
  </w:p>
  <w:p w14:paraId="5563454F">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8F3826"/>
    <w:multiLevelType w:val="singleLevel"/>
    <w:tmpl w:val="8D8F3826"/>
    <w:lvl w:ilvl="0" w:tentative="0">
      <w:start w:val="1"/>
      <w:numFmt w:val="decimal"/>
      <w:suff w:val="nothing"/>
      <w:lvlText w:val="%1、"/>
      <w:lvlJc w:val="left"/>
    </w:lvl>
  </w:abstractNum>
  <w:abstractNum w:abstractNumId="1">
    <w:nsid w:val="A496D9B5"/>
    <w:multiLevelType w:val="singleLevel"/>
    <w:tmpl w:val="A496D9B5"/>
    <w:lvl w:ilvl="0" w:tentative="0">
      <w:start w:val="2"/>
      <w:numFmt w:val="chineseCounting"/>
      <w:suff w:val="nothing"/>
      <w:lvlText w:val="（%1）"/>
      <w:lvlJc w:val="left"/>
      <w:pPr>
        <w:ind w:left="280"/>
      </w:pPr>
      <w:rPr>
        <w:rFonts w:hint="eastAsia"/>
      </w:rPr>
    </w:lvl>
  </w:abstractNum>
  <w:abstractNum w:abstractNumId="2">
    <w:nsid w:val="F0385081"/>
    <w:multiLevelType w:val="singleLevel"/>
    <w:tmpl w:val="F0385081"/>
    <w:lvl w:ilvl="0" w:tentative="0">
      <w:start w:val="1"/>
      <w:numFmt w:val="chineseCounting"/>
      <w:suff w:val="nothing"/>
      <w:lvlText w:val="（%1）"/>
      <w:lvlJc w:val="left"/>
      <w:pPr>
        <w:ind w:left="481" w:firstLine="0"/>
      </w:pPr>
      <w:rPr>
        <w:rFonts w:hint="eastAsia"/>
      </w:rPr>
    </w:lvl>
  </w:abstractNum>
  <w:abstractNum w:abstractNumId="3">
    <w:nsid w:val="04CE1653"/>
    <w:multiLevelType w:val="singleLevel"/>
    <w:tmpl w:val="04CE1653"/>
    <w:lvl w:ilvl="0" w:tentative="0">
      <w:start w:val="5"/>
      <w:numFmt w:val="chineseCounting"/>
      <w:suff w:val="nothing"/>
      <w:lvlText w:val="%1、"/>
      <w:lvlJc w:val="left"/>
      <w:rPr>
        <w:rFonts w:hint="eastAsia"/>
      </w:rPr>
    </w:lvl>
  </w:abstractNum>
  <w:abstractNum w:abstractNumId="4">
    <w:nsid w:val="3F496DF1"/>
    <w:multiLevelType w:val="singleLevel"/>
    <w:tmpl w:val="3F496DF1"/>
    <w:lvl w:ilvl="0" w:tentative="0">
      <w:start w:val="1"/>
      <w:numFmt w:val="decimal"/>
      <w:suff w:val="nothing"/>
      <w:lvlText w:val="%1、"/>
      <w:lvlJc w:val="left"/>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HorizontalSpacing w:val="105"/>
  <w:drawingGridVerticalSpacing w:val="160"/>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FmMWZlMjJjOTJkODkwMWFlMzA4ZTA0ZmVhN2VlMGYifQ=="/>
  </w:docVars>
  <w:rsids>
    <w:rsidRoot w:val="00966A9D"/>
    <w:rsid w:val="000335BA"/>
    <w:rsid w:val="000433CF"/>
    <w:rsid w:val="000844E8"/>
    <w:rsid w:val="000B1DF1"/>
    <w:rsid w:val="001D0151"/>
    <w:rsid w:val="002002D8"/>
    <w:rsid w:val="00212340"/>
    <w:rsid w:val="002D08D8"/>
    <w:rsid w:val="002D330E"/>
    <w:rsid w:val="002E7905"/>
    <w:rsid w:val="003E00BC"/>
    <w:rsid w:val="003E2CBE"/>
    <w:rsid w:val="00452388"/>
    <w:rsid w:val="0053241D"/>
    <w:rsid w:val="00537849"/>
    <w:rsid w:val="00596930"/>
    <w:rsid w:val="005D6D51"/>
    <w:rsid w:val="0062194C"/>
    <w:rsid w:val="006411BD"/>
    <w:rsid w:val="0069146C"/>
    <w:rsid w:val="0070144E"/>
    <w:rsid w:val="00722AC9"/>
    <w:rsid w:val="00777B2F"/>
    <w:rsid w:val="007D0828"/>
    <w:rsid w:val="0084360E"/>
    <w:rsid w:val="00924E74"/>
    <w:rsid w:val="00966A9D"/>
    <w:rsid w:val="00A215BD"/>
    <w:rsid w:val="00A27123"/>
    <w:rsid w:val="00AA52F4"/>
    <w:rsid w:val="00AC55A0"/>
    <w:rsid w:val="00B3300E"/>
    <w:rsid w:val="00BB4E12"/>
    <w:rsid w:val="00CB0A9F"/>
    <w:rsid w:val="00DB1392"/>
    <w:rsid w:val="00DD1457"/>
    <w:rsid w:val="00DD3BB6"/>
    <w:rsid w:val="00E27331"/>
    <w:rsid w:val="00EF48B3"/>
    <w:rsid w:val="00F1062F"/>
    <w:rsid w:val="00F81B5C"/>
    <w:rsid w:val="01295FA2"/>
    <w:rsid w:val="024E19D4"/>
    <w:rsid w:val="03AF6DEF"/>
    <w:rsid w:val="04AC726F"/>
    <w:rsid w:val="06A659F7"/>
    <w:rsid w:val="090A48CB"/>
    <w:rsid w:val="0EAB70F1"/>
    <w:rsid w:val="0FAD49C6"/>
    <w:rsid w:val="101C3F04"/>
    <w:rsid w:val="155D4430"/>
    <w:rsid w:val="160A03D3"/>
    <w:rsid w:val="1A2B4B92"/>
    <w:rsid w:val="1A562E36"/>
    <w:rsid w:val="1AE626F5"/>
    <w:rsid w:val="1B133D5B"/>
    <w:rsid w:val="1B7F74AC"/>
    <w:rsid w:val="1D07334C"/>
    <w:rsid w:val="1DE560A6"/>
    <w:rsid w:val="1F300C3F"/>
    <w:rsid w:val="1F9E7C16"/>
    <w:rsid w:val="1FBD24E7"/>
    <w:rsid w:val="20FE10E9"/>
    <w:rsid w:val="23331939"/>
    <w:rsid w:val="24575403"/>
    <w:rsid w:val="248823D6"/>
    <w:rsid w:val="259D0452"/>
    <w:rsid w:val="269558B7"/>
    <w:rsid w:val="279E0186"/>
    <w:rsid w:val="27FB14AC"/>
    <w:rsid w:val="29B00F8D"/>
    <w:rsid w:val="2B170D4F"/>
    <w:rsid w:val="2B3E1A6E"/>
    <w:rsid w:val="2D494325"/>
    <w:rsid w:val="2DB0202E"/>
    <w:rsid w:val="2ECA49C8"/>
    <w:rsid w:val="2F635F2C"/>
    <w:rsid w:val="3411470F"/>
    <w:rsid w:val="341E2341"/>
    <w:rsid w:val="34D30A43"/>
    <w:rsid w:val="3B9F321C"/>
    <w:rsid w:val="3E7B1AB6"/>
    <w:rsid w:val="3EF37DC0"/>
    <w:rsid w:val="3FBB7519"/>
    <w:rsid w:val="42B72CD1"/>
    <w:rsid w:val="4478182D"/>
    <w:rsid w:val="46E0750F"/>
    <w:rsid w:val="47A66330"/>
    <w:rsid w:val="484B4125"/>
    <w:rsid w:val="48A3384D"/>
    <w:rsid w:val="48AC5DEB"/>
    <w:rsid w:val="48C43988"/>
    <w:rsid w:val="4BFF56B2"/>
    <w:rsid w:val="4C28122D"/>
    <w:rsid w:val="4D0F48FB"/>
    <w:rsid w:val="4FCF0B39"/>
    <w:rsid w:val="53276055"/>
    <w:rsid w:val="555E1673"/>
    <w:rsid w:val="5640783D"/>
    <w:rsid w:val="56805A69"/>
    <w:rsid w:val="574A009E"/>
    <w:rsid w:val="57E91AC0"/>
    <w:rsid w:val="59B2413A"/>
    <w:rsid w:val="5DA14CA4"/>
    <w:rsid w:val="5DFC6119"/>
    <w:rsid w:val="5EFA3B29"/>
    <w:rsid w:val="619661F5"/>
    <w:rsid w:val="623D6461"/>
    <w:rsid w:val="62FB6960"/>
    <w:rsid w:val="635F11D8"/>
    <w:rsid w:val="63E34808"/>
    <w:rsid w:val="653C488D"/>
    <w:rsid w:val="67C56304"/>
    <w:rsid w:val="67C94555"/>
    <w:rsid w:val="68F93BE6"/>
    <w:rsid w:val="6A1444FD"/>
    <w:rsid w:val="6A527AD6"/>
    <w:rsid w:val="6A954E2C"/>
    <w:rsid w:val="6B031305"/>
    <w:rsid w:val="6C2B2339"/>
    <w:rsid w:val="6DC56E7B"/>
    <w:rsid w:val="753F076E"/>
    <w:rsid w:val="754E0F8A"/>
    <w:rsid w:val="765F6F76"/>
    <w:rsid w:val="778A43EB"/>
    <w:rsid w:val="79515C1A"/>
    <w:rsid w:val="7A3C7E87"/>
    <w:rsid w:val="7B11147F"/>
    <w:rsid w:val="7C873DCA"/>
    <w:rsid w:val="7DAE02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table of authorities"/>
    <w:basedOn w:val="1"/>
    <w:next w:val="1"/>
    <w:unhideWhenUsed/>
    <w:qFormat/>
    <w:uiPriority w:val="99"/>
    <w:pPr>
      <w:ind w:left="420" w:leftChars="200"/>
    </w:pPr>
    <w:rPr>
      <w:rFonts w:cs="宋体"/>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semiHidden/>
    <w:unhideWhenUsed/>
    <w:qFormat/>
    <w:uiPriority w:val="99"/>
    <w:rPr>
      <w:color w:val="0000FF"/>
      <w:u w:val="single"/>
    </w:rPr>
  </w:style>
  <w:style w:type="character" w:customStyle="1" w:styleId="9">
    <w:name w:val="页眉 字符"/>
    <w:basedOn w:val="7"/>
    <w:link w:val="4"/>
    <w:semiHidden/>
    <w:qFormat/>
    <w:uiPriority w:val="99"/>
    <w:rPr>
      <w:sz w:val="18"/>
      <w:szCs w:val="18"/>
    </w:rPr>
  </w:style>
  <w:style w:type="character" w:customStyle="1" w:styleId="10">
    <w:name w:val="页脚 字符"/>
    <w:basedOn w:val="7"/>
    <w:link w:val="3"/>
    <w:qFormat/>
    <w:uiPriority w:val="99"/>
    <w:rPr>
      <w:sz w:val="18"/>
      <w:szCs w:val="18"/>
    </w:rPr>
  </w:style>
  <w:style w:type="paragraph" w:styleId="11">
    <w:name w:val="List Paragraph"/>
    <w:basedOn w:val="1"/>
    <w:qFormat/>
    <w:uiPriority w:val="99"/>
    <w:pPr>
      <w:spacing w:line="365" w:lineRule="atLeast"/>
      <w:ind w:left="1" w:firstLine="420" w:firstLineChars="200"/>
      <w:textAlignment w:val="bottom"/>
    </w:pPr>
    <w:rPr>
      <w:rFonts w:ascii="Calibri" w:hAnsi="Calibri" w:eastAsia="宋体"/>
      <w:kern w:val="0"/>
      <w:sz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16558-0A84-43F0-8678-370E294AB8E3}">
  <ds:schemaRefs/>
</ds:datastoreItem>
</file>

<file path=docProps/app.xml><?xml version="1.0" encoding="utf-8"?>
<Properties xmlns="http://schemas.openxmlformats.org/officeDocument/2006/extended-properties" xmlns:vt="http://schemas.openxmlformats.org/officeDocument/2006/docPropsVTypes">
  <Template>Normal.dotm</Template>
  <Pages>15</Pages>
  <Words>7410</Words>
  <Characters>7798</Characters>
  <Lines>76</Lines>
  <Paragraphs>21</Paragraphs>
  <TotalTime>0</TotalTime>
  <ScaleCrop>false</ScaleCrop>
  <LinksUpToDate>false</LinksUpToDate>
  <CharactersWithSpaces>7864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2024-09-29T09:50:00Z</dcterms:created>
  <dc:creator>Administrator</dc:creator>
  <cp:lastModifiedBy>86135</cp:lastModifiedBy>
  <cp:lastPrinted>2022-05-06T01:45:00Z</cp:lastPrinted>
  <dcterms:modified xsi:type="dcterms:W3CDTF">2024-10-31T09:14:13Z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196252F437DA4DF39877969D188E4D82</vt:lpwstr>
  </property>
</Properties>
</file>