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sz w:val="24"/>
        </w:rPr>
      </w:pPr>
      <w:bookmarkStart w:id="0" w:name="_GoBack"/>
      <w:bookmarkEnd w:id="0"/>
    </w:p>
    <w:p>
      <w:pPr>
        <w:widowControl/>
        <w:spacing w:line="640" w:lineRule="exact"/>
        <w:jc w:val="center"/>
        <w:rPr>
          <w:rFonts w:hint="eastAsia"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2023年度</w:t>
      </w:r>
      <w:r>
        <w:rPr>
          <w:rFonts w:hint="eastAsia" w:ascii="黑体" w:hAnsi="黑体" w:eastAsia="黑体" w:cs="黑体"/>
          <w:bCs/>
          <w:sz w:val="44"/>
          <w:lang w:val="en-US" w:eastAsia="zh-CN"/>
        </w:rPr>
        <w:t>辰溪县城市管理和综合执法局</w:t>
      </w:r>
      <w:r>
        <w:rPr>
          <w:rFonts w:hint="eastAsia" w:ascii="黑体" w:hAnsi="黑体" w:eastAsia="黑体" w:cs="黑体"/>
          <w:bCs/>
          <w:sz w:val="44"/>
        </w:rPr>
        <w:t>部门整体支出绩效自评报告</w:t>
      </w: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jc w:val="center"/>
        <w:rPr>
          <w:sz w:val="24"/>
        </w:rPr>
      </w:pPr>
    </w:p>
    <w:p>
      <w:pPr>
        <w:spacing w:line="600" w:lineRule="exact"/>
        <w:rPr>
          <w:sz w:val="24"/>
        </w:rPr>
      </w:pPr>
    </w:p>
    <w:p>
      <w:pPr>
        <w:spacing w:line="600" w:lineRule="exact"/>
        <w:jc w:val="center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部门（单位）名称：</w:t>
      </w:r>
      <w:r>
        <w:rPr>
          <w:rFonts w:hint="eastAsia"/>
          <w:sz w:val="32"/>
          <w:szCs w:val="32"/>
          <w:u w:val="single"/>
        </w:rPr>
        <w:t xml:space="preserve">（盖章）      </w:t>
      </w:r>
    </w:p>
    <w:p>
      <w:pPr>
        <w:spacing w:line="6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　　　年 　 月　  日</w:t>
      </w:r>
    </w:p>
    <w:p>
      <w:pPr>
        <w:spacing w:line="600" w:lineRule="exact"/>
        <w:jc w:val="center"/>
        <w:rPr>
          <w:sz w:val="24"/>
        </w:rPr>
      </w:pPr>
      <w:r>
        <w:rPr>
          <w:rFonts w:hint="eastAsia"/>
          <w:sz w:val="24"/>
        </w:rPr>
        <w:t>（此面为封面）</w:t>
      </w:r>
    </w:p>
    <w:p>
      <w:pPr>
        <w:spacing w:line="600" w:lineRule="exact"/>
        <w:jc w:val="center"/>
        <w:rPr>
          <w:rFonts w:hint="eastAsia" w:eastAsia="方正小标宋_GBK"/>
          <w:sz w:val="36"/>
          <w:szCs w:val="36"/>
        </w:rPr>
      </w:pPr>
    </w:p>
    <w:p>
      <w:pPr>
        <w:spacing w:line="600" w:lineRule="exact"/>
        <w:jc w:val="center"/>
        <w:rPr>
          <w:rFonts w:hint="eastAsia" w:eastAsia="方正小标宋_GBK"/>
          <w:sz w:val="36"/>
          <w:szCs w:val="36"/>
        </w:rPr>
      </w:pPr>
    </w:p>
    <w:p>
      <w:pPr>
        <w:spacing w:line="600" w:lineRule="exact"/>
        <w:jc w:val="center"/>
        <w:rPr>
          <w:rFonts w:hint="eastAsia" w:eastAsia="方正小标宋_GBK"/>
          <w:sz w:val="36"/>
          <w:szCs w:val="36"/>
        </w:rPr>
      </w:pPr>
    </w:p>
    <w:p>
      <w:pPr>
        <w:spacing w:line="600" w:lineRule="exact"/>
        <w:jc w:val="center"/>
        <w:rPr>
          <w:rFonts w:hint="eastAsia" w:eastAsia="方正小标宋_GBK"/>
          <w:sz w:val="36"/>
          <w:szCs w:val="36"/>
        </w:rPr>
      </w:pPr>
    </w:p>
    <w:p>
      <w:pPr>
        <w:rPr>
          <w:rFonts w:hint="eastAsia"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2023年度辰溪县城市管理和综合执法局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部门整体支出绩效自评报告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eastAsia="方正小标宋_GBK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为贯彻落实《中共中央国务院关于全面实施预算绩效管理的意见》（中发〔2018〕34号）、财政部《项目支出绩效评价管理办法》（财预〔2020〕10号）、《中共湖南省委办公厅　湖南省人民政府办公厅关于全面实施预算绩效管理的实施意见》（湘办发〔2019〕10号）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《辰溪县全面实施项目绩效管理的实施意见》（辰办发〔20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〕8号）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和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《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2023年度部门整体支出和项目支出绩效自评通知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》</w:t>
      </w:r>
      <w:r>
        <w:rPr>
          <w:rFonts w:hint="eastAsia" w:ascii="仿宋_GB2312"/>
          <w:color w:val="000000"/>
          <w:sz w:val="32"/>
          <w:szCs w:val="32"/>
          <w:lang w:eastAsia="zh-CN"/>
        </w:rPr>
        <w:t>（</w:t>
      </w:r>
      <w:r>
        <w:rPr>
          <w:rFonts w:ascii="仿宋" w:hAnsi="仿宋" w:eastAsia="仿宋"/>
          <w:spacing w:val="1"/>
          <w:sz w:val="32"/>
          <w:szCs w:val="32"/>
        </w:rPr>
        <w:t>辰财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〔20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〕</w:t>
      </w:r>
      <w:r>
        <w:rPr>
          <w:rFonts w:hint="eastAsia" w:ascii="仿宋" w:hAnsi="仿宋" w:eastAsia="仿宋"/>
          <w:spacing w:val="1"/>
          <w:sz w:val="32"/>
          <w:szCs w:val="32"/>
        </w:rPr>
        <w:t>55</w:t>
      </w:r>
      <w:r>
        <w:rPr>
          <w:rFonts w:hint="eastAsia" w:ascii="仿宋" w:hAnsi="仿宋" w:eastAsia="仿宋"/>
          <w:spacing w:val="1"/>
          <w:sz w:val="32"/>
          <w:szCs w:val="32"/>
          <w:lang w:val="en-US" w:eastAsia="zh-CN"/>
        </w:rPr>
        <w:t>号</w:t>
      </w:r>
      <w:r>
        <w:rPr>
          <w:rFonts w:hint="eastAsia" w:ascii="仿宋" w:hAnsi="仿宋" w:eastAsia="仿宋"/>
          <w:spacing w:val="1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等文件要求推进全过程绩效管理，压实支出责任，提高财政资金使用效益和管理水平，本单位成立了绩效自评工作小组，对202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年部门整体支出进行了绩效评价，现将评价情况报告如下：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部门基本情况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default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（一）单位基本情况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1、单位职能职责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（1）贯彻执行国家、省、市、县有关城市管理行政执法方面的法律、法规和方针、政策。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（2）负责对城区城市管理和综合执法工作的组织领导、综合协调和监督检查，组织业务培训及业务考核。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（3）负责“智慧城市”数字城管平台的建设和管理。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（4）负责拟定全县城市管理发展规划并组织实施，制定全县城市管理容貌标准和环境卫生标准。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（5）负责行使县城规划区内临时占用和挖掘城市道路及公共场地、绿化地、城市排水设施、户外广告设置的监督管理工作。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（6）负责县城规划区范围内的城市市容、环境卫生、园林绿化、城市渣土的监督管理工作；负责城区垃圾的集中处置和垃圾处理场的监督管理。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（7）负责县城规划区范围内的市政公用设施的监督管理和维护工作；负责市政基础设施的一般性改造和扩建工作；参与编制城区市政工程设施规划、计划和市政工程竣工验收。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（8）负责本县城市规划区内城市管理综合执法。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9）负责编制城市市政维护管理方面资金年度使用计划和申报工作。管理城市维护建设资金及其他专项资金，检查监督各项资金的使用情况，依据界定的职能和法律、法规、规章、政策，负责各项规费及有关专项资金的征收、管理、使用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（10）完成县委、县政府交办的其他工作。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2、机构情况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内设机构包括：（1）办公室（人事财务装备股）；（2）政策法规股（行政审批服务股）；（3）综合管理股；（4）机关党组。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2023年末实际在职人数81人，其中行政人员7人，非参公事业人员74人。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部门整体收支情况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2023年度部门整体支出年初预算1309.78万元，年内调增518.65万元，合计安排1828.42万元。其中一般公共预算1309.78万元，政府性基金预算3.39万元（主要用于公共饮水点直饮水费），其他收入5万元（辰溪县疫情指挥部拨入疫情防控专项经费，用于疫情防控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_GB2312" w:hAnsi="Times New Roman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bCs/>
          <w:color w:val="auto"/>
          <w:sz w:val="32"/>
          <w:szCs w:val="32"/>
          <w:lang w:val="en-US" w:eastAsia="zh-CN"/>
        </w:rPr>
        <w:t>2023年度决算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支出</w:t>
      </w:r>
      <w:r>
        <w:rPr>
          <w:rFonts w:hint="eastAsia" w:ascii="仿宋_GB2312"/>
          <w:bCs/>
          <w:color w:val="auto"/>
          <w:sz w:val="32"/>
          <w:szCs w:val="32"/>
          <w:lang w:val="en-US" w:eastAsia="zh-CN"/>
        </w:rPr>
        <w:t>1828.42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万元，</w:t>
      </w:r>
      <w:r>
        <w:rPr>
          <w:rFonts w:hint="eastAsia" w:ascii="仿宋_GB2312"/>
          <w:bCs/>
          <w:color w:val="auto"/>
          <w:sz w:val="32"/>
          <w:szCs w:val="32"/>
          <w:lang w:val="en-US" w:eastAsia="zh-CN"/>
        </w:rPr>
        <w:t>其中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基本支出</w:t>
      </w:r>
      <w:r>
        <w:rPr>
          <w:rFonts w:hint="eastAsia" w:ascii="仿宋_GB2312"/>
          <w:bCs/>
          <w:color w:val="auto"/>
          <w:sz w:val="32"/>
          <w:szCs w:val="32"/>
          <w:lang w:val="en-US" w:eastAsia="zh-CN"/>
        </w:rPr>
        <w:t>1391.90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万元，主要是为保障单位正常运转、完成日常工作任务而发生的各项支出，包括用于基本工资、津贴补贴等人员经费以及办公费、印刷费、水电费等公用经费。项目支出</w:t>
      </w:r>
      <w:r>
        <w:rPr>
          <w:rFonts w:hint="eastAsia" w:ascii="仿宋_GB2312"/>
          <w:bCs/>
          <w:color w:val="auto"/>
          <w:sz w:val="32"/>
          <w:szCs w:val="32"/>
          <w:lang w:val="en-US" w:eastAsia="zh-CN"/>
        </w:rPr>
        <w:t>436.52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万元，主要用于园林绿化养护项目</w:t>
      </w:r>
      <w:r>
        <w:rPr>
          <w:rFonts w:hint="eastAsia" w:ascii="仿宋_GB2312"/>
          <w:bCs/>
          <w:color w:val="auto"/>
          <w:sz w:val="32"/>
          <w:szCs w:val="32"/>
          <w:lang w:eastAsia="zh-CN"/>
        </w:rPr>
        <w:t>、“两违”整治、市容市貌专项整治、文明城市实地测评城区道路维修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等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</w:rPr>
        <w:t>工作。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二、一般公共项目支出情况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2023年度一般公共项目年初预算1309.78万元，年内调增510.26万元，合计安排1820.04万元。决算支出1820.04万元，其中基本支出1391.90万元，项目支出428.14万元。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（一）基本支出情况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2023年基本支出年初预算1278.78万元，年内调增113.12万元，合计安排1391.90万元。决算支出1391.90万元，其中工资福利支出1100.47万元，对个人和家庭的补助9.22万元，商品和服务支出282.21万元。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877"/>
        <w:gridCol w:w="1056"/>
        <w:gridCol w:w="1207"/>
        <w:gridCol w:w="1212"/>
        <w:gridCol w:w="1208"/>
        <w:gridCol w:w="1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一般公共项目基本支出明细表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支出项目</w:t>
            </w:r>
          </w:p>
        </w:tc>
        <w:tc>
          <w:tcPr>
            <w:tcW w:w="19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  <w:tc>
          <w:tcPr>
            <w:tcW w:w="7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决算数</w:t>
            </w:r>
          </w:p>
        </w:tc>
        <w:tc>
          <w:tcPr>
            <w:tcW w:w="7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年初预算数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本年调整数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全年预算数</w:t>
            </w:r>
          </w:p>
        </w:tc>
        <w:tc>
          <w:tcPr>
            <w:tcW w:w="7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1278.78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113.12 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1391.90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1391.90 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1043.18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57.29 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1100.47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1100.47 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0.00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9.22 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9.22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9.22 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235.60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46.61 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282.21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282.21 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rPr>
          <w:rFonts w:hint="default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/>
          <w:color w:val="auto"/>
          <w:sz w:val="21"/>
          <w:szCs w:val="21"/>
          <w:lang w:val="en-US" w:eastAsia="zh-CN"/>
        </w:rPr>
        <w:t>注：小数误差是由于四舍五入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（二）项目支出情况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2023年一般公共项目支出年初31.00万元，决算支出428.14万元，具体支出情况如下表：</w:t>
      </w: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6156"/>
        <w:gridCol w:w="1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一般公共项目支出表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支出项目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428.14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屈原公园购买服务前期工作费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园林绿化养护项目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城市管理综合治理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渣土管理费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“两违”整治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市容市貌专项整治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春节期间城区摆花、全城清洗、市政基础设施维护2021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沅水一桥防船舶碰撞标志标牌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城区市政桥梁安全运营检测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城管执法执勤车购置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辰溪县与沅陵、溆浦、麻阳、中方入城口设计及效果图费用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购置城管行政执法人员制式服装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东风大桥限高栏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先锋东路损坏路灯电缆维修更换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沅水大桥至人民医院扩宽工程市政基础设施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文明城市实地测评城区道路维修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环保专项整治经费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/>
          <w:color w:val="auto"/>
          <w:sz w:val="21"/>
          <w:szCs w:val="21"/>
          <w:lang w:val="en-US" w:eastAsia="zh-CN"/>
        </w:rPr>
        <w:t>注：小数误差是由于四舍五入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三、政府性基金项目支出情况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2023年度政府基金项目支出3.39万元，主要用于支付水费。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四、国有资本经营项目支出情况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2023年我单位无国有资本经营项目支出。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社会保险基金项目支出情况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2023年我单位无社会保险基金项目支出。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六、部门整体支出绩效情况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（一）以创建全国文明城市为抓手，系统提升城市管理水平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市容执法方面，</w:t>
      </w:r>
      <w:r>
        <w:rPr>
          <w:rFonts w:hint="eastAsia" w:ascii="仿宋" w:hAnsi="仿宋" w:eastAsia="仿宋" w:cs="仿宋"/>
          <w:sz w:val="32"/>
          <w:szCs w:val="32"/>
        </w:rPr>
        <w:t>全年出动执法人员13000余人次、车辆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65</w:t>
      </w:r>
      <w:r>
        <w:rPr>
          <w:rFonts w:hint="eastAsia" w:ascii="仿宋" w:hAnsi="仿宋" w:eastAsia="仿宋" w:cs="仿宋"/>
          <w:sz w:val="32"/>
          <w:szCs w:val="32"/>
        </w:rPr>
        <w:t>00余台次，有效整治市容乱象。</w:t>
      </w:r>
      <w:r>
        <w:rPr>
          <w:rFonts w:hint="eastAsia" w:ascii="仿宋" w:hAnsi="仿宋" w:eastAsia="仿宋" w:cs="仿宋"/>
          <w:b/>
          <w:sz w:val="32"/>
          <w:szCs w:val="32"/>
        </w:rPr>
        <w:t>市政执法方面，</w:t>
      </w:r>
      <w:r>
        <w:rPr>
          <w:rFonts w:hint="eastAsia" w:ascii="仿宋" w:hAnsi="仿宋" w:eastAsia="仿宋" w:cs="仿宋"/>
          <w:sz w:val="32"/>
          <w:szCs w:val="32"/>
        </w:rPr>
        <w:t>全年出动执法人员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00余人次，车辆710余台次，检查点位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710</w:t>
      </w:r>
      <w:r>
        <w:rPr>
          <w:rFonts w:hint="eastAsia" w:ascii="仿宋" w:hAnsi="仿宋" w:eastAsia="仿宋" w:cs="仿宋"/>
          <w:sz w:val="32"/>
          <w:szCs w:val="32"/>
        </w:rPr>
        <w:t>余处次。</w:t>
      </w:r>
      <w:r>
        <w:rPr>
          <w:rFonts w:hint="eastAsia" w:ascii="仿宋" w:hAnsi="仿宋" w:eastAsia="仿宋" w:cs="仿宋"/>
          <w:b/>
          <w:sz w:val="32"/>
          <w:szCs w:val="32"/>
        </w:rPr>
        <w:t>规划执法方面，</w:t>
      </w:r>
      <w:r>
        <w:rPr>
          <w:rFonts w:hint="eastAsia" w:ascii="仿宋" w:hAnsi="仿宋" w:eastAsia="仿宋" w:cs="仿宋"/>
          <w:sz w:val="32"/>
          <w:szCs w:val="32"/>
        </w:rPr>
        <w:t>全年出动执法人员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</w:t>
      </w:r>
      <w:r>
        <w:rPr>
          <w:rFonts w:hint="eastAsia" w:ascii="仿宋" w:hAnsi="仿宋" w:eastAsia="仿宋" w:cs="仿宋"/>
          <w:sz w:val="32"/>
          <w:szCs w:val="32"/>
        </w:rPr>
        <w:t>00余人次、车辆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00余台次，检查点位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72</w:t>
      </w:r>
      <w:r>
        <w:rPr>
          <w:rFonts w:hint="eastAsia" w:ascii="仿宋" w:hAnsi="仿宋" w:eastAsia="仿宋" w:cs="仿宋"/>
          <w:sz w:val="32"/>
          <w:szCs w:val="32"/>
        </w:rPr>
        <w:t>0余处次。</w:t>
      </w:r>
      <w:r>
        <w:rPr>
          <w:rFonts w:hint="eastAsia" w:ascii="仿宋" w:hAnsi="仿宋" w:eastAsia="仿宋" w:cs="仿宋"/>
          <w:b/>
          <w:sz w:val="32"/>
          <w:szCs w:val="32"/>
        </w:rPr>
        <w:t>渣土执法方面，</w:t>
      </w:r>
      <w:r>
        <w:rPr>
          <w:rFonts w:hint="eastAsia" w:ascii="仿宋" w:hAnsi="仿宋" w:eastAsia="仿宋" w:cs="仿宋"/>
          <w:sz w:val="32"/>
          <w:szCs w:val="32"/>
        </w:rPr>
        <w:t>全年出动执法人员2300余人次，车辆600余台次，检查工地350余处次，检查渣土车辆500余台次。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（二）多措并举推进乡村振兴，帮扶成果扎实有效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帮扶后塘乡两个村的乡村振兴工作。一是与乡村两级和工作队一起，紧紧围绕乡村振兴工作总体目标要求，以农民增收为重点，办好实事、注重实效、强化服务，进一步巩固了脱贫攻坚成果。二是狠抓群众思想转变，致力提高群众思想素质，常深入帮扶户家中，与群众座谈，拉家常，了解群众的需求，取得了较好的工作成效。三是为各村根据自身实际情况，大力改善农村人居环境，切实解决环境脏、乱、差，改善村居环境和生活环境，按照建设宜居农村要求达到生产发展、生活富裕、设施完善、环境整洁、社会和谐的标准积极出谋划策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（三）安全生产常抓不懈，助推平安辰溪建设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一是利用局职工大会、法制教育课、座谈会等途径，宣讲安全生产重要性，做到安全生产警钟常鸣，组织干部职工参加急救、消防等专题培训，使全体队员接受比较系统的安全知识和技能教育。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安全生产坚持每季度召开会议，定期开展城市安全运行大检查，实行分管领导履行属地、行业领域负责制，贯彻“谁主管、谁负责”原则，严格落实重要时段领导带班、关键岗位24小时值班和安全生产“零报告”制度，做好防汛值班备勤，通过共同努力，一年来我局安全形势呈良好态势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（四）夯实城市建设基础，打造灯明草绿路畅地干净环境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环卫清扫保洁方面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2023年县城日常清扫面积达到130万平方米左右，日常清运县城生活垃圾125吨左右，垃圾场日常无害化处理填埋县城及周边乡镇生活垃圾153吨左右，全年累计无害化填埋处理生活垃圾约5.6万吨，日常处理渗滤液达到了350多吨，全年累计处理渗滤液12.6万多吨，日处理餐厨垃圾8吨左右，全年累计处理餐厨垃圾约3000吨。全年环卫行业各项指标完成值为清扫保洁率100%，清运率100%，生活垃圾无害化处理率100%，渗滤液无害化处理率100%，餐厨垃圾无害化处理率100%，生活垃圾资源化回收利用率40%。</w:t>
      </w:r>
      <w:r>
        <w:rPr>
          <w:rFonts w:hint="eastAsia" w:ascii="仿宋_GB2312" w:eastAsia="仿宋_GB2312"/>
          <w:b/>
          <w:sz w:val="32"/>
          <w:szCs w:val="32"/>
        </w:rPr>
        <w:t>市政建设维护方面</w:t>
      </w:r>
      <w:r>
        <w:rPr>
          <w:rFonts w:hint="eastAsia" w:ascii="仿宋_GB2312"/>
          <w:b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全年累计完成改造维修项目3项，总投资108万元。其中包括完成城区道路维修工程，双溪风光带（育才桥至撇洪工程段）路灯维修工程，东风桥、观澜桥和胜利桥桥梁安全运行检查。</w:t>
      </w:r>
      <w:r>
        <w:rPr>
          <w:rFonts w:hint="eastAsia" w:ascii="仿宋_GB2312" w:eastAsia="仿宋_GB2312"/>
          <w:b/>
          <w:sz w:val="32"/>
          <w:szCs w:val="32"/>
        </w:rPr>
        <w:t>园林绿化工作方面，</w:t>
      </w:r>
      <w:r>
        <w:rPr>
          <w:rFonts w:ascii="仿宋_GB2312" w:eastAsia="仿宋_GB2312"/>
          <w:sz w:val="32"/>
          <w:szCs w:val="32"/>
        </w:rPr>
        <w:t>2023</w:t>
      </w:r>
      <w:r>
        <w:rPr>
          <w:rFonts w:hint="eastAsia" w:ascii="仿宋_GB2312" w:eastAsia="仿宋_GB2312"/>
          <w:sz w:val="32"/>
          <w:szCs w:val="32"/>
        </w:rPr>
        <w:t>年我县绿地率达到</w:t>
      </w:r>
      <w:r>
        <w:rPr>
          <w:rFonts w:ascii="仿宋_GB2312" w:eastAsia="仿宋_GB2312"/>
          <w:sz w:val="32"/>
          <w:szCs w:val="32"/>
        </w:rPr>
        <w:t>33.79%</w:t>
      </w:r>
      <w:r>
        <w:rPr>
          <w:rFonts w:hint="eastAsia" w:ascii="仿宋_GB2312" w:eastAsia="仿宋_GB2312"/>
          <w:sz w:val="32"/>
          <w:szCs w:val="32"/>
        </w:rPr>
        <w:t>，绿化覆盖率达到</w:t>
      </w:r>
      <w:r>
        <w:rPr>
          <w:rFonts w:ascii="仿宋_GB2312" w:eastAsia="仿宋_GB2312"/>
          <w:sz w:val="32"/>
          <w:szCs w:val="32"/>
        </w:rPr>
        <w:t>39%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firstLine="0" w:firstLine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七、存在的问题及原因分析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（一）园林绿化有待提质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街头小游园分布少，公园绿地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/>
          <w:sz w:val="32"/>
          <w:szCs w:val="32"/>
          <w:lang w:val="en-US" w:eastAsia="zh-CN"/>
        </w:rPr>
        <w:t>-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分钟服务圈有待加强。立体绿化、防护绿地建设停滞不前，没有整体实施步骤。绿线管理欠缺，审批程序不完善。道路绿化率不达标，绿化带植物层次不丰富，景观效果欠佳。绿道不规范，长度不足，周边设施、标识不完善，绿道环形连接线间断不完整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0" w:firstLine="640" w:firstLineChars="200"/>
        <w:jc w:val="left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市政、园林专业技术人才欠缺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一是市政建设维护中心为自收自支事业单位，不能公开招考或招聘全额事业编制专业技术和管理人员，且现有的工作人员面临逐步退休，造成单位专业技术和管理人员只出不进。目前专业技术人员严重不足，缺市政工程专业技术人员2名、路灯维修电工4名、吊车司机1名。二是县园林绿化所人才欠缺，长期未有新进人员，结构已严重老龄化，缺少技能人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八、下一步改进措施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default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（一）实地调研，整体布局</w:t>
      </w:r>
    </w:p>
    <w:p>
      <w:pPr>
        <w:spacing w:line="560" w:lineRule="exact"/>
        <w:ind w:firstLine="627" w:firstLineChars="196"/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/>
          <w:sz w:val="32"/>
          <w:szCs w:val="32"/>
          <w:lang w:val="en-US" w:eastAsia="zh-CN"/>
        </w:rPr>
        <w:t>强</w:t>
      </w:r>
      <w:r>
        <w:rPr>
          <w:rFonts w:hint="eastAsia" w:ascii="仿宋_GB2312" w:eastAsia="仿宋_GB2312"/>
          <w:sz w:val="32"/>
          <w:szCs w:val="32"/>
        </w:rPr>
        <w:t>化大局意识，责任意识，担当意识，直面</w:t>
      </w:r>
      <w:r>
        <w:rPr>
          <w:rFonts w:hint="eastAsia" w:ascii="仿宋_GB2312"/>
          <w:sz w:val="32"/>
          <w:szCs w:val="32"/>
          <w:lang w:val="en-US" w:eastAsia="zh-CN"/>
        </w:rPr>
        <w:t>问题</w:t>
      </w:r>
      <w:r>
        <w:rPr>
          <w:rFonts w:hint="eastAsia" w:ascii="仿宋_GB2312" w:eastAsia="仿宋_GB2312"/>
          <w:sz w:val="32"/>
          <w:szCs w:val="32"/>
        </w:rPr>
        <w:t>，深入实地一线</w:t>
      </w:r>
      <w:r>
        <w:rPr>
          <w:rFonts w:hint="eastAsia" w:ascii="仿宋_GB2312"/>
          <w:sz w:val="32"/>
          <w:szCs w:val="32"/>
          <w:lang w:val="en-US" w:eastAsia="zh-CN"/>
        </w:rPr>
        <w:t>调研，对需要改造的区域进行整体规划，合理编制工作方案。优化审批程序，加强</w:t>
      </w:r>
      <w:r>
        <w:rPr>
          <w:rFonts w:hint="eastAsia" w:ascii="仿宋_GB2312" w:eastAsia="仿宋_GB2312"/>
          <w:sz w:val="32"/>
          <w:szCs w:val="32"/>
        </w:rPr>
        <w:t>绿线管理</w:t>
      </w:r>
      <w:r>
        <w:rPr>
          <w:rFonts w:hint="eastAsia" w:ascii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全面提升城管执法队伍工作效率和工作效能，真正做到履职尽责。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ottom"/>
        <w:rPr>
          <w:rFonts w:hint="default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  <w:t>（二）加强人才队伍建设</w:t>
      </w:r>
    </w:p>
    <w:p>
      <w:pPr>
        <w:spacing w:line="560" w:lineRule="exact"/>
        <w:ind w:firstLine="627" w:firstLineChars="196"/>
        <w:rPr>
          <w:rFonts w:hint="default" w:ascii="Times New Roman" w:hAnsi="Times New Roman" w:eastAsia="楷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对机关股室、二级机构加强教育培训，努力提升队员依法行政能力和管理水平，落实执法全过程记录制度，严格规范执法程序，进一步加强执法队伍专业化、规范化、信息化建设，提高执法效能，努力打造一支“内外兼修”的城市管理执法队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九、部门整体支出绩效自评结果拟应用和公开情况</w:t>
      </w:r>
    </w:p>
    <w:p>
      <w:pPr>
        <w:pStyle w:val="4"/>
        <w:ind w:firstLine="64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本单位通过绩效自评的开展提高了人员绩效意识，对存在的问题提请各相关人员加以改进，巩固绩效成果。同时拟将绩效自评报告向各</w:t>
      </w:r>
      <w:r>
        <w:rPr>
          <w:rFonts w:hint="eastAsia" w:ascii="仿宋_GB2312" w:eastAsia="仿宋_GB2312"/>
          <w:sz w:val="32"/>
          <w:szCs w:val="32"/>
        </w:rPr>
        <w:t>股室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反馈。做好项目实际绩效信息的收集机制，绩效责任落实机制，绩效反馈机制，评价结果的公开机制，沟通申诉机制等方面的配套，规范信息公开制度、激励约束机制和沟通复议机制等等，保证绩效评价结果的有效落实和运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十、其他需要说明的情况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239B9F"/>
    <w:multiLevelType w:val="singleLevel"/>
    <w:tmpl w:val="A4239B9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F6A22FE"/>
    <w:multiLevelType w:val="singleLevel"/>
    <w:tmpl w:val="BF6A22F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6924B08"/>
    <w:multiLevelType w:val="singleLevel"/>
    <w:tmpl w:val="26924B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C5AE614"/>
    <w:multiLevelType w:val="singleLevel"/>
    <w:tmpl w:val="3C5AE61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  <w:docVar w:name="KSO_WPS_MARK_KEY" w:val="f73a7da4-5a40-4f43-8c58-3cc96ed7cb31"/>
  </w:docVars>
  <w:rsids>
    <w:rsidRoot w:val="00000000"/>
    <w:rsid w:val="00F33F60"/>
    <w:rsid w:val="00F45880"/>
    <w:rsid w:val="05E673F0"/>
    <w:rsid w:val="0DA13AE8"/>
    <w:rsid w:val="139A7FEC"/>
    <w:rsid w:val="1E425F68"/>
    <w:rsid w:val="26CC5BEE"/>
    <w:rsid w:val="33004C19"/>
    <w:rsid w:val="33BC72B7"/>
    <w:rsid w:val="393055A5"/>
    <w:rsid w:val="3B1F332F"/>
    <w:rsid w:val="3D8403D1"/>
    <w:rsid w:val="3E6949CA"/>
    <w:rsid w:val="50C3182D"/>
    <w:rsid w:val="6A356EA0"/>
    <w:rsid w:val="6F4624C1"/>
    <w:rsid w:val="75295AB7"/>
    <w:rsid w:val="76137B31"/>
    <w:rsid w:val="7B6A3D8E"/>
    <w:rsid w:val="7BC37307"/>
    <w:rsid w:val="7F62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spacing w:line="365" w:lineRule="atLeast"/>
      <w:ind w:left="1" w:firstLine="420" w:firstLineChars="200"/>
      <w:textAlignment w:val="bottom"/>
    </w:pPr>
    <w:rPr>
      <w:rFonts w:ascii="Calibri" w:hAnsi="Calibri" w:eastAsia="宋体"/>
      <w:kern w:val="0"/>
      <w:sz w:val="2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3702</Words>
  <Characters>4149</Characters>
  <Lines>0</Lines>
  <Paragraphs>0</Paragraphs>
  <TotalTime>0</TotalTime>
  <ScaleCrop>false</ScaleCrop>
  <LinksUpToDate>false</LinksUpToDate>
  <CharactersWithSpaces>4198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2024-04-08T02:05:00Z</dcterms:created>
  <dc:creator>peipe</dc:creator>
  <cp:lastModifiedBy>九月</cp:lastModifiedBy>
  <cp:lastPrinted>2024-04-10T03:27:00Z</cp:lastPrinted>
  <dcterms:modified xsi:type="dcterms:W3CDTF">2024-10-30T08:21:00Z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446CB662069A4BE78D82D974A8575E65_12</vt:lpwstr>
  </property>
</Properties>
</file>