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8B7541"/>
    <w:p w14:paraId="34D07066"/>
    <w:p w14:paraId="56E1F2FE"/>
    <w:p w14:paraId="6D36C2CC"/>
    <w:p w14:paraId="099C9365"/>
    <w:p w14:paraId="68F15B98">
      <w:pPr>
        <w:ind w:firstLine="880"/>
        <w:jc w:val="center"/>
        <w:rPr>
          <w:rFonts w:ascii="黑体" w:hAnsi="黑体" w:eastAsia="黑体"/>
          <w:sz w:val="44"/>
          <w:szCs w:val="44"/>
        </w:rPr>
      </w:pPr>
      <w:r>
        <w:rPr>
          <w:rFonts w:hint="eastAsia" w:ascii="黑体" w:hAnsi="黑体" w:eastAsia="黑体"/>
          <w:sz w:val="44"/>
          <w:szCs w:val="44"/>
        </w:rPr>
        <w:t>2023年度辰溪县信访局整体支出</w:t>
      </w:r>
    </w:p>
    <w:p w14:paraId="3DA88930">
      <w:pPr>
        <w:ind w:firstLine="880"/>
        <w:jc w:val="center"/>
        <w:rPr>
          <w:rFonts w:ascii="黑体" w:hAnsi="黑体" w:eastAsia="黑体"/>
          <w:sz w:val="44"/>
          <w:szCs w:val="44"/>
        </w:rPr>
      </w:pPr>
      <w:r>
        <w:rPr>
          <w:rFonts w:hint="eastAsia" w:ascii="黑体" w:hAnsi="黑体" w:eastAsia="黑体"/>
          <w:sz w:val="44"/>
          <w:szCs w:val="44"/>
        </w:rPr>
        <w:t>绩效自评报告</w:t>
      </w:r>
    </w:p>
    <w:p w14:paraId="6BACD803"/>
    <w:p w14:paraId="48DD0A85"/>
    <w:p w14:paraId="007F80D2"/>
    <w:p w14:paraId="5F292090"/>
    <w:p w14:paraId="2157F4A4"/>
    <w:p w14:paraId="4244DC39"/>
    <w:p w14:paraId="26EF34DD"/>
    <w:p w14:paraId="5A7EF09A"/>
    <w:p w14:paraId="3163118A"/>
    <w:p w14:paraId="04BEF640"/>
    <w:p w14:paraId="01632CE7">
      <w:pPr>
        <w:jc w:val="center"/>
      </w:pPr>
      <w:r>
        <w:rPr>
          <w:rFonts w:hint="eastAsia"/>
        </w:rPr>
        <w:t>部门（单位）名称：（盖章）</w:t>
      </w:r>
    </w:p>
    <w:p w14:paraId="4EF1DFCD">
      <w:pPr>
        <w:jc w:val="center"/>
      </w:pPr>
      <w:r>
        <w:rPr>
          <w:rFonts w:hint="eastAsia"/>
        </w:rPr>
        <w:t>2024年 4 月8日</w:t>
      </w:r>
    </w:p>
    <w:p w14:paraId="19341F91"/>
    <w:p w14:paraId="1BEB88B0"/>
    <w:p w14:paraId="79146F55"/>
    <w:p w14:paraId="52EE9FFC">
      <w:pPr>
        <w:spacing w:line="600" w:lineRule="exact"/>
        <w:ind w:left="0" w:leftChars="0" w:firstLine="880" w:firstLineChars="200"/>
        <w:jc w:val="both"/>
        <w:rPr>
          <w:rFonts w:ascii="黑体" w:hAnsi="黑体" w:eastAsia="黑体"/>
          <w:sz w:val="44"/>
          <w:szCs w:val="44"/>
        </w:rPr>
      </w:pPr>
      <w:r>
        <w:rPr>
          <w:rFonts w:hint="eastAsia" w:ascii="黑体" w:hAnsi="黑体" w:eastAsia="黑体"/>
          <w:sz w:val="44"/>
          <w:szCs w:val="44"/>
        </w:rPr>
        <w:t>2023年度辰溪县信访局整体支出绩效</w:t>
      </w:r>
    </w:p>
    <w:p w14:paraId="26B6DDF0">
      <w:pPr>
        <w:spacing w:line="600" w:lineRule="exact"/>
        <w:ind w:firstLine="0" w:firstLineChars="0"/>
        <w:jc w:val="center"/>
        <w:rPr>
          <w:rFonts w:ascii="黑体" w:hAnsi="黑体" w:eastAsia="黑体"/>
          <w:sz w:val="44"/>
          <w:szCs w:val="44"/>
        </w:rPr>
      </w:pPr>
      <w:r>
        <w:rPr>
          <w:rFonts w:hint="eastAsia" w:ascii="黑体" w:hAnsi="黑体" w:eastAsia="黑体"/>
          <w:sz w:val="44"/>
          <w:szCs w:val="44"/>
        </w:rPr>
        <w:t>自评报告</w:t>
      </w:r>
    </w:p>
    <w:p w14:paraId="3D3A4546">
      <w:pPr>
        <w:pStyle w:val="5"/>
        <w:spacing w:line="600" w:lineRule="exact"/>
      </w:pPr>
    </w:p>
    <w:p w14:paraId="0374B9F5">
      <w:pPr>
        <w:pStyle w:val="5"/>
        <w:spacing w:line="600" w:lineRule="exact"/>
      </w:pPr>
      <w:r>
        <w:rPr>
          <w:rFonts w:hint="eastAsia"/>
        </w:rPr>
        <w:t>一、部门基本情况</w:t>
      </w:r>
    </w:p>
    <w:p w14:paraId="4BAD532A">
      <w:pPr>
        <w:spacing w:line="600" w:lineRule="exact"/>
      </w:pPr>
      <w:r>
        <w:rPr>
          <w:rFonts w:hint="eastAsia"/>
        </w:rPr>
        <w:t>县信访局现有行政编制数6名、事业编制7名，截至2023年12月底，在职在编人员10人，提前退休1人，正式退休6人。</w:t>
      </w:r>
    </w:p>
    <w:p w14:paraId="2EFA52F6">
      <w:pPr>
        <w:spacing w:line="600" w:lineRule="exact"/>
      </w:pPr>
      <w:r>
        <w:rPr>
          <w:rFonts w:hint="eastAsia"/>
        </w:rPr>
        <w:t>（一）部门职能职责</w:t>
      </w:r>
    </w:p>
    <w:p w14:paraId="08241B1B">
      <w:pPr>
        <w:spacing w:line="600" w:lineRule="exact"/>
      </w:pPr>
      <w:r>
        <w:rPr>
          <w:rFonts w:hint="eastAsia"/>
        </w:rPr>
        <w:t>县信访局是为县委、县人民政府主管信访工作的机构，是县人民政府组成工作部门，主要职责是：</w:t>
      </w:r>
    </w:p>
    <w:p w14:paraId="5E05C32A">
      <w:pPr>
        <w:spacing w:line="600" w:lineRule="exact"/>
        <w:rPr>
          <w:shd w:val="clear" w:color="auto" w:fill="FFFFFF"/>
        </w:rPr>
      </w:pPr>
      <w:r>
        <w:rPr>
          <w:rFonts w:hint="eastAsia"/>
          <w:shd w:val="clear" w:color="auto" w:fill="FFFFFF"/>
        </w:rPr>
        <w:t>1.负责处理人民群众给县委、县人民政府的来信（含网上信访），接待群众上访，为领导同志接待上访群众做好组织服务工作；综合分析信访信息，及时、准确地向县委、县人民政府领导同志反映来信来访中提出的重要建议、意见和问题，保证信访渠道畅通，负责县级领导包案处理信访问题的服务保障。</w:t>
      </w:r>
    </w:p>
    <w:p w14:paraId="094441D6">
      <w:pPr>
        <w:spacing w:line="600" w:lineRule="exact"/>
        <w:rPr>
          <w:shd w:val="clear" w:color="auto" w:fill="FFFFFF"/>
        </w:rPr>
      </w:pPr>
      <w:r>
        <w:rPr>
          <w:rFonts w:hint="eastAsia"/>
          <w:shd w:val="clear" w:color="auto" w:fill="FFFFFF"/>
        </w:rPr>
        <w:t>2.承办上级信访部门和县委、县人民政府领导同志交办、转办的信访事项，督促检查领导同志批示件的落实情况；向各乡镇和县直各部门交办信访事项，督促检查重要信访事项的处理和落实。</w:t>
      </w:r>
    </w:p>
    <w:p w14:paraId="1234DB98">
      <w:pPr>
        <w:spacing w:line="600" w:lineRule="exact"/>
        <w:rPr>
          <w:shd w:val="clear" w:color="auto" w:fill="FFFFFF"/>
        </w:rPr>
      </w:pPr>
      <w:r>
        <w:rPr>
          <w:rFonts w:hint="eastAsia"/>
          <w:shd w:val="clear" w:color="auto" w:fill="FFFFFF"/>
        </w:rPr>
        <w:t>3.协调处理跨地区、跨部门的重大信访问题；协调处理群众集体来县到市赴省进京上访和异常、突发性信访事件；督促、协调县直各部门和各乡镇的信访工作。</w:t>
      </w:r>
    </w:p>
    <w:p w14:paraId="13AF494D">
      <w:pPr>
        <w:spacing w:line="600" w:lineRule="exact"/>
        <w:rPr>
          <w:shd w:val="clear" w:color="auto" w:fill="FFFFFF"/>
        </w:rPr>
      </w:pPr>
      <w:r>
        <w:rPr>
          <w:rFonts w:hint="eastAsia"/>
          <w:shd w:val="clear" w:color="auto" w:fill="FFFFFF"/>
        </w:rPr>
        <w:t>4.拟定全县有关信访工作的政策和法律、法规，并负责组织实施；负责全县信访系统的法治建设。</w:t>
      </w:r>
    </w:p>
    <w:p w14:paraId="25D4EBBE">
      <w:pPr>
        <w:spacing w:line="600" w:lineRule="exact"/>
        <w:rPr>
          <w:shd w:val="clear" w:color="auto" w:fill="FFFFFF"/>
        </w:rPr>
      </w:pPr>
      <w:r>
        <w:rPr>
          <w:rFonts w:hint="eastAsia"/>
          <w:shd w:val="clear" w:color="auto" w:fill="FFFFFF"/>
        </w:rPr>
        <w:t>5.指导全县信访业务，总结推广信访工作经验，提出改进和加强信访工作的意见和建议。</w:t>
      </w:r>
    </w:p>
    <w:p w14:paraId="65487B3A">
      <w:pPr>
        <w:spacing w:line="600" w:lineRule="exact"/>
        <w:rPr>
          <w:shd w:val="clear" w:color="auto" w:fill="FFFFFF"/>
        </w:rPr>
      </w:pPr>
      <w:r>
        <w:rPr>
          <w:rFonts w:hint="eastAsia"/>
          <w:shd w:val="clear" w:color="auto" w:fill="FFFFFF"/>
        </w:rPr>
        <w:t>6.了解并掌握全县信访工作队伍建设情况，提出加强各乡镇和县直各部门信访队伍建设措施；组织全县信访干部的培训；指导各乡镇和县直各部门信访工作办公自动化和信息化建设。</w:t>
      </w:r>
    </w:p>
    <w:p w14:paraId="4D94D433">
      <w:pPr>
        <w:spacing w:line="600" w:lineRule="exact"/>
        <w:rPr>
          <w:shd w:val="clear" w:color="auto" w:fill="FFFFFF"/>
        </w:rPr>
      </w:pPr>
      <w:r>
        <w:rPr>
          <w:rFonts w:hint="eastAsia"/>
          <w:shd w:val="clear" w:color="auto" w:fill="FFFFFF"/>
        </w:rPr>
        <w:t>7.负责信访工作的调研宣传和信息报送等工作。</w:t>
      </w:r>
    </w:p>
    <w:p w14:paraId="4EBA045F">
      <w:pPr>
        <w:spacing w:line="600" w:lineRule="exact"/>
        <w:rPr>
          <w:shd w:val="clear" w:color="auto" w:fill="FFFFFF"/>
        </w:rPr>
      </w:pPr>
      <w:r>
        <w:rPr>
          <w:rFonts w:hint="eastAsia"/>
          <w:shd w:val="clear" w:color="auto" w:fill="FFFFFF"/>
        </w:rPr>
        <w:t>8.</w:t>
      </w:r>
      <w:r>
        <w:rPr>
          <w:rFonts w:hint="eastAsia"/>
        </w:rPr>
        <w:t>负</w:t>
      </w:r>
      <w:r>
        <w:rPr>
          <w:rFonts w:hint="eastAsia"/>
          <w:shd w:val="clear" w:color="auto" w:fill="FFFFFF"/>
        </w:rPr>
        <w:t>责驻长劝返和驻京劝返的联络工作，承担县信访联席会议办公室的日常工作，督促落实县信访联席会议决定的事项。</w:t>
      </w:r>
    </w:p>
    <w:p w14:paraId="31B06221">
      <w:pPr>
        <w:spacing w:line="600" w:lineRule="exact"/>
        <w:rPr>
          <w:shd w:val="clear" w:color="auto" w:fill="FFFFFF"/>
        </w:rPr>
      </w:pPr>
      <w:r>
        <w:rPr>
          <w:rFonts w:hint="eastAsia"/>
          <w:shd w:val="clear" w:color="auto" w:fill="FFFFFF"/>
        </w:rPr>
        <w:t>9.承办县委、县人民政府及县委办、县政府办交办的其他事项。</w:t>
      </w:r>
    </w:p>
    <w:p w14:paraId="401802C7">
      <w:pPr>
        <w:spacing w:line="600" w:lineRule="exact"/>
      </w:pPr>
      <w:r>
        <w:rPr>
          <w:rFonts w:hint="eastAsia"/>
        </w:rPr>
        <w:t>（二）机构设置情况</w:t>
      </w:r>
    </w:p>
    <w:p w14:paraId="4A95F631">
      <w:pPr>
        <w:spacing w:line="600" w:lineRule="exact"/>
      </w:pPr>
      <w:r>
        <w:rPr>
          <w:rFonts w:hint="eastAsia"/>
        </w:rPr>
        <w:t>设置办公室（办信室）、接访室、综合督查室。</w:t>
      </w:r>
    </w:p>
    <w:p w14:paraId="0BA555C4">
      <w:pPr>
        <w:spacing w:line="600" w:lineRule="exact"/>
      </w:pPr>
      <w:r>
        <w:rPr>
          <w:rFonts w:hint="eastAsia"/>
        </w:rPr>
        <w:t>（三）年度总体工作任务和重点工作任务</w:t>
      </w:r>
    </w:p>
    <w:p w14:paraId="7CDD2174">
      <w:pPr>
        <w:spacing w:line="600" w:lineRule="exact"/>
      </w:pPr>
      <w:r>
        <w:rPr>
          <w:rFonts w:hint="eastAsia"/>
        </w:rPr>
        <w:t>1.坚持高位推动强责任。县委、县政府将信访工作纳入重要议事日程，县信访工作联席会议经常召开调度会议，研究重点问题、部署重点工作，有效推动了信访事项的办理进程。充分发挥考核指挥棒作用，将信访工作纳入综合绩效考评、平安创建等考核内容。</w:t>
      </w:r>
    </w:p>
    <w:p w14:paraId="53A5C58B">
      <w:pPr>
        <w:spacing w:line="600" w:lineRule="exact"/>
      </w:pPr>
      <w:r>
        <w:rPr>
          <w:rFonts w:hint="eastAsia"/>
        </w:rPr>
        <w:t>2.狠抓源头治理早化解。进一步健全完善党组织领导下的法治、德治、自治相结合的乡村治理体系，充分发挥乡贤能人和村规民约作用，大力推进“三源”共治；大力排查矛盾纠纷隐患，确保把问题解决在基层、化解在源头。健全完善“接访、约访、下访、回访”相结合的“四访”机制，让老百姓话有地方说、苦有地方诉、理有地方讲。</w:t>
      </w:r>
    </w:p>
    <w:p w14:paraId="708EF126">
      <w:pPr>
        <w:spacing w:line="600" w:lineRule="exact"/>
      </w:pPr>
      <w:r>
        <w:rPr>
          <w:rFonts w:hint="eastAsia"/>
        </w:rPr>
        <w:t>3.全力积案攻坚清存量。深入开展重复信访、积案攻坚专项行动，按照“属地管理、分级负责，谁主管、谁负责”的原则，因案制定化解措施。对于问题复杂、牵涉面广的信访积案，由包案县级领导牵头召集相关县领导、县直部门及乡镇与信访人见面，共同协商处理问题，建立了互信关系，确保实现“案结事了、事心双解”。</w:t>
      </w:r>
    </w:p>
    <w:p w14:paraId="463FED40">
      <w:pPr>
        <w:spacing w:line="600" w:lineRule="exact"/>
      </w:pPr>
      <w:r>
        <w:rPr>
          <w:rFonts w:hint="eastAsia"/>
        </w:rPr>
        <w:t>4.强化重点管控稳大局。对诉求合法合规，具备条件解决的，督促相关单位和乡镇依法及时办理到位；对诉求合理，但不具备条件解决的，和群众细心做好政策解释，通过其他渠道，力所能及帮助解决实际困难，争取群众信任、支持和理解；对诉求不合理的，密切关注动向，坚决杜绝极端事件发生。</w:t>
      </w:r>
    </w:p>
    <w:p w14:paraId="3058C382">
      <w:pPr>
        <w:spacing w:line="600" w:lineRule="exact"/>
      </w:pPr>
      <w:r>
        <w:rPr>
          <w:rFonts w:hint="eastAsia" w:cs="仿宋"/>
        </w:rPr>
        <w:t>5.紧盯重点指标促提升。</w:t>
      </w:r>
      <w:r>
        <w:rPr>
          <w:rFonts w:hint="eastAsia"/>
        </w:rPr>
        <w:t>紧盯信访重点指标变化，压紧压实相关责任，确保问题及时交办、及时解决。着重提升国家局求决类初次信访一次化解率。始终坚持两手抓，一手抓初信初访办理，提高办理质量，防止信访事项初转重、信转访，控制重复信访增量；一手抓重复信访治理，千方百计化解信访积案减存量，提高创建指标的达标率，确保重点信访指标全部达标。</w:t>
      </w:r>
    </w:p>
    <w:p w14:paraId="490C2616">
      <w:pPr>
        <w:pStyle w:val="5"/>
        <w:spacing w:line="600" w:lineRule="exact"/>
      </w:pPr>
      <w:r>
        <w:rPr>
          <w:rFonts w:hint="eastAsia"/>
        </w:rPr>
        <w:t>二、一般公共项目支出情况</w:t>
      </w:r>
    </w:p>
    <w:p w14:paraId="5B48CBAE">
      <w:pPr>
        <w:spacing w:line="600" w:lineRule="exact"/>
      </w:pPr>
      <w:r>
        <w:rPr>
          <w:rFonts w:hint="eastAsia"/>
        </w:rPr>
        <w:t>1.收入支出预算执行情况</w:t>
      </w:r>
    </w:p>
    <w:p w14:paraId="40EBF15A">
      <w:pPr>
        <w:spacing w:line="600" w:lineRule="exact"/>
        <w:rPr>
          <w:rFonts w:cs="仿宋"/>
        </w:rPr>
      </w:pPr>
      <w:r>
        <w:rPr>
          <w:rFonts w:hint="eastAsia" w:cs="仿宋"/>
        </w:rPr>
        <w:t>2023年收入全部为</w:t>
      </w:r>
      <w:r>
        <w:rPr>
          <w:rFonts w:hint="eastAsia"/>
        </w:rPr>
        <w:t>一般公共预算财政拨款收入，收入决算总额为315.31万元。</w:t>
      </w:r>
    </w:p>
    <w:p w14:paraId="389E024F">
      <w:pPr>
        <w:spacing w:line="600" w:lineRule="exact"/>
      </w:pPr>
      <w:r>
        <w:rPr>
          <w:rFonts w:cs="仿宋"/>
        </w:rPr>
        <w:t>202</w:t>
      </w:r>
      <w:r>
        <w:rPr>
          <w:rFonts w:hint="eastAsia" w:cs="仿宋"/>
        </w:rPr>
        <w:t>3年一般公共预算财政拨款支出决算总额为315.31万元，全部为基本支出。其中：</w:t>
      </w:r>
      <w:r>
        <w:rPr>
          <w:rFonts w:hint="eastAsia"/>
        </w:rPr>
        <w:t>人员经费190.72万元，占基本支出的60.49</w:t>
      </w:r>
      <w:r>
        <w:t>%</w:t>
      </w:r>
      <w:r>
        <w:rPr>
          <w:rFonts w:hint="eastAsia"/>
        </w:rPr>
        <w:t>，主要包括基本工资、津贴补贴、奖金、伙食补助费、绩效工资、机关事业养老缴费、职业年金缴费、职工医疗保险缴费、其他社会保障缴费、其他工资福利支出、对个人和家庭补助；公用经费124.59万元，占基本支出的39.51</w:t>
      </w:r>
      <w:r>
        <w:t>%</w:t>
      </w:r>
      <w:r>
        <w:rPr>
          <w:rFonts w:hint="eastAsia"/>
        </w:rPr>
        <w:t>，主要包括办公费、印刷费、差旅费、邮电费、公务接待费、劳务费、委托业务费、工会经费、其他交通费、其他商品和服务支出、资本性支出。</w:t>
      </w:r>
    </w:p>
    <w:p w14:paraId="7E1F771F">
      <w:pPr>
        <w:spacing w:line="600" w:lineRule="exact"/>
      </w:pPr>
      <w:r>
        <w:rPr>
          <w:rFonts w:hint="eastAsia"/>
        </w:rPr>
        <w:t>2.“三公”经费具体情况说明</w:t>
      </w:r>
    </w:p>
    <w:p w14:paraId="747D61C4">
      <w:pPr>
        <w:spacing w:line="600" w:lineRule="exact"/>
      </w:pPr>
      <w:r>
        <w:rPr>
          <w:rFonts w:hint="eastAsia"/>
        </w:rPr>
        <w:t>2023年，我单位“三公”经费年初预算为4万元，其中：公务接待费4万元，公务用车购置及运行费0万元。</w:t>
      </w:r>
    </w:p>
    <w:p w14:paraId="22E24FBE">
      <w:pPr>
        <w:spacing w:line="600" w:lineRule="exact"/>
      </w:pPr>
      <w:r>
        <w:rPr>
          <w:rFonts w:hint="eastAsia"/>
        </w:rPr>
        <w:t>截至2023年12月31日，本单位共有车辆0辆。年度公务用车运行维护费支出0万元，公务接待费支出3.22万元，未发生因公出国（境）费用支出。</w:t>
      </w:r>
    </w:p>
    <w:p w14:paraId="24F89CFE">
      <w:pPr>
        <w:pStyle w:val="5"/>
        <w:spacing w:line="600" w:lineRule="exact"/>
      </w:pPr>
      <w:r>
        <w:rPr>
          <w:rFonts w:hint="eastAsia"/>
        </w:rPr>
        <w:t>三、政府性基金项目支出情况</w:t>
      </w:r>
    </w:p>
    <w:p w14:paraId="0C12139A">
      <w:pPr>
        <w:spacing w:line="600" w:lineRule="exact"/>
      </w:pPr>
      <w:r>
        <w:rPr>
          <w:rFonts w:hint="eastAsia"/>
        </w:rPr>
        <w:t>2023年没有政府性基金预算收支。</w:t>
      </w:r>
    </w:p>
    <w:p w14:paraId="293FEFF9">
      <w:pPr>
        <w:pStyle w:val="5"/>
        <w:spacing w:line="600" w:lineRule="exact"/>
      </w:pPr>
      <w:r>
        <w:rPr>
          <w:rFonts w:hint="eastAsia"/>
        </w:rPr>
        <w:t>四、国有资本经营项目支出情况</w:t>
      </w:r>
    </w:p>
    <w:p w14:paraId="2D42E39B">
      <w:pPr>
        <w:spacing w:line="600" w:lineRule="exact"/>
      </w:pPr>
      <w:r>
        <w:rPr>
          <w:rFonts w:hint="eastAsia"/>
        </w:rPr>
        <w:t>2023年没有国有资本经营预算收支。</w:t>
      </w:r>
    </w:p>
    <w:p w14:paraId="35A01ACC">
      <w:pPr>
        <w:pStyle w:val="5"/>
        <w:spacing w:line="600" w:lineRule="exact"/>
      </w:pPr>
      <w:r>
        <w:rPr>
          <w:rFonts w:hint="eastAsia"/>
        </w:rPr>
        <w:t>五、社会保险基金项目支出情况</w:t>
      </w:r>
    </w:p>
    <w:p w14:paraId="313656E8">
      <w:pPr>
        <w:spacing w:line="600" w:lineRule="exact"/>
      </w:pPr>
      <w:r>
        <w:rPr>
          <w:rFonts w:hint="eastAsia"/>
        </w:rPr>
        <w:t>2023年没有社会保险基金预算收支。</w:t>
      </w:r>
    </w:p>
    <w:p w14:paraId="0E6A04F9">
      <w:pPr>
        <w:spacing w:line="600" w:lineRule="exact"/>
        <w:rPr>
          <w:rFonts w:ascii="黑体" w:hAnsi="黑体" w:eastAsia="黑体"/>
        </w:rPr>
      </w:pPr>
      <w:r>
        <w:rPr>
          <w:rFonts w:hint="eastAsia" w:ascii="黑体" w:hAnsi="黑体" w:eastAsia="黑体"/>
        </w:rPr>
        <w:t>六、部门整体支出绩效情况</w:t>
      </w:r>
    </w:p>
    <w:p w14:paraId="7DAAD331">
      <w:pPr>
        <w:spacing w:line="600" w:lineRule="exact"/>
      </w:pPr>
      <w:r>
        <w:rPr>
          <w:rFonts w:hint="eastAsia" w:cs="仿宋_GB2312"/>
        </w:rPr>
        <w:t>绩效目标任务完成情况：</w:t>
      </w:r>
      <w:r>
        <w:rPr>
          <w:rFonts w:hint="eastAsia"/>
        </w:rPr>
        <w:t>全年来，无到市赴省进京集访，无群体性事件或涉访个人极端行为，赴省进京访同比下降24%、86%；信访事项及时受理率100%、按期办结率100%、按期答复率100%、群众参评率99.68%、群众满意率99.19%，国家局求决类初次信访同比下降62.79%。</w:t>
      </w:r>
    </w:p>
    <w:p w14:paraId="7D5FBBA8">
      <w:pPr>
        <w:spacing w:line="600" w:lineRule="exact"/>
      </w:pPr>
      <w:r>
        <w:rPr>
          <w:rFonts w:hint="eastAsia"/>
        </w:rPr>
        <w:t>（一）产出指标完成情况分析</w:t>
      </w:r>
    </w:p>
    <w:p w14:paraId="210B86D9">
      <w:pPr>
        <w:spacing w:line="600" w:lineRule="exact"/>
      </w:pPr>
      <w:r>
        <w:rPr>
          <w:rFonts w:hint="eastAsia"/>
        </w:rPr>
        <w:t>1.数量指标</w:t>
      </w:r>
    </w:p>
    <w:p w14:paraId="4938F106">
      <w:pPr>
        <w:spacing w:line="600" w:lineRule="exact"/>
      </w:pPr>
      <w:r>
        <w:rPr>
          <w:rFonts w:hint="eastAsia"/>
        </w:rPr>
        <w:t>一是财政供养人员控制率</w:t>
      </w:r>
      <w:r>
        <w:rPr>
          <w:rFonts w:hint="eastAsia"/>
          <w:lang w:eastAsia="zh-CN"/>
        </w:rPr>
        <w:t>在</w:t>
      </w:r>
      <w:r>
        <w:rPr>
          <w:rFonts w:hint="eastAsia"/>
        </w:rPr>
        <w:t>100%</w:t>
      </w:r>
      <w:r>
        <w:rPr>
          <w:rFonts w:hint="eastAsia"/>
          <w:lang w:eastAsia="zh-CN"/>
        </w:rPr>
        <w:t>以内</w:t>
      </w:r>
      <w:r>
        <w:rPr>
          <w:rFonts w:hint="eastAsia"/>
          <w:lang w:val="en-US" w:eastAsia="zh-CN"/>
        </w:rPr>
        <w:t>;</w:t>
      </w:r>
      <w:r>
        <w:rPr>
          <w:rFonts w:hint="eastAsia"/>
        </w:rPr>
        <w:t>二是三公经费控制</w:t>
      </w:r>
      <w:r>
        <w:rPr>
          <w:rFonts w:hint="eastAsia"/>
          <w:lang w:eastAsia="zh-CN"/>
        </w:rPr>
        <w:t>在</w:t>
      </w:r>
      <w:r>
        <w:rPr>
          <w:rFonts w:hint="eastAsia"/>
        </w:rPr>
        <w:t>100%</w:t>
      </w:r>
      <w:r>
        <w:rPr>
          <w:rFonts w:hint="eastAsia"/>
          <w:lang w:eastAsia="zh-CN"/>
        </w:rPr>
        <w:t>以内</w:t>
      </w:r>
      <w:r>
        <w:rPr>
          <w:rFonts w:hint="eastAsia"/>
        </w:rPr>
        <w:t>。三是信访件</w:t>
      </w:r>
      <w:r>
        <w:rPr>
          <w:rFonts w:hint="eastAsia"/>
          <w:lang w:eastAsia="zh-CN"/>
        </w:rPr>
        <w:t>按时</w:t>
      </w:r>
      <w:r>
        <w:rPr>
          <w:rFonts w:hint="eastAsia"/>
        </w:rPr>
        <w:t>办结率</w:t>
      </w:r>
      <w:r>
        <w:rPr>
          <w:rFonts w:hint="eastAsia"/>
          <w:lang w:val="en-US" w:eastAsia="zh-CN"/>
        </w:rPr>
        <w:t>100%</w:t>
      </w:r>
      <w:r>
        <w:rPr>
          <w:rFonts w:hint="eastAsia"/>
        </w:rPr>
        <w:t>。</w:t>
      </w:r>
    </w:p>
    <w:p w14:paraId="245E72D1">
      <w:pPr>
        <w:spacing w:line="600" w:lineRule="exact"/>
      </w:pPr>
      <w:r>
        <w:rPr>
          <w:rFonts w:hint="eastAsia"/>
        </w:rPr>
        <w:t>2.质量指标</w:t>
      </w:r>
    </w:p>
    <w:p w14:paraId="0367AFD9">
      <w:pPr>
        <w:spacing w:line="600" w:lineRule="exact"/>
      </w:pPr>
      <w:r>
        <w:rPr>
          <w:rFonts w:hint="eastAsia"/>
        </w:rPr>
        <w:t>一是政府采购执行率100%</w:t>
      </w:r>
      <w:r>
        <w:rPr>
          <w:rFonts w:hint="eastAsia"/>
          <w:lang w:val="en-US" w:eastAsia="zh-CN"/>
        </w:rPr>
        <w:t>;</w:t>
      </w:r>
      <w:r>
        <w:rPr>
          <w:rFonts w:hint="eastAsia"/>
          <w:lang w:eastAsia="zh-CN"/>
        </w:rPr>
        <w:t>二</w:t>
      </w:r>
      <w:r>
        <w:rPr>
          <w:rFonts w:hint="eastAsia"/>
        </w:rPr>
        <w:t>是越级访、非正常访逐步下降。</w:t>
      </w:r>
      <w:bookmarkStart w:id="0" w:name="_GoBack"/>
      <w:bookmarkEnd w:id="0"/>
    </w:p>
    <w:p w14:paraId="0FF2C64B">
      <w:pPr>
        <w:spacing w:line="600" w:lineRule="exact"/>
      </w:pPr>
      <w:r>
        <w:rPr>
          <w:rFonts w:hint="eastAsia"/>
        </w:rPr>
        <w:t>3.时效指标</w:t>
      </w:r>
    </w:p>
    <w:p w14:paraId="31464D91">
      <w:pPr>
        <w:spacing w:line="600" w:lineRule="exact"/>
      </w:pPr>
      <w:r>
        <w:rPr>
          <w:rFonts w:hint="eastAsia"/>
        </w:rPr>
        <w:t>所有工作均在2023年12月底前完成，按时完成率100%。</w:t>
      </w:r>
    </w:p>
    <w:p w14:paraId="7A993A33">
      <w:pPr>
        <w:spacing w:line="600" w:lineRule="exact"/>
      </w:pPr>
      <w:r>
        <w:rPr>
          <w:rFonts w:hint="eastAsia"/>
        </w:rPr>
        <w:t>4.成本指标</w:t>
      </w:r>
    </w:p>
    <w:p w14:paraId="3D488E5D">
      <w:pPr>
        <w:spacing w:line="600" w:lineRule="exact"/>
      </w:pPr>
      <w:r>
        <w:rPr>
          <w:rFonts w:hint="eastAsia"/>
        </w:rPr>
        <w:t>为积极贯彻“过紧日子”的思想，达到勤俭节约、不奢侈浪费的要求，全部按指标要求完成。</w:t>
      </w:r>
    </w:p>
    <w:p w14:paraId="1BA1DBA0">
      <w:pPr>
        <w:spacing w:line="600" w:lineRule="exact"/>
      </w:pPr>
      <w:r>
        <w:rPr>
          <w:rFonts w:hint="eastAsia"/>
        </w:rPr>
        <w:t>（二）效益指标完成情况分析</w:t>
      </w:r>
    </w:p>
    <w:p w14:paraId="12A7B4BF">
      <w:pPr>
        <w:spacing w:line="600" w:lineRule="exact"/>
      </w:pPr>
      <w:r>
        <w:rPr>
          <w:rFonts w:hint="eastAsia"/>
        </w:rPr>
        <w:t>1.社会效益指标。信访总量逐步下降。</w:t>
      </w:r>
    </w:p>
    <w:p w14:paraId="7DA99BA4">
      <w:pPr>
        <w:spacing w:line="600" w:lineRule="exact"/>
      </w:pPr>
      <w:r>
        <w:rPr>
          <w:rFonts w:hint="eastAsia"/>
        </w:rPr>
        <w:t>2.可持续影响指标。维护社会稳定，无恶性事件发生。</w:t>
      </w:r>
    </w:p>
    <w:p w14:paraId="17CFA9F0">
      <w:pPr>
        <w:spacing w:line="600" w:lineRule="exact"/>
      </w:pPr>
      <w:r>
        <w:rPr>
          <w:rFonts w:hint="eastAsia"/>
        </w:rPr>
        <w:t>（三）满意度指标情况分析</w:t>
      </w:r>
    </w:p>
    <w:p w14:paraId="0F22F1E9">
      <w:pPr>
        <w:spacing w:line="600" w:lineRule="exact"/>
      </w:pPr>
      <w:r>
        <w:rPr>
          <w:rFonts w:hint="eastAsia"/>
        </w:rPr>
        <w:t>广大群众对信访问题受理满意度达95%以上。</w:t>
      </w:r>
    </w:p>
    <w:p w14:paraId="456D41D2">
      <w:pPr>
        <w:pStyle w:val="5"/>
        <w:spacing w:line="600" w:lineRule="exact"/>
      </w:pPr>
      <w:r>
        <w:rPr>
          <w:rFonts w:hint="eastAsia"/>
        </w:rPr>
        <w:t>七、存在的问题及原因分析</w:t>
      </w:r>
    </w:p>
    <w:p w14:paraId="0ED4D8D9">
      <w:pPr>
        <w:spacing w:line="600" w:lineRule="exact"/>
      </w:pPr>
      <w:r>
        <w:rPr>
          <w:rFonts w:hint="eastAsia"/>
        </w:rPr>
        <w:t>（一）评价结论</w:t>
      </w:r>
    </w:p>
    <w:p w14:paraId="1CB003F0">
      <w:pPr>
        <w:spacing w:line="600" w:lineRule="exact"/>
      </w:pPr>
      <w:r>
        <w:rPr>
          <w:rFonts w:hint="eastAsia"/>
        </w:rPr>
        <w:t>2023年，我单位认真做好年度财政资金的预算编制工作，在资金使用和管理方面，进一步强化资金统筹，优化资金结构，明确开支范围，细化资金用途，确保部门职责任务顺利完成。全年基本支出保证了部门的正常运行和日常工作的正常开展，达到预期绩效目标。</w:t>
      </w:r>
    </w:p>
    <w:p w14:paraId="4EB39C7A">
      <w:pPr>
        <w:spacing w:line="600" w:lineRule="exact"/>
      </w:pPr>
      <w:r>
        <w:rPr>
          <w:rFonts w:hint="eastAsia"/>
        </w:rPr>
        <w:t>（二）存在的问题</w:t>
      </w:r>
    </w:p>
    <w:p w14:paraId="2BDE88B2">
      <w:pPr>
        <w:spacing w:line="600" w:lineRule="exact"/>
      </w:pPr>
      <w:r>
        <w:rPr>
          <w:rFonts w:hint="eastAsia"/>
        </w:rPr>
        <w:t>1.单位各股室预算编制不够精细化</w:t>
      </w:r>
      <w:r>
        <w:rPr>
          <w:rFonts w:hint="eastAsia"/>
          <w:lang w:eastAsia="zh-CN"/>
        </w:rPr>
        <w:t>。</w:t>
      </w:r>
      <w:r>
        <w:rPr>
          <w:rFonts w:hint="eastAsia"/>
        </w:rPr>
        <w:t>绩效评价指标体系还不够完善、</w:t>
      </w:r>
      <w:r>
        <w:rPr>
          <w:rFonts w:hint="eastAsia"/>
          <w:lang w:eastAsia="zh-CN"/>
        </w:rPr>
        <w:t>细致</w:t>
      </w:r>
      <w:r>
        <w:rPr>
          <w:rFonts w:hint="eastAsia"/>
        </w:rPr>
        <w:t>，个性指标在标准设计上存在难度，导致评价内容不够全面，难以满足不同层面和不同性质的绩效评价需求。</w:t>
      </w:r>
    </w:p>
    <w:p w14:paraId="15B11A71">
      <w:pPr>
        <w:spacing w:line="600" w:lineRule="exact"/>
      </w:pPr>
      <w:r>
        <w:rPr>
          <w:rFonts w:hint="eastAsia"/>
        </w:rPr>
        <w:t>2.绩效评价管理制度尚不健全。办公室还尚未制定相关的管理办法和实施细则，绩效评价开展缺乏强有力的制度保障。</w:t>
      </w:r>
    </w:p>
    <w:p w14:paraId="2C98D1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00" w:lineRule="exact"/>
        <w:ind w:left="0" w:leftChars="0" w:right="0" w:firstLine="640" w:firstLineChars="200"/>
        <w:jc w:val="both"/>
        <w:textAlignment w:val="auto"/>
        <w:rPr>
          <w:rFonts w:hint="eastAsia" w:ascii="仿宋" w:hAnsi="仿宋" w:eastAsia="仿宋" w:cs="Times New Roman"/>
          <w:kern w:val="2"/>
          <w:sz w:val="32"/>
          <w:szCs w:val="32"/>
          <w:lang w:val="en-US" w:eastAsia="zh-CN" w:bidi="ar-SA"/>
        </w:rPr>
      </w:pPr>
      <w:r>
        <w:rPr>
          <w:rFonts w:hint="eastAsia" w:cs="Times New Roman"/>
          <w:kern w:val="2"/>
          <w:sz w:val="32"/>
          <w:szCs w:val="32"/>
          <w:lang w:val="en-US" w:eastAsia="zh-CN" w:bidi="ar-SA"/>
        </w:rPr>
        <w:t>3.</w:t>
      </w:r>
      <w:r>
        <w:rPr>
          <w:rFonts w:hint="eastAsia" w:ascii="仿宋" w:hAnsi="仿宋" w:eastAsia="仿宋" w:cs="Times New Roman"/>
          <w:kern w:val="2"/>
          <w:sz w:val="32"/>
          <w:szCs w:val="32"/>
          <w:lang w:val="en-US" w:eastAsia="zh-CN" w:bidi="ar-SA"/>
        </w:rPr>
        <w:t>对绩效评价工作的认识不够。相关职责部门配合不够，大多数时候只能借用工作计划</w:t>
      </w:r>
      <w:r>
        <w:rPr>
          <w:rFonts w:hint="eastAsia" w:cs="Times New Roman"/>
          <w:kern w:val="2"/>
          <w:sz w:val="32"/>
          <w:szCs w:val="32"/>
          <w:lang w:val="en-US" w:eastAsia="zh-CN" w:bidi="ar-SA"/>
        </w:rPr>
        <w:t>、</w:t>
      </w:r>
      <w:r>
        <w:rPr>
          <w:rFonts w:hint="eastAsia" w:ascii="仿宋" w:hAnsi="仿宋" w:eastAsia="仿宋" w:cs="Times New Roman"/>
          <w:kern w:val="2"/>
          <w:sz w:val="32"/>
          <w:szCs w:val="32"/>
          <w:lang w:val="en-US" w:eastAsia="zh-CN" w:bidi="ar-SA"/>
        </w:rPr>
        <w:t>工作总结等做为绩效自评报告的主要内容。</w:t>
      </w:r>
    </w:p>
    <w:p w14:paraId="2FCA74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00" w:lineRule="exact"/>
        <w:ind w:right="0" w:firstLine="640" w:firstLineChars="200"/>
        <w:jc w:val="both"/>
        <w:textAlignment w:val="auto"/>
      </w:pPr>
      <w:r>
        <w:rPr>
          <w:rFonts w:hint="eastAsia" w:ascii="仿宋" w:hAnsi="仿宋" w:eastAsia="仿宋" w:cs="Times New Roman"/>
          <w:kern w:val="2"/>
          <w:sz w:val="32"/>
          <w:szCs w:val="32"/>
          <w:lang w:val="en-US" w:eastAsia="zh-CN" w:bidi="ar-SA"/>
        </w:rPr>
        <w:t>4、人员素质有待进一步提高。由于预算绩效管理工作开展时间短，涉及面广，专业性强，加上缺乏系统的培训，单位对预算绩效管理理解不充分，对预算绩效管理业务不精通，在一定程度上影响了绩效</w:t>
      </w:r>
      <w:r>
        <w:rPr>
          <w:rFonts w:hint="eastAsia" w:cs="Times New Roman"/>
          <w:kern w:val="2"/>
          <w:sz w:val="32"/>
          <w:szCs w:val="32"/>
          <w:lang w:val="en-US" w:eastAsia="zh-CN" w:bidi="ar-SA"/>
        </w:rPr>
        <w:t>管理</w:t>
      </w:r>
      <w:r>
        <w:rPr>
          <w:rFonts w:hint="eastAsia" w:ascii="仿宋" w:hAnsi="仿宋" w:eastAsia="仿宋" w:cs="Times New Roman"/>
          <w:kern w:val="2"/>
          <w:sz w:val="32"/>
          <w:szCs w:val="32"/>
          <w:lang w:val="en-US" w:eastAsia="zh-CN" w:bidi="ar-SA"/>
        </w:rPr>
        <w:t>评价工作质量。</w:t>
      </w:r>
    </w:p>
    <w:p w14:paraId="7AF02DC5">
      <w:pPr>
        <w:pStyle w:val="2"/>
        <w:spacing w:before="0" w:beforeAutospacing="0" w:after="0" w:afterAutospacing="0" w:line="600" w:lineRule="exact"/>
        <w:rPr>
          <w:rFonts w:ascii="黑体" w:hAnsi="黑体" w:eastAsia="黑体"/>
          <w:sz w:val="32"/>
        </w:rPr>
      </w:pPr>
      <w:r>
        <w:rPr>
          <w:rFonts w:hint="eastAsia" w:ascii="黑体" w:hAnsi="黑体" w:eastAsia="黑体"/>
          <w:sz w:val="32"/>
        </w:rPr>
        <w:t>八、下一步改进措施</w:t>
      </w:r>
    </w:p>
    <w:p w14:paraId="5D60E1E7">
      <w:pPr>
        <w:pStyle w:val="2"/>
        <w:spacing w:before="0" w:beforeAutospacing="0" w:after="0" w:afterAutospacing="0" w:line="600" w:lineRule="exact"/>
        <w:rPr>
          <w:sz w:val="32"/>
          <w:shd w:val="clear" w:color="auto" w:fill="FFFFFF"/>
        </w:rPr>
      </w:pPr>
      <w:r>
        <w:rPr>
          <w:rFonts w:hint="eastAsia"/>
          <w:sz w:val="32"/>
          <w:shd w:val="clear" w:color="auto" w:fill="FFFFFF"/>
        </w:rPr>
        <w:t>1.</w:t>
      </w:r>
      <w:r>
        <w:rPr>
          <w:rFonts w:hint="eastAsia"/>
          <w:sz w:val="32"/>
          <w:shd w:val="clear" w:color="auto" w:fill="FFFFFF"/>
          <w:lang w:eastAsia="zh-CN"/>
        </w:rPr>
        <w:t>进一步</w:t>
      </w:r>
      <w:r>
        <w:rPr>
          <w:rFonts w:hint="eastAsia"/>
          <w:sz w:val="32"/>
          <w:shd w:val="clear" w:color="auto" w:fill="FFFFFF"/>
        </w:rPr>
        <w:t>科学</w:t>
      </w:r>
      <w:r>
        <w:rPr>
          <w:rFonts w:hint="eastAsia"/>
          <w:sz w:val="32"/>
          <w:shd w:val="clear" w:color="auto" w:fill="FFFFFF"/>
          <w:lang w:eastAsia="zh-CN"/>
        </w:rPr>
        <w:t>细化</w:t>
      </w:r>
      <w:r>
        <w:rPr>
          <w:rFonts w:hint="eastAsia"/>
          <w:sz w:val="32"/>
          <w:shd w:val="clear" w:color="auto" w:fill="FFFFFF"/>
        </w:rPr>
        <w:t>预算</w:t>
      </w:r>
      <w:r>
        <w:rPr>
          <w:rFonts w:hint="eastAsia"/>
          <w:sz w:val="32"/>
          <w:shd w:val="clear" w:color="auto" w:fill="FFFFFF"/>
          <w:lang w:eastAsia="zh-CN"/>
        </w:rPr>
        <w:t>绩效各项指标</w:t>
      </w:r>
      <w:r>
        <w:rPr>
          <w:rFonts w:hint="eastAsia"/>
          <w:sz w:val="32"/>
          <w:shd w:val="clear" w:color="auto" w:fill="FFFFFF"/>
        </w:rPr>
        <w:t>。</w:t>
      </w:r>
    </w:p>
    <w:p w14:paraId="317F8118">
      <w:pPr>
        <w:pStyle w:val="2"/>
        <w:spacing w:before="0" w:beforeAutospacing="0" w:after="0" w:afterAutospacing="0" w:line="600" w:lineRule="exact"/>
        <w:rPr>
          <w:rFonts w:hint="eastAsia" w:eastAsia="仿宋"/>
          <w:sz w:val="32"/>
          <w:shd w:val="clear" w:color="auto" w:fill="FFFFFF"/>
          <w:lang w:val="en-US" w:eastAsia="zh-CN"/>
        </w:rPr>
      </w:pPr>
      <w:r>
        <w:rPr>
          <w:rFonts w:hint="eastAsia"/>
          <w:sz w:val="32"/>
          <w:shd w:val="clear" w:color="auto" w:fill="FFFFFF"/>
        </w:rPr>
        <w:t>2</w:t>
      </w:r>
      <w:r>
        <w:rPr>
          <w:rFonts w:hint="eastAsia"/>
          <w:sz w:val="32"/>
          <w:shd w:val="clear" w:color="auto" w:fill="FFFFFF"/>
          <w:lang w:val="en-US" w:eastAsia="zh-CN"/>
        </w:rPr>
        <w:t>.</w:t>
      </w:r>
      <w:r>
        <w:rPr>
          <w:rFonts w:hint="eastAsia"/>
          <w:sz w:val="32"/>
          <w:shd w:val="clear" w:color="auto" w:fill="FFFFFF"/>
        </w:rPr>
        <w:t>加强</w:t>
      </w:r>
      <w:r>
        <w:rPr>
          <w:rFonts w:hint="eastAsia"/>
          <w:sz w:val="32"/>
          <w:shd w:val="clear" w:color="auto" w:fill="FFFFFF"/>
          <w:lang w:eastAsia="zh-CN"/>
        </w:rPr>
        <w:t>绩效管理评价工作宣传力度和人员</w:t>
      </w:r>
      <w:r>
        <w:rPr>
          <w:rFonts w:hint="eastAsia"/>
          <w:sz w:val="32"/>
          <w:shd w:val="clear" w:color="auto" w:fill="FFFFFF"/>
        </w:rPr>
        <w:t>培训</w:t>
      </w:r>
      <w:r>
        <w:rPr>
          <w:rFonts w:hint="eastAsia"/>
          <w:sz w:val="32"/>
          <w:shd w:val="clear" w:color="auto" w:fill="FFFFFF"/>
          <w:lang w:eastAsia="zh-CN"/>
        </w:rPr>
        <w:t>。</w:t>
      </w:r>
    </w:p>
    <w:p w14:paraId="0AAD153E">
      <w:pPr>
        <w:pStyle w:val="2"/>
        <w:spacing w:before="0" w:beforeAutospacing="0" w:after="0" w:afterAutospacing="0" w:line="600" w:lineRule="exact"/>
        <w:rPr>
          <w:sz w:val="32"/>
          <w:shd w:val="clear" w:color="auto" w:fill="FFFFFF"/>
        </w:rPr>
      </w:pPr>
      <w:r>
        <w:rPr>
          <w:rFonts w:hint="eastAsia"/>
          <w:sz w:val="32"/>
          <w:shd w:val="clear" w:color="auto" w:fill="FFFFFF"/>
        </w:rPr>
        <w:t>3.完善</w:t>
      </w:r>
      <w:r>
        <w:rPr>
          <w:rFonts w:hint="eastAsia"/>
          <w:sz w:val="32"/>
          <w:shd w:val="clear" w:color="auto" w:fill="FFFFFF"/>
          <w:lang w:eastAsia="zh-CN"/>
        </w:rPr>
        <w:t>各项</w:t>
      </w:r>
      <w:r>
        <w:rPr>
          <w:rFonts w:hint="eastAsia"/>
          <w:sz w:val="32"/>
          <w:shd w:val="clear" w:color="auto" w:fill="FFFFFF"/>
        </w:rPr>
        <w:t>管理制度，加强资产管理。</w:t>
      </w:r>
    </w:p>
    <w:p w14:paraId="25E24D4C">
      <w:pPr>
        <w:spacing w:line="600" w:lineRule="exact"/>
        <w:rPr>
          <w:rFonts w:ascii="黑体" w:hAnsi="黑体" w:eastAsia="黑体"/>
        </w:rPr>
      </w:pPr>
      <w:r>
        <w:rPr>
          <w:rFonts w:hint="eastAsia" w:ascii="黑体" w:hAnsi="黑体" w:eastAsia="黑体"/>
        </w:rPr>
        <w:t>九、部门整体支出绩效自评结果拟应用和公开情况</w:t>
      </w:r>
    </w:p>
    <w:p w14:paraId="3293EB5F">
      <w:pPr>
        <w:spacing w:line="600" w:lineRule="exact"/>
      </w:pPr>
      <w:r>
        <w:rPr>
          <w:rFonts w:hint="eastAsia"/>
          <w:shd w:val="clear" w:color="auto" w:fill="FFFFFF"/>
        </w:rPr>
        <w:t>我单位将于规定时间内把部门整体支出绩效自评报告在县人民政府门户网站进行公开，并主动接受社会监督。</w:t>
      </w:r>
    </w:p>
    <w:p w14:paraId="5C3621F6">
      <w:pPr>
        <w:spacing w:line="600" w:lineRule="exact"/>
        <w:rPr>
          <w:rFonts w:ascii="黑体" w:hAnsi="黑体" w:eastAsia="黑体"/>
        </w:rPr>
      </w:pPr>
      <w:r>
        <w:rPr>
          <w:rFonts w:hint="eastAsia" w:ascii="黑体" w:hAnsi="黑体" w:eastAsia="黑体"/>
        </w:rPr>
        <w:t>十、其他需要说明的情况</w:t>
      </w:r>
    </w:p>
    <w:p w14:paraId="5E78E6B0">
      <w:pPr>
        <w:spacing w:line="600" w:lineRule="exact"/>
      </w:pPr>
      <w:r>
        <w:rPr>
          <w:rFonts w:hint="eastAsia"/>
        </w:rPr>
        <w:t>无</w:t>
      </w:r>
    </w:p>
    <w:p w14:paraId="35798B1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QwYWNiMTMwNTI3MTM0YzRkN2I3YTlhYWRkODUwNzUifQ=="/>
  </w:docVars>
  <w:rsids>
    <w:rsidRoot w:val="003A72EF"/>
    <w:rsid w:val="003A72EF"/>
    <w:rsid w:val="005A0C2D"/>
    <w:rsid w:val="005A10AC"/>
    <w:rsid w:val="00657BB4"/>
    <w:rsid w:val="0090240C"/>
    <w:rsid w:val="00AD6C5B"/>
    <w:rsid w:val="00CC69C2"/>
    <w:rsid w:val="05953B27"/>
    <w:rsid w:val="084673EC"/>
    <w:rsid w:val="08B576D2"/>
    <w:rsid w:val="0C0C51D9"/>
    <w:rsid w:val="113B273E"/>
    <w:rsid w:val="236A7687"/>
    <w:rsid w:val="244909EB"/>
    <w:rsid w:val="24D40A88"/>
    <w:rsid w:val="28D93341"/>
    <w:rsid w:val="292B5FB3"/>
    <w:rsid w:val="29AC5BDB"/>
    <w:rsid w:val="2B2B0187"/>
    <w:rsid w:val="2F286418"/>
    <w:rsid w:val="3E542903"/>
    <w:rsid w:val="4A4F054D"/>
    <w:rsid w:val="4E907913"/>
    <w:rsid w:val="518B4A54"/>
    <w:rsid w:val="52D4752E"/>
    <w:rsid w:val="56D555C3"/>
    <w:rsid w:val="5CDB4E38"/>
    <w:rsid w:val="72E66034"/>
    <w:rsid w:val="798B6ADC"/>
    <w:rsid w:val="7D35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640" w:firstLineChars="200"/>
      <w:jc w:val="both"/>
    </w:pPr>
    <w:rPr>
      <w:rFonts w:ascii="仿宋" w:hAnsi="仿宋" w:eastAsia="仿宋" w:cs="Times New Roman"/>
      <w:kern w:val="2"/>
      <w:sz w:val="32"/>
      <w:szCs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kern w:val="0"/>
      <w:sz w:val="24"/>
    </w:rPr>
  </w:style>
  <w:style w:type="paragraph" w:styleId="5">
    <w:name w:val="List Paragraph"/>
    <w:basedOn w:val="1"/>
    <w:autoRedefine/>
    <w:qFormat/>
    <w:uiPriority w:val="99"/>
    <w:pPr>
      <w:widowControl/>
      <w:spacing w:line="560" w:lineRule="exact"/>
      <w:textAlignment w:val="bottom"/>
    </w:pPr>
    <w:rPr>
      <w:rFonts w:ascii="黑体" w:hAnsi="黑体" w:eastAsia="黑体"/>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2884</Words>
  <Characters>3034</Characters>
  <Lines>21</Lines>
  <Paragraphs>6</Paragraphs>
  <TotalTime>8</TotalTime>
  <ScaleCrop>false</ScaleCrop>
  <LinksUpToDate>false</LinksUpToDate>
  <CharactersWithSpaces>3036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2024-04-10T01:37:00Z</dcterms:created>
  <dc:creator>Administrator</dc:creator>
  <cp:lastModifiedBy>Administrator</cp:lastModifiedBy>
  <cp:lastPrinted>2024-04-10T03:35:00Z</cp:lastPrinted>
  <dcterms:modified xsi:type="dcterms:W3CDTF">2024-09-26T07:00:59Z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CFBA031C68514C84BAB76B48EE12486D_12</vt:lpwstr>
  </property>
</Properties>
</file>