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center"/>
        <w:rPr>
          <w:rFonts w:hint="eastAsia" w:ascii="宋体" w:hAnsi="宋体" w:eastAsia="宋体" w:cs="宋体"/>
          <w:b/>
          <w:bCs/>
          <w:sz w:val="72"/>
          <w:szCs w:val="72"/>
        </w:rPr>
      </w:pPr>
      <w:r>
        <w:rPr>
          <w:rFonts w:hint="eastAsia" w:ascii="楷体_GB2312" w:hAnsi="楷体_GB2312" w:eastAsia="楷体_GB2312" w:cs="楷体_GB2312"/>
          <w:b/>
          <w:bCs/>
          <w:color w:val="000000"/>
          <w:kern w:val="0"/>
          <w:sz w:val="72"/>
          <w:szCs w:val="72"/>
          <w:lang w:val="en-US" w:eastAsia="zh-CN" w:bidi="ar"/>
        </w:rPr>
        <w:t>2022年度乡村振兴局整体支出绩效自评报告</w:t>
      </w:r>
    </w:p>
    <w:p>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pPr>
        <w:keepNext w:val="0"/>
        <w:keepLines w:val="0"/>
        <w:widowControl/>
        <w:suppressLineNumbers w:val="0"/>
        <w:ind w:firstLine="2170" w:firstLineChars="700"/>
        <w:jc w:val="left"/>
        <w:rPr>
          <w:rFonts w:hint="default"/>
          <w:u w:val="single"/>
          <w:lang w:val="en-US"/>
        </w:rPr>
      </w:pPr>
      <w:r>
        <w:rPr>
          <w:rFonts w:ascii="仿宋_GB2312" w:hAnsi="仿宋_GB2312" w:eastAsia="仿宋_GB2312" w:cs="仿宋_GB2312"/>
          <w:color w:val="000000"/>
          <w:kern w:val="0"/>
          <w:sz w:val="31"/>
          <w:szCs w:val="31"/>
          <w:u w:val="single"/>
          <w:lang w:val="en-US" w:eastAsia="zh-CN" w:bidi="ar"/>
        </w:rPr>
        <w:t>单位名称：</w:t>
      </w:r>
      <w:r>
        <w:rPr>
          <w:rFonts w:hint="eastAsia" w:ascii="仿宋_GB2312" w:hAnsi="仿宋_GB2312" w:eastAsia="仿宋_GB2312" w:cs="仿宋_GB2312"/>
          <w:color w:val="000000"/>
          <w:kern w:val="0"/>
          <w:sz w:val="31"/>
          <w:szCs w:val="31"/>
          <w:u w:val="single"/>
          <w:lang w:val="en-US" w:eastAsia="zh-CN" w:bidi="ar"/>
        </w:rPr>
        <w:t xml:space="preserve">  </w:t>
      </w:r>
      <w:r>
        <w:rPr>
          <w:rFonts w:ascii="仿宋_GB2312" w:hAnsi="仿宋_GB2312" w:eastAsia="仿宋_GB2312" w:cs="仿宋_GB2312"/>
          <w:color w:val="000000"/>
          <w:kern w:val="0"/>
          <w:sz w:val="31"/>
          <w:szCs w:val="31"/>
          <w:u w:val="single"/>
          <w:lang w:val="en-US" w:eastAsia="zh-CN" w:bidi="ar"/>
        </w:rPr>
        <w:t xml:space="preserve">（盖章） </w:t>
      </w:r>
      <w:r>
        <w:rPr>
          <w:rFonts w:hint="eastAsia" w:ascii="仿宋_GB2312" w:hAnsi="仿宋_GB2312" w:eastAsia="仿宋_GB2312" w:cs="仿宋_GB2312"/>
          <w:color w:val="000000"/>
          <w:kern w:val="0"/>
          <w:sz w:val="31"/>
          <w:szCs w:val="31"/>
          <w:u w:val="single"/>
          <w:lang w:val="en-US" w:eastAsia="zh-CN" w:bidi="ar"/>
        </w:rPr>
        <w:t xml:space="preserve">  </w:t>
      </w:r>
    </w:p>
    <w:p>
      <w:pPr>
        <w:keepNext w:val="0"/>
        <w:keepLines w:val="0"/>
        <w:widowControl/>
        <w:suppressLineNumbers w:val="0"/>
        <w:ind w:firstLine="2170" w:firstLineChars="700"/>
        <w:jc w:val="left"/>
      </w:pPr>
      <w:r>
        <w:rPr>
          <w:rFonts w:hint="eastAsia" w:ascii="楷体_GB2312" w:hAnsi="楷体_GB2312" w:eastAsia="楷体_GB2312" w:cs="楷体_GB2312"/>
          <w:color w:val="000000"/>
          <w:kern w:val="0"/>
          <w:sz w:val="31"/>
          <w:szCs w:val="31"/>
          <w:lang w:val="en-US" w:eastAsia="zh-CN" w:bidi="ar"/>
        </w:rPr>
        <w:t>2022</w:t>
      </w:r>
      <w:r>
        <w:rPr>
          <w:rFonts w:ascii="楷体_GB2312" w:hAnsi="楷体_GB2312" w:eastAsia="楷体_GB2312" w:cs="楷体_GB2312"/>
          <w:color w:val="000000"/>
          <w:kern w:val="0"/>
          <w:sz w:val="31"/>
          <w:szCs w:val="31"/>
          <w:lang w:val="en-US" w:eastAsia="zh-CN" w:bidi="ar"/>
        </w:rPr>
        <w:t xml:space="preserve">年 </w:t>
      </w:r>
      <w:r>
        <w:rPr>
          <w:rFonts w:hint="eastAsia" w:ascii="楷体_GB2312" w:hAnsi="楷体_GB2312" w:eastAsia="楷体_GB2312" w:cs="楷体_GB2312"/>
          <w:color w:val="000000"/>
          <w:kern w:val="0"/>
          <w:sz w:val="31"/>
          <w:szCs w:val="31"/>
          <w:lang w:val="en-US" w:eastAsia="zh-CN" w:bidi="ar"/>
        </w:rPr>
        <w:t xml:space="preserve">12 </w:t>
      </w:r>
      <w:r>
        <w:rPr>
          <w:rFonts w:ascii="楷体_GB2312" w:hAnsi="楷体_GB2312" w:eastAsia="楷体_GB2312" w:cs="楷体_GB2312"/>
          <w:color w:val="000000"/>
          <w:kern w:val="0"/>
          <w:sz w:val="31"/>
          <w:szCs w:val="31"/>
          <w:lang w:val="en-US" w:eastAsia="zh-CN" w:bidi="ar"/>
        </w:rPr>
        <w:t>月</w:t>
      </w:r>
      <w:r>
        <w:rPr>
          <w:rFonts w:hint="eastAsia" w:ascii="楷体_GB2312" w:hAnsi="楷体_GB2312" w:eastAsia="楷体_GB2312" w:cs="楷体_GB2312"/>
          <w:color w:val="000000"/>
          <w:kern w:val="0"/>
          <w:sz w:val="31"/>
          <w:szCs w:val="31"/>
          <w:lang w:val="en-US" w:eastAsia="zh-CN" w:bidi="ar"/>
        </w:rPr>
        <w:t>31</w:t>
      </w:r>
      <w:r>
        <w:rPr>
          <w:rFonts w:ascii="楷体_GB2312" w:hAnsi="楷体_GB2312" w:eastAsia="楷体_GB2312" w:cs="楷体_GB2312"/>
          <w:color w:val="000000"/>
          <w:kern w:val="0"/>
          <w:sz w:val="31"/>
          <w:szCs w:val="31"/>
          <w:lang w:val="en-US" w:eastAsia="zh-CN" w:bidi="ar"/>
        </w:rPr>
        <w:t xml:space="preserve"> 日 </w:t>
      </w:r>
    </w:p>
    <w:p>
      <w:pPr>
        <w:keepNext w:val="0"/>
        <w:keepLines w:val="0"/>
        <w:widowControl/>
        <w:suppressLineNumbers w:val="0"/>
        <w:jc w:val="center"/>
        <w:rPr>
          <w:rFonts w:ascii="FZXiaoBiaoSong-B05" w:hAnsi="FZXiaoBiaoSong-B05" w:eastAsia="FZXiaoBiaoSong-B05" w:cs="FZXiaoBiaoSong-B05"/>
          <w:color w:val="000000"/>
          <w:kern w:val="0"/>
          <w:sz w:val="43"/>
          <w:szCs w:val="43"/>
          <w:lang w:val="en-US" w:eastAsia="zh-CN" w:bidi="ar"/>
        </w:rPr>
      </w:pPr>
    </w:p>
    <w:p>
      <w:pPr>
        <w:keepNext w:val="0"/>
        <w:keepLines w:val="0"/>
        <w:widowControl/>
        <w:suppressLineNumbers w:val="0"/>
        <w:jc w:val="center"/>
        <w:rPr>
          <w:rFonts w:ascii="FZXiaoBiaoSong-B05" w:hAnsi="FZXiaoBiaoSong-B05" w:eastAsia="FZXiaoBiaoSong-B05" w:cs="FZXiaoBiaoSong-B05"/>
          <w:color w:val="000000"/>
          <w:kern w:val="0"/>
          <w:sz w:val="43"/>
          <w:szCs w:val="43"/>
          <w:lang w:val="en-US" w:eastAsia="zh-CN" w:bidi="ar"/>
        </w:rPr>
      </w:pPr>
    </w:p>
    <w:p>
      <w:pPr>
        <w:keepNext w:val="0"/>
        <w:keepLines w:val="0"/>
        <w:widowControl/>
        <w:suppressLineNumbers w:val="0"/>
        <w:jc w:val="both"/>
        <w:rPr>
          <w:rFonts w:ascii="FZXiaoBiaoSong-B05" w:hAnsi="FZXiaoBiaoSong-B05" w:eastAsia="FZXiaoBiaoSong-B05" w:cs="FZXiaoBiaoSong-B05"/>
          <w:color w:val="000000"/>
          <w:kern w:val="0"/>
          <w:sz w:val="43"/>
          <w:szCs w:val="43"/>
          <w:lang w:val="en-US" w:eastAsia="zh-CN" w:bidi="ar"/>
        </w:rPr>
      </w:pPr>
    </w:p>
    <w:p>
      <w:pPr>
        <w:keepNext w:val="0"/>
        <w:keepLines w:val="0"/>
        <w:widowControl/>
        <w:suppressLineNumbers w:val="0"/>
        <w:jc w:val="center"/>
        <w:rPr>
          <w:rFonts w:hint="eastAsia" w:ascii="黑体" w:hAnsi="黑体" w:eastAsia="黑体" w:cs="黑体"/>
          <w:color w:val="000000"/>
          <w:kern w:val="0"/>
          <w:sz w:val="52"/>
          <w:szCs w:val="52"/>
          <w:lang w:val="en-US" w:eastAsia="zh-CN" w:bidi="ar"/>
        </w:rPr>
      </w:pPr>
    </w:p>
    <w:p>
      <w:pPr>
        <w:keepNext w:val="0"/>
        <w:keepLines w:val="0"/>
        <w:widowControl/>
        <w:suppressLineNumbers w:val="0"/>
        <w:jc w:val="center"/>
        <w:rPr>
          <w:rFonts w:hint="eastAsia" w:ascii="黑体" w:hAnsi="黑体" w:eastAsia="黑体" w:cs="黑体"/>
          <w:color w:val="000000"/>
          <w:kern w:val="0"/>
          <w:sz w:val="52"/>
          <w:szCs w:val="52"/>
          <w:lang w:val="en-US" w:eastAsia="zh-CN" w:bidi="ar"/>
        </w:rPr>
      </w:pPr>
    </w:p>
    <w:p>
      <w:pPr>
        <w:keepNext w:val="0"/>
        <w:keepLines w:val="0"/>
        <w:widowControl/>
        <w:suppressLineNumbers w:val="0"/>
        <w:jc w:val="center"/>
        <w:rPr>
          <w:rFonts w:hint="eastAsia" w:ascii="黑体" w:hAnsi="黑体" w:eastAsia="黑体" w:cs="黑体"/>
          <w:color w:val="000000"/>
          <w:kern w:val="0"/>
          <w:sz w:val="52"/>
          <w:szCs w:val="52"/>
          <w:lang w:val="en-US" w:eastAsia="zh-CN" w:bidi="ar"/>
        </w:rPr>
      </w:pPr>
      <w:r>
        <w:rPr>
          <w:rFonts w:hint="eastAsia" w:ascii="黑体" w:hAnsi="黑体" w:eastAsia="黑体" w:cs="黑体"/>
          <w:color w:val="000000"/>
          <w:kern w:val="0"/>
          <w:sz w:val="52"/>
          <w:szCs w:val="52"/>
          <w:lang w:val="en-US" w:eastAsia="zh-CN" w:bidi="ar"/>
        </w:rPr>
        <w:t>部门整体支出绩效评价报告</w:t>
      </w:r>
    </w:p>
    <w:p>
      <w:pPr>
        <w:keepNext w:val="0"/>
        <w:keepLines w:val="0"/>
        <w:widowControl/>
        <w:suppressLineNumbers w:val="0"/>
        <w:jc w:val="center"/>
        <w:rPr>
          <w:rFonts w:ascii="FZXiaoBiaoSong-B05" w:hAnsi="FZXiaoBiaoSong-B05" w:eastAsia="FZXiaoBiaoSong-B05" w:cs="FZXiaoBiaoSong-B05"/>
          <w:color w:val="000000"/>
          <w:kern w:val="0"/>
          <w:sz w:val="18"/>
          <w:szCs w:val="1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2" w:firstLineChars="200"/>
        <w:jc w:val="left"/>
        <w:textAlignment w:val="auto"/>
        <w:rPr>
          <w:rFonts w:hint="eastAsia" w:ascii="黑体" w:hAnsi="黑体" w:eastAsia="黑体" w:cs="黑体"/>
        </w:rPr>
      </w:pPr>
      <w:r>
        <w:rPr>
          <w:rFonts w:hint="eastAsia" w:ascii="黑体" w:hAnsi="黑体" w:eastAsia="黑体" w:cs="黑体"/>
          <w:b/>
          <w:bCs/>
          <w:color w:val="000000"/>
          <w:kern w:val="0"/>
          <w:sz w:val="31"/>
          <w:szCs w:val="31"/>
          <w:lang w:val="en-US" w:eastAsia="zh-CN" w:bidi="ar"/>
        </w:rPr>
        <w:t xml:space="preserve">一、部门概况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311" w:firstLineChars="100"/>
        <w:jc w:val="left"/>
        <w:textAlignment w:val="auto"/>
        <w:rPr>
          <w:rFonts w:hint="eastAsia" w:ascii="楷体" w:hAnsi="楷体" w:eastAsia="楷体" w:cs="楷体"/>
          <w:b/>
          <w:bCs/>
          <w:color w:val="000000"/>
          <w:kern w:val="0"/>
          <w:sz w:val="31"/>
          <w:szCs w:val="31"/>
          <w:lang w:val="en-US" w:eastAsia="zh-CN" w:bidi="ar"/>
        </w:rPr>
      </w:pPr>
      <w:r>
        <w:rPr>
          <w:rFonts w:hint="eastAsia" w:ascii="楷体" w:hAnsi="楷体" w:eastAsia="楷体" w:cs="楷体"/>
          <w:b/>
          <w:bCs/>
          <w:color w:val="000000"/>
          <w:kern w:val="0"/>
          <w:sz w:val="31"/>
          <w:szCs w:val="31"/>
          <w:lang w:val="en-US" w:eastAsia="zh-CN" w:bidi="ar"/>
        </w:rPr>
        <w:t>（一）部门基本情况。</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2022年末乡村振兴局机关现有行政编制7名，设局长1名，副局长3名。二级机构辰溪县扶贫服务中心现有事业编制25名。目前局机关和二级机构共有在编在岗工作人员24人，内设综合股（统计股）、项目计划管理股、扶贫股3个股室，另有二级机构1个：辰溪县扶贫服务中心。</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xml:space="preserve">主要职责为：负责组织、协调、指导全县巩固拓展脱贫攻坚成果和乡村振兴有效衔接工作；负责组织开展防返贫信息体系建设，指导乡村振兴系统统计和信息化建设工作；负责会同有关部门组织开展全县巩固拓展脱贫攻坚成果和乡村振兴有效衔接督查、考核工作；承担协调乡村振兴系统风险防控、信访和舆情处理工作；完成县委、县政府交办的工作。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i w:val="0"/>
          <w:iCs w:val="0"/>
          <w:caps w:val="0"/>
          <w:color w:val="333333"/>
          <w:spacing w:val="0"/>
          <w:sz w:val="32"/>
          <w:szCs w:val="32"/>
          <w:shd w:val="clear" w:fill="FFFFFF"/>
        </w:rPr>
        <w:t>2023年是全面贯彻党的二十大精神的开局之年，是推动经济运行总体回升的关键之年，做好“三农”工作、支撑保障全局大局的要求更高、任务更重。以习近平新时代中国特色社会主义思想为指导，围绕坚决守牢确保粮食安全、防止规模性返贫等底线，扎实推进乡村发展、乡村建设、乡村治理等重点工作提出具体措施，为加快建设特色农业强省，建设宜居宜业和美乡村，全面推进乡村振兴</w:t>
      </w:r>
      <w:r>
        <w:rPr>
          <w:rFonts w:hint="eastAsia" w:ascii="仿宋" w:hAnsi="仿宋" w:eastAsia="仿宋" w:cs="仿宋"/>
          <w:b w:val="0"/>
          <w:bCs w:val="0"/>
          <w:i w:val="0"/>
          <w:iCs w:val="0"/>
          <w:caps w:val="0"/>
          <w:color w:val="333333"/>
          <w:spacing w:val="0"/>
          <w:sz w:val="32"/>
          <w:szCs w:val="32"/>
          <w:shd w:val="clear" w:fill="FFFFFF"/>
          <w:lang w:eastAsia="zh-CN"/>
        </w:rPr>
        <w:t>。</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二）2022年末整体支出合计：5428.73万元，包含了单位基本运行支出503.52万元（涉及人员经费、办公费、印刷费等日常开支）及项目支出4925.21万元，其中2022年本年项目4015万元。（涉及农村基础设施建设、农村生产发展、农村改厕、雨露计划、小额贴息及灾后重建)。</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2" w:firstLineChars="200"/>
        <w:jc w:val="left"/>
        <w:textAlignment w:val="auto"/>
        <w:rPr>
          <w:rFonts w:hint="eastAsia" w:ascii="黑体" w:hAnsi="黑体" w:eastAsia="黑体" w:cs="黑体"/>
          <w:b/>
          <w:bCs/>
          <w:color w:val="000000"/>
          <w:kern w:val="0"/>
          <w:sz w:val="31"/>
          <w:szCs w:val="31"/>
          <w:lang w:val="en-US" w:eastAsia="zh-CN" w:bidi="ar"/>
        </w:rPr>
      </w:pPr>
      <w:r>
        <w:rPr>
          <w:rFonts w:hint="eastAsia" w:ascii="黑体" w:hAnsi="黑体" w:eastAsia="黑体" w:cs="黑体"/>
          <w:b/>
          <w:bCs/>
          <w:color w:val="000000"/>
          <w:kern w:val="0"/>
          <w:sz w:val="31"/>
          <w:szCs w:val="31"/>
          <w:lang w:val="en-US" w:eastAsia="zh-CN" w:bidi="ar"/>
        </w:rPr>
        <w:t xml:space="preserve">二、部门整体支出管理及使用情况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rPr>
          <w:rFonts w:hint="eastAsia" w:ascii="楷体" w:hAnsi="楷体" w:eastAsia="楷体" w:cs="楷体"/>
          <w:sz w:val="32"/>
          <w:szCs w:val="32"/>
        </w:rPr>
      </w:pPr>
      <w:r>
        <w:rPr>
          <w:rFonts w:hint="eastAsia" w:ascii="楷体" w:hAnsi="楷体" w:eastAsia="楷体" w:cs="楷体"/>
          <w:b/>
          <w:bCs/>
          <w:color w:val="000000"/>
          <w:kern w:val="0"/>
          <w:sz w:val="32"/>
          <w:szCs w:val="32"/>
          <w:lang w:val="en-US" w:eastAsia="zh-CN" w:bidi="ar"/>
        </w:rPr>
        <w:t xml:space="preserve">（一）基本支出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eastAsia="仿宋"/>
          <w:lang w:val="en-US" w:eastAsia="zh-CN"/>
        </w:rPr>
      </w:pPr>
      <w:r>
        <w:rPr>
          <w:rFonts w:hint="eastAsia" w:ascii="仿宋" w:hAnsi="仿宋" w:eastAsia="仿宋" w:cs="仿宋"/>
          <w:color w:val="000000"/>
          <w:kern w:val="0"/>
          <w:sz w:val="31"/>
          <w:szCs w:val="31"/>
          <w:lang w:val="en-US" w:eastAsia="zh-CN" w:bidi="ar"/>
        </w:rPr>
        <w:t>基本支出主要用于本单位人员工资及行政正常运行。包括人员工资福利支出242.8万，商品服务支出256.39万，其中会议费2.63万元 培训费1.01万元 ，对个人和家庭支出4.33万元，都是严格按财政规章制度执行。</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2022年初部门预算三公经费是18万，三公经费决算 9.18万元，都是公务接待费用，无车辆购置和使用费用、无因公出国费用。预算执行率为51%，相比2021年有所下降，主要是严控三公经费厉行节约。共接待135批次 662人。</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rPr>
          <w:rFonts w:hint="eastAsia" w:ascii="楷体" w:hAnsi="楷体" w:eastAsia="楷体" w:cs="楷体"/>
          <w:b/>
          <w:bCs/>
          <w:color w:val="000000"/>
          <w:kern w:val="0"/>
          <w:sz w:val="32"/>
          <w:szCs w:val="32"/>
          <w:lang w:val="en-US" w:eastAsia="zh-CN" w:bidi="ar"/>
        </w:rPr>
      </w:pPr>
      <w:r>
        <w:rPr>
          <w:rFonts w:hint="eastAsia" w:ascii="楷体" w:hAnsi="楷体" w:eastAsia="楷体" w:cs="楷体"/>
          <w:b/>
          <w:bCs/>
          <w:color w:val="000000"/>
          <w:kern w:val="0"/>
          <w:sz w:val="32"/>
          <w:szCs w:val="32"/>
          <w:lang w:val="en-US" w:eastAsia="zh-CN" w:bidi="ar"/>
        </w:rPr>
        <w:t xml:space="preserve">（二）专项支出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1、中央财政下达项目衔接资金1024.6万元，省级财政下达项目衔接资金2196万，省级财政下达整合资金529.6万元，市级财政下达项目衔接资金170万，县级财政配套资金94.8万元，共计4015万元。</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default"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用于产业路362万元、公共照明47.2万元、农村改厕963.8万、雨露计划600万、小额贷款贴息400万、省驻村工作队400万元、市驻村工作队170万元、示范村272万元，灾后重建800万元。</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20" w:firstLineChars="200"/>
        <w:jc w:val="left"/>
        <w:textAlignment w:val="auto"/>
        <w:rPr>
          <w:rFonts w:hint="default"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2、所有财政专项资金4015万元，都按是涉农资金分配表已经全部拨付到位。</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3、根据辰委乡振组发[2022]9号《辰溪县2022年度巩固脱贫攻坚成果同乡村振兴有效衔接统筹整合使用财政涉农资金调整工作方案》、辰振局发[2022]7号《关于下达2022年巩固拓展脱贫攻坚成果同乡村振兴有效衔接财政专项资金 (省、市工作队、示范村)项目计划的通知》、辰振局发[2022]8号《关于下达2022年巩固拓展脱贫攻坚成果同乡村振兴有效衔接财政专项资金（灾后重建）项目计划的通知》以下简称整合资金方案、衔接资金使用计划。</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930" w:firstLineChars="3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整体专项资金规划和使用都是严格执行整合资金方案、衔接资金使用计划所提出的指导办法，包括项目申报、项目实施、项目变更、组织领导小组、明确职责分工及履行监督。</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2" w:firstLineChars="200"/>
        <w:jc w:val="left"/>
        <w:textAlignment w:val="auto"/>
        <w:rPr>
          <w:rFonts w:hint="eastAsia" w:ascii="黑体" w:hAnsi="黑体" w:eastAsia="黑体" w:cs="黑体"/>
          <w:b/>
          <w:bCs/>
          <w:color w:val="000000"/>
          <w:kern w:val="0"/>
          <w:sz w:val="31"/>
          <w:szCs w:val="31"/>
          <w:lang w:val="en-US" w:eastAsia="zh-CN" w:bidi="ar"/>
        </w:rPr>
      </w:pPr>
      <w:r>
        <w:rPr>
          <w:rFonts w:hint="eastAsia" w:ascii="黑体" w:hAnsi="黑体" w:eastAsia="黑体" w:cs="黑体"/>
          <w:b/>
          <w:bCs/>
          <w:color w:val="000000"/>
          <w:kern w:val="0"/>
          <w:sz w:val="31"/>
          <w:szCs w:val="31"/>
          <w:lang w:val="en-US" w:eastAsia="zh-CN" w:bidi="ar"/>
        </w:rPr>
        <w:t xml:space="preserve">三、部门专项组织实施情况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default"/>
          <w:lang w:val="en-US"/>
        </w:rPr>
      </w:pPr>
      <w:r>
        <w:rPr>
          <w:rFonts w:hint="eastAsia" w:ascii="仿宋" w:hAnsi="仿宋" w:eastAsia="仿宋" w:cs="仿宋"/>
          <w:color w:val="000000"/>
          <w:kern w:val="0"/>
          <w:sz w:val="31"/>
          <w:szCs w:val="31"/>
          <w:lang w:val="en-US" w:eastAsia="zh-CN" w:bidi="ar"/>
        </w:rPr>
        <w:t>（一）2022年乡村振兴局实施项目111个，涉及资金4015万元，需要招投标项目2个，涉及资金359.4万元，都是按照公式采购意向、财政评审、公开招标的程序实施。项目竣工后，由村申请验收，由我单位组织第三方公司、项目所在乡镇干部及施工方进行验收，验收合格后由第三方审核公司出具结算报告。</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（二）所有的专项资金都是</w:t>
      </w:r>
      <w:r>
        <w:rPr>
          <w:rFonts w:hint="eastAsia" w:ascii="仿宋" w:hAnsi="仿宋" w:eastAsia="仿宋" w:cs="仿宋"/>
          <w:sz w:val="31"/>
          <w:szCs w:val="31"/>
        </w:rPr>
        <w:t>根据《根据财政部、农业农村部、国家乡村振兴局、国家发改委等部委联合下发的《中央财政衔接推进乡村振兴补助资金管理办法》（财农〔2022〕10号）、《中央财政衔接推进乡村振兴补助资金使用管理的指导意见》（财农〔2022〕14号）、《关于转发财政部 农业农村部 国家乡村振兴局 国家发改委 国家民委 国家林草局关于加强中央财政衔接推进乡村振兴补助资金使用管理的指导意见》（湘财农〔2022〕6号）和《湖南省财政衔接推进乡村振兴补助资金管理办法》（湘财农〔2021〕10号）等文件要求</w:t>
      </w:r>
      <w:r>
        <w:rPr>
          <w:rFonts w:hint="eastAsia" w:ascii="仿宋" w:hAnsi="仿宋" w:eastAsia="仿宋" w:cs="仿宋"/>
          <w:sz w:val="31"/>
          <w:szCs w:val="31"/>
          <w:lang w:eastAsia="zh-CN"/>
        </w:rPr>
        <w:t>对项目从申报、立项、施工、验收严格按照程序进行管理，并对项目在实施过程中对项目进行绩效目标监控</w:t>
      </w:r>
      <w:r>
        <w:rPr>
          <w:rFonts w:hint="eastAsia" w:ascii="仿宋" w:hAnsi="仿宋" w:eastAsia="仿宋" w:cs="仿宋"/>
          <w:color w:val="000000"/>
          <w:kern w:val="0"/>
          <w:sz w:val="31"/>
          <w:szCs w:val="3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2" w:firstLineChars="200"/>
        <w:jc w:val="left"/>
        <w:textAlignment w:val="auto"/>
        <w:rPr>
          <w:rFonts w:hint="eastAsia" w:ascii="黑体" w:hAnsi="黑体" w:eastAsia="黑体" w:cs="黑体"/>
          <w:b/>
          <w:bCs/>
          <w:color w:val="000000"/>
          <w:kern w:val="0"/>
          <w:sz w:val="31"/>
          <w:szCs w:val="31"/>
          <w:lang w:val="en-US" w:eastAsia="zh-CN" w:bidi="ar"/>
        </w:rPr>
      </w:pPr>
      <w:r>
        <w:rPr>
          <w:rFonts w:hint="eastAsia" w:ascii="黑体" w:hAnsi="黑体" w:eastAsia="黑体" w:cs="黑体"/>
          <w:b/>
          <w:bCs/>
          <w:color w:val="000000"/>
          <w:kern w:val="0"/>
          <w:sz w:val="31"/>
          <w:szCs w:val="31"/>
          <w:lang w:val="en-US" w:eastAsia="zh-CN" w:bidi="ar"/>
        </w:rPr>
        <w:t xml:space="preserve">四、资产管理情况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default" w:ascii="仿宋" w:hAnsi="仿宋" w:eastAsia="仿宋" w:cs="仿宋"/>
          <w:color w:val="000000"/>
          <w:kern w:val="0"/>
          <w:sz w:val="31"/>
          <w:szCs w:val="31"/>
          <w:lang w:val="en-US" w:eastAsia="zh-CN" w:bidi="ar"/>
        </w:rPr>
      </w:pPr>
      <w:r>
        <w:rPr>
          <w:rFonts w:hint="eastAsia" w:ascii="仿宋" w:hAnsi="仿宋" w:eastAsia="仿宋" w:cs="仿宋"/>
          <w:b w:val="0"/>
          <w:bCs w:val="0"/>
          <w:color w:val="000000"/>
          <w:kern w:val="0"/>
          <w:sz w:val="31"/>
          <w:szCs w:val="31"/>
          <w:lang w:val="en-US" w:eastAsia="zh-CN" w:bidi="ar"/>
        </w:rPr>
        <w:t>2022年末我局固定资产总计 34.45万元，都是办公设备购置。</w:t>
      </w:r>
      <w:r>
        <w:rPr>
          <w:rFonts w:hint="eastAsia" w:ascii="仿宋" w:hAnsi="仿宋" w:eastAsia="仿宋" w:cs="仿宋"/>
          <w:b w:val="0"/>
          <w:bCs w:val="0"/>
          <w:color w:val="000000" w:themeColor="text1"/>
          <w:kern w:val="0"/>
          <w:sz w:val="31"/>
          <w:szCs w:val="31"/>
          <w:lang w:val="en-US" w:eastAsia="zh-CN" w:bidi="ar"/>
          <w14:textFill>
            <w14:solidFill>
              <w14:schemeClr w14:val="tx1"/>
            </w14:solidFill>
          </w14:textFill>
        </w:rPr>
        <w:t>严格执行</w:t>
      </w:r>
      <w:r>
        <w:rPr>
          <w:rFonts w:hint="eastAsia" w:ascii="仿宋" w:hAnsi="仿宋" w:eastAsia="仿宋" w:cs="仿宋"/>
          <w:b w:val="0"/>
          <w:bCs w:val="0"/>
          <w:i w:val="0"/>
          <w:iCs w:val="0"/>
          <w:caps w:val="0"/>
          <w:color w:val="000000" w:themeColor="text1"/>
          <w:spacing w:val="0"/>
          <w:sz w:val="31"/>
          <w:szCs w:val="31"/>
          <w:shd w:val="clear" w:fill="FFFFFF"/>
          <w14:textFill>
            <w14:solidFill>
              <w14:schemeClr w14:val="tx1"/>
            </w14:solidFill>
          </w14:textFill>
        </w:rPr>
        <w:t>辰政办发〔2017〕73号《辰溪县行政事业单位国有资产管理暂行办法》</w:t>
      </w:r>
      <w:r>
        <w:rPr>
          <w:rFonts w:hint="eastAsia" w:ascii="仿宋" w:hAnsi="仿宋" w:eastAsia="仿宋" w:cs="仿宋"/>
          <w:b w:val="0"/>
          <w:bCs w:val="0"/>
          <w:i w:val="0"/>
          <w:iCs w:val="0"/>
          <w:caps w:val="0"/>
          <w:color w:val="000000" w:themeColor="text1"/>
          <w:spacing w:val="0"/>
          <w:sz w:val="31"/>
          <w:szCs w:val="31"/>
          <w:shd w:val="clear" w:fill="FFFFFF"/>
          <w:lang w:eastAsia="zh-CN"/>
          <w14:textFill>
            <w14:solidFill>
              <w14:schemeClr w14:val="tx1"/>
            </w14:solidFill>
          </w14:textFill>
        </w:rPr>
        <w:t>对国有资产进行管理，</w:t>
      </w:r>
      <w:r>
        <w:rPr>
          <w:rFonts w:hint="eastAsia" w:ascii="仿宋" w:hAnsi="仿宋" w:eastAsia="仿宋" w:cs="仿宋"/>
          <w:b w:val="0"/>
          <w:bCs w:val="0"/>
          <w:color w:val="000000"/>
          <w:kern w:val="0"/>
          <w:sz w:val="31"/>
          <w:szCs w:val="31"/>
          <w:lang w:val="en-US" w:eastAsia="zh-CN" w:bidi="ar"/>
        </w:rPr>
        <w:t>严格落实固定资产清查、登记、上报制度，定期进行清查盘点，及时更新财政资产管理系统，做到账实相符。明确责任履行好职责，对资产处置按规定办理资产处置手续，并及时做好账务处理。</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2" w:firstLineChars="200"/>
        <w:jc w:val="left"/>
        <w:textAlignment w:val="auto"/>
        <w:rPr>
          <w:rFonts w:hint="eastAsia" w:ascii="黑体" w:hAnsi="黑体" w:eastAsia="黑体" w:cs="黑体"/>
          <w:b/>
          <w:bCs/>
          <w:color w:val="000000"/>
          <w:kern w:val="0"/>
          <w:sz w:val="31"/>
          <w:szCs w:val="31"/>
          <w:lang w:val="en-US" w:eastAsia="zh-CN" w:bidi="ar"/>
        </w:rPr>
      </w:pPr>
      <w:r>
        <w:rPr>
          <w:rFonts w:hint="eastAsia" w:ascii="黑体" w:hAnsi="黑体" w:eastAsia="黑体" w:cs="黑体"/>
          <w:b/>
          <w:bCs/>
          <w:color w:val="000000"/>
          <w:kern w:val="0"/>
          <w:sz w:val="31"/>
          <w:szCs w:val="31"/>
          <w:lang w:val="en-US" w:eastAsia="zh-CN" w:bidi="ar"/>
        </w:rPr>
        <w:t xml:space="preserve">五、部门整体支出绩效情况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经济性方面：项目决算支出基本跟预算持平，行政运行决算支出比预算稍高，主要有以下两点原因：①由于财政报账的原因上年度部分费用在今年支出。②年初公用经费预算做少了。在成本控制上做到能减尽减厉行节约的原则，2022年初三公经费预算只有公务接待费18万，决算支出只有9.18万。</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效率性方面：农村改厕、人居环境基础设施建设项目周期1年基本年底都能完成验收并交付使用。雨露计划、脱贫户小额贴息项目都及时拨付到位。</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有效性方面：所有项目</w:t>
      </w:r>
      <w:r>
        <w:rPr>
          <w:rFonts w:ascii="仿宋_GB2312" w:hAnsi="宋体" w:eastAsia="仿宋_GB2312" w:cs="仿宋_GB2312"/>
          <w:i w:val="0"/>
          <w:iCs w:val="0"/>
          <w:caps w:val="0"/>
          <w:color w:val="000000"/>
          <w:spacing w:val="0"/>
          <w:sz w:val="31"/>
          <w:szCs w:val="31"/>
          <w:shd w:val="clear" w:fill="FFFFFF"/>
        </w:rPr>
        <w:t>达到预期绩效目标</w:t>
      </w:r>
      <w:r>
        <w:rPr>
          <w:rFonts w:hint="eastAsia" w:ascii="仿宋_GB2312" w:hAnsi="宋体" w:eastAsia="仿宋_GB2312" w:cs="仿宋_GB2312"/>
          <w:i w:val="0"/>
          <w:iCs w:val="0"/>
          <w:caps w:val="0"/>
          <w:color w:val="000000"/>
          <w:spacing w:val="0"/>
          <w:sz w:val="31"/>
          <w:szCs w:val="31"/>
          <w:shd w:val="clear" w:fill="FFFFFF"/>
          <w:lang w:eastAsia="zh-CN"/>
        </w:rPr>
        <w:t>。</w:t>
      </w:r>
      <w:r>
        <w:rPr>
          <w:rFonts w:hint="eastAsia" w:ascii="仿宋" w:hAnsi="仿宋" w:eastAsia="仿宋" w:cs="仿宋"/>
          <w:color w:val="000000"/>
          <w:kern w:val="0"/>
          <w:sz w:val="31"/>
          <w:szCs w:val="31"/>
          <w:lang w:val="en-US" w:eastAsia="zh-CN" w:bidi="ar"/>
        </w:rPr>
        <w:t>让老百姓得到了实惠，改变了生活环境，提升了生活状态，增加了脱贫户收入，减少了脱贫户反贫的风险，与习近平总书记提出乡村振兴防止规模性返贫的目标保持高度一致。</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default"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 xml:space="preserve">可持续性方面：运用好项目资金，持续在农村改厕、雨露计划、脱贫户小额信贷及数字乡村建设。打造美丽乡村，改善人居环境，实现乡村振兴的整体目标。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2" w:firstLineChars="200"/>
        <w:jc w:val="left"/>
        <w:textAlignment w:val="auto"/>
        <w:rPr>
          <w:rFonts w:hint="eastAsia" w:ascii="黑体" w:hAnsi="黑体" w:eastAsia="黑体" w:cs="黑体"/>
          <w:b/>
          <w:bCs/>
          <w:color w:val="000000"/>
          <w:kern w:val="0"/>
          <w:sz w:val="31"/>
          <w:szCs w:val="31"/>
          <w:lang w:val="en-US" w:eastAsia="zh-CN" w:bidi="ar"/>
        </w:rPr>
      </w:pPr>
      <w:r>
        <w:rPr>
          <w:rFonts w:hint="eastAsia" w:ascii="黑体" w:hAnsi="黑体" w:eastAsia="黑体" w:cs="黑体"/>
          <w:b/>
          <w:bCs/>
          <w:color w:val="000000"/>
          <w:kern w:val="0"/>
          <w:sz w:val="31"/>
          <w:szCs w:val="31"/>
          <w:lang w:val="en-US" w:eastAsia="zh-CN" w:bidi="ar"/>
        </w:rPr>
        <w:t xml:space="preserve">六、存在的主要问题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20" w:firstLineChars="200"/>
        <w:jc w:val="both"/>
        <w:textAlignment w:val="auto"/>
        <w:rPr>
          <w:rFonts w:hint="eastAsia" w:ascii="仿宋" w:hAnsi="仿宋" w:eastAsia="仿宋" w:cs="仿宋"/>
          <w:i w:val="0"/>
          <w:iCs w:val="0"/>
          <w:caps w:val="0"/>
          <w:color w:val="3D3D3D"/>
          <w:spacing w:val="0"/>
          <w:sz w:val="31"/>
          <w:szCs w:val="31"/>
        </w:rPr>
      </w:pPr>
      <w:r>
        <w:rPr>
          <w:rFonts w:hint="eastAsia" w:ascii="仿宋" w:hAnsi="仿宋" w:eastAsia="仿宋" w:cs="仿宋"/>
          <w:i w:val="0"/>
          <w:iCs w:val="0"/>
          <w:caps w:val="0"/>
          <w:color w:val="3D3D3D"/>
          <w:spacing w:val="0"/>
          <w:sz w:val="31"/>
          <w:szCs w:val="31"/>
          <w:shd w:val="clear" w:fill="FFFFFF"/>
        </w:rPr>
        <w:t>1、所有项目设立了项目资金绩效目标，但目标不够明确、细化和量化</w:t>
      </w:r>
      <w:r>
        <w:rPr>
          <w:rFonts w:hint="eastAsia" w:ascii="仿宋" w:hAnsi="仿宋" w:eastAsia="仿宋" w:cs="仿宋"/>
          <w:i w:val="0"/>
          <w:iCs w:val="0"/>
          <w:caps w:val="0"/>
          <w:color w:val="3D3D3D"/>
          <w:spacing w:val="0"/>
          <w:sz w:val="31"/>
          <w:szCs w:val="31"/>
          <w:shd w:val="clear" w:fill="FFFFFF"/>
          <w:lang w:eastAsia="zh-CN"/>
        </w:rPr>
        <w:t>，不能充分反映项目开展的过程及成效</w:t>
      </w:r>
      <w:r>
        <w:rPr>
          <w:rFonts w:hint="eastAsia" w:ascii="仿宋" w:hAnsi="仿宋" w:eastAsia="仿宋" w:cs="仿宋"/>
          <w:i w:val="0"/>
          <w:iCs w:val="0"/>
          <w:caps w:val="0"/>
          <w:color w:val="3D3D3D"/>
          <w:spacing w:val="0"/>
          <w:sz w:val="31"/>
          <w:szCs w:val="31"/>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20" w:firstLineChars="200"/>
        <w:jc w:val="both"/>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i w:val="0"/>
          <w:iCs w:val="0"/>
          <w:caps w:val="0"/>
          <w:color w:val="3D3D3D"/>
          <w:spacing w:val="0"/>
          <w:sz w:val="31"/>
          <w:szCs w:val="31"/>
          <w:shd w:val="clear" w:fill="FFFFFF"/>
        </w:rPr>
        <w:t>2、</w:t>
      </w:r>
      <w:r>
        <w:rPr>
          <w:rFonts w:hint="eastAsia" w:ascii="仿宋" w:hAnsi="仿宋" w:eastAsia="仿宋" w:cs="仿宋"/>
          <w:i w:val="0"/>
          <w:iCs w:val="0"/>
          <w:caps w:val="0"/>
          <w:color w:val="3D3D3D"/>
          <w:spacing w:val="0"/>
          <w:sz w:val="31"/>
          <w:szCs w:val="31"/>
          <w:shd w:val="clear" w:fill="FFFFFF"/>
          <w:lang w:eastAsia="zh-CN"/>
        </w:rPr>
        <w:t>制度建设方面有所欠缺，</w:t>
      </w:r>
      <w:r>
        <w:rPr>
          <w:rFonts w:hint="eastAsia" w:ascii="仿宋" w:hAnsi="仿宋" w:eastAsia="仿宋" w:cs="仿宋"/>
          <w:i w:val="0"/>
          <w:iCs w:val="0"/>
          <w:caps w:val="0"/>
          <w:color w:val="3D3D3D"/>
          <w:spacing w:val="0"/>
          <w:sz w:val="31"/>
          <w:szCs w:val="31"/>
          <w:shd w:val="clear" w:fill="FFFFFF"/>
        </w:rPr>
        <w:t>资金使用效益有待进一步提高</w:t>
      </w:r>
      <w:r>
        <w:rPr>
          <w:rFonts w:hint="eastAsia" w:ascii="仿宋" w:hAnsi="仿宋" w:eastAsia="仿宋" w:cs="仿宋"/>
          <w:color w:val="000000"/>
          <w:kern w:val="0"/>
          <w:sz w:val="31"/>
          <w:szCs w:val="31"/>
          <w:lang w:val="en-US" w:eastAsia="zh-CN" w:bidi="ar"/>
        </w:rPr>
        <w:t xml:space="preserve">。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20" w:firstLineChars="200"/>
        <w:jc w:val="both"/>
        <w:textAlignment w:val="auto"/>
        <w:rPr>
          <w:rFonts w:hint="default"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3、财务人员欠深入了解项目资金的动向，不能及时准确掌握相关数据。</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2" w:firstLineChars="200"/>
        <w:jc w:val="left"/>
        <w:textAlignment w:val="auto"/>
        <w:rPr>
          <w:rFonts w:hint="eastAsia" w:ascii="黑体" w:hAnsi="黑体" w:eastAsia="黑体" w:cs="黑体"/>
          <w:b/>
          <w:bCs/>
          <w:color w:val="000000"/>
          <w:kern w:val="0"/>
          <w:sz w:val="31"/>
          <w:szCs w:val="31"/>
          <w:lang w:val="en-US" w:eastAsia="zh-CN" w:bidi="ar"/>
        </w:rPr>
      </w:pPr>
      <w:r>
        <w:rPr>
          <w:rFonts w:hint="eastAsia" w:ascii="黑体" w:hAnsi="黑体" w:eastAsia="黑体" w:cs="黑体"/>
          <w:b/>
          <w:bCs/>
          <w:color w:val="000000"/>
          <w:kern w:val="0"/>
          <w:sz w:val="31"/>
          <w:szCs w:val="31"/>
          <w:lang w:val="en-US" w:eastAsia="zh-CN" w:bidi="ar"/>
        </w:rPr>
        <w:t xml:space="preserve">七、改进措施和有关建议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pPr>
      <w:r>
        <w:rPr>
          <w:rFonts w:hint="eastAsia" w:ascii="仿宋" w:hAnsi="仿宋" w:eastAsia="仿宋" w:cs="仿宋"/>
          <w:color w:val="000000"/>
          <w:kern w:val="0"/>
          <w:sz w:val="31"/>
          <w:szCs w:val="31"/>
          <w:lang w:val="en-US" w:eastAsia="zh-CN" w:bidi="ar"/>
        </w:rPr>
        <w:t>细化项目绩效评价指标，建立详细的项目资金使用管理办法，跟踪资金使用情况，争取做到业财融合。</w:t>
      </w:r>
    </w:p>
    <w:p>
      <w:pPr>
        <w:keepNext w:val="0"/>
        <w:keepLines w:val="0"/>
        <w:pageBreakBefore w:val="0"/>
        <w:kinsoku/>
        <w:wordWrap/>
        <w:overflowPunct/>
        <w:topLinePunct w:val="0"/>
        <w:autoSpaceDE/>
        <w:autoSpaceDN/>
        <w:bidi w:val="0"/>
        <w:adjustRightInd/>
        <w:snapToGrid/>
        <w:spacing w:line="660" w:lineRule="exact"/>
        <w:textAlignment w:val="auto"/>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FZXiaoBiaoSong-B05">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mNzYzMDY3ODIzNzc5Zjg1NjIyZTE2NmZhNjM0NjQifQ=="/>
  </w:docVars>
  <w:rsids>
    <w:rsidRoot w:val="00000000"/>
    <w:rsid w:val="026B5B29"/>
    <w:rsid w:val="037D3136"/>
    <w:rsid w:val="0C465358"/>
    <w:rsid w:val="1111054B"/>
    <w:rsid w:val="1111746F"/>
    <w:rsid w:val="120D40DA"/>
    <w:rsid w:val="14B051F1"/>
    <w:rsid w:val="14EE172C"/>
    <w:rsid w:val="159838CE"/>
    <w:rsid w:val="15E27776"/>
    <w:rsid w:val="16CE12F2"/>
    <w:rsid w:val="1AB33345"/>
    <w:rsid w:val="1E4D45FB"/>
    <w:rsid w:val="22EE13BE"/>
    <w:rsid w:val="24244C66"/>
    <w:rsid w:val="26DC3086"/>
    <w:rsid w:val="2A0E0598"/>
    <w:rsid w:val="2AE752C2"/>
    <w:rsid w:val="2AFE48BC"/>
    <w:rsid w:val="2B5D5D69"/>
    <w:rsid w:val="2CAE1AE1"/>
    <w:rsid w:val="2DF06932"/>
    <w:rsid w:val="303E7A47"/>
    <w:rsid w:val="30BD4AC6"/>
    <w:rsid w:val="31B20089"/>
    <w:rsid w:val="352E5F92"/>
    <w:rsid w:val="38C509BB"/>
    <w:rsid w:val="3C9C1A33"/>
    <w:rsid w:val="43CF6B25"/>
    <w:rsid w:val="449C4CC6"/>
    <w:rsid w:val="4585575A"/>
    <w:rsid w:val="46641814"/>
    <w:rsid w:val="49CC0BE2"/>
    <w:rsid w:val="4B3E382E"/>
    <w:rsid w:val="4C2630C7"/>
    <w:rsid w:val="534529CD"/>
    <w:rsid w:val="557E27DC"/>
    <w:rsid w:val="5B264E92"/>
    <w:rsid w:val="5B98317F"/>
    <w:rsid w:val="604A1623"/>
    <w:rsid w:val="62D11B87"/>
    <w:rsid w:val="631877B6"/>
    <w:rsid w:val="6A4E5AC8"/>
    <w:rsid w:val="6B481118"/>
    <w:rsid w:val="705838E8"/>
    <w:rsid w:val="70822713"/>
    <w:rsid w:val="71515372"/>
    <w:rsid w:val="727918F3"/>
    <w:rsid w:val="769D3494"/>
    <w:rsid w:val="77E43734"/>
    <w:rsid w:val="7A383BCB"/>
    <w:rsid w:val="7D1F2BD5"/>
    <w:rsid w:val="7F712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2416</Words>
  <Characters>2608</Characters>
  <Lines>0</Lines>
  <Paragraphs>0</Paragraphs>
  <TotalTime>13</TotalTime>
  <ScaleCrop>false</ScaleCrop>
  <LinksUpToDate>false</LinksUpToDate>
  <CharactersWithSpaces>3017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2023-04-03T02:35:00Z</dcterms:created>
  <dc:creator>Administrator</dc:creator>
  <cp:lastModifiedBy>鸥洋</cp:lastModifiedBy>
  <cp:lastPrinted>2023-04-12T09:00:00Z</cp:lastPrinted>
  <dcterms:modified xsi:type="dcterms:W3CDTF">2023-09-26T07:17:31Z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A8C39C4652D949558500FB15DE6354AC</vt:lpwstr>
  </property>
</Properties>
</file>